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08271300"/>
        <w:docPartObj>
          <w:docPartGallery w:val="Cover Pages"/>
          <w:docPartUnique/>
        </w:docPartObj>
      </w:sdtPr>
      <w:sdtEndPr>
        <w:rPr>
          <w:rFonts w:ascii="Times New Roman" w:hAnsi="Times New Roman" w:cs="Times New Roman"/>
          <w:b/>
        </w:rPr>
      </w:sdtEndPr>
      <w:sdtContent>
        <w:p w14:paraId="0CCE9719" w14:textId="77777777" w:rsidR="00FF5492" w:rsidRDefault="00FF5492">
          <w:r>
            <w:rPr>
              <w:noProof/>
              <w:lang w:val="es-SV" w:eastAsia="es-SV"/>
            </w:rPr>
            <mc:AlternateContent>
              <mc:Choice Requires="wpg">
                <w:drawing>
                  <wp:anchor distT="0" distB="0" distL="114300" distR="114300" simplePos="0" relativeHeight="251673600" behindDoc="0" locked="0" layoutInCell="1" allowOverlap="1" wp14:anchorId="7B55C1EC" wp14:editId="23FD79BD">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2F4B867" id="Grupo 149" o:spid="_x0000_s1026" style="position:absolute;margin-left:0;margin-top:0;width:8in;height:95.7pt;z-index:25167360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lang w:val="es-SV" w:eastAsia="es-SV"/>
            </w:rPr>
            <mc:AlternateContent>
              <mc:Choice Requires="wps">
                <w:drawing>
                  <wp:anchor distT="0" distB="0" distL="114300" distR="114300" simplePos="0" relativeHeight="251671552" behindDoc="0" locked="0" layoutInCell="1" allowOverlap="1" wp14:anchorId="4E341D01" wp14:editId="404984EF">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1086BD0C" w14:textId="77777777" w:rsidR="00973EB9" w:rsidRDefault="00973EB9" w:rsidP="00FF5492">
                                    <w:pPr>
                                      <w:pStyle w:val="Sinespaciado"/>
                                      <w:jc w:val="right"/>
                                      <w:rPr>
                                        <w:color w:val="595959" w:themeColor="text1" w:themeTint="A6"/>
                                        <w:sz w:val="18"/>
                                        <w:szCs w:val="18"/>
                                      </w:rPr>
                                    </w:pPr>
                                    <w:r>
                                      <w:rPr>
                                        <w:color w:val="595959" w:themeColor="text1" w:themeTint="A6"/>
                                        <w:sz w:val="28"/>
                                        <w:szCs w:val="28"/>
                                      </w:rPr>
                                      <w:t>Julio, 2019</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E341D01" id="_x0000_t202" coordsize="21600,21600" o:spt="202" path="m,l,21600r21600,l21600,xe">
                    <v:stroke joinstyle="miter"/>
                    <v:path gradientshapeok="t" o:connecttype="rect"/>
                  </v:shapetype>
                  <v:shape id="Cuadro de texto 152" o:spid="_x0000_s1026" type="#_x0000_t202" style="position:absolute;margin-left:0;margin-top:0;width:8in;height:1in;z-index:25167155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D1lGrt&#10;gwIAAGgFAAAOAAAAAAAAAAAAAAAAAC4CAABkcnMvZTJvRG9jLnhtbFBLAQItABQABgAIAAAAIQDs&#10;Cl+U3QAAAAYBAAAPAAAAAAAAAAAAAAAAAN0EAABkcnMvZG93bnJldi54bWxQSwUGAAAAAAQABADz&#10;AAAA5wU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1086BD0C" w14:textId="77777777" w:rsidR="00973EB9" w:rsidRDefault="00973EB9" w:rsidP="00FF5492">
                              <w:pPr>
                                <w:pStyle w:val="Sinespaciado"/>
                                <w:jc w:val="right"/>
                                <w:rPr>
                                  <w:color w:val="595959" w:themeColor="text1" w:themeTint="A6"/>
                                  <w:sz w:val="18"/>
                                  <w:szCs w:val="18"/>
                                </w:rPr>
                              </w:pPr>
                              <w:r>
                                <w:rPr>
                                  <w:color w:val="595959" w:themeColor="text1" w:themeTint="A6"/>
                                  <w:sz w:val="28"/>
                                  <w:szCs w:val="28"/>
                                </w:rPr>
                                <w:t>Julio, 2019</w:t>
                              </w:r>
                            </w:p>
                          </w:sdtContent>
                        </w:sdt>
                      </w:txbxContent>
                    </v:textbox>
                    <w10:wrap type="square" anchorx="page" anchory="page"/>
                  </v:shape>
                </w:pict>
              </mc:Fallback>
            </mc:AlternateContent>
          </w:r>
          <w:r>
            <w:rPr>
              <w:noProof/>
              <w:lang w:val="es-SV" w:eastAsia="es-SV"/>
            </w:rPr>
            <mc:AlternateContent>
              <mc:Choice Requires="wps">
                <w:drawing>
                  <wp:anchor distT="0" distB="0" distL="114300" distR="114300" simplePos="0" relativeHeight="251672576" behindDoc="0" locked="0" layoutInCell="1" allowOverlap="1" wp14:anchorId="5F7D88EF" wp14:editId="6DFB16EF">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364208" w14:textId="77777777" w:rsidR="00973EB9" w:rsidRDefault="00973EB9">
                                <w:pPr>
                                  <w:pStyle w:val="Sinespaciado"/>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F7D88EF" id="Cuadro de texto 153" o:spid="_x0000_s1027" type="#_x0000_t202" style="position:absolute;margin-left:0;margin-top:0;width:8in;height:79.5pt;z-index:25167257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ahgIAAHA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" filled="f" stroked="f" strokeweight=".5pt">
                    <v:textbox style="mso-fit-shape-to-text:t" inset="126pt,0,54pt,0">
                      <w:txbxContent>
                        <w:p w14:paraId="10364208" w14:textId="77777777" w:rsidR="00973EB9" w:rsidRDefault="00973EB9">
                          <w:pPr>
                            <w:pStyle w:val="Sinespaciado"/>
                            <w:jc w:val="right"/>
                            <w:rPr>
                              <w:color w:val="595959" w:themeColor="text1" w:themeTint="A6"/>
                              <w:sz w:val="20"/>
                              <w:szCs w:val="20"/>
                            </w:rPr>
                          </w:pPr>
                        </w:p>
                      </w:txbxContent>
                    </v:textbox>
                    <w10:wrap type="square" anchorx="page" anchory="page"/>
                  </v:shape>
                </w:pict>
              </mc:Fallback>
            </mc:AlternateContent>
          </w:r>
        </w:p>
        <w:p w14:paraId="6C87544D" w14:textId="77777777" w:rsidR="00FF5492" w:rsidRDefault="00E47863">
          <w:pPr>
            <w:rPr>
              <w:rFonts w:ascii="Times New Roman" w:hAnsi="Times New Roman" w:cs="Times New Roman"/>
              <w:b/>
            </w:rPr>
          </w:pPr>
          <w:r>
            <w:rPr>
              <w:noProof/>
              <w:lang w:val="es-SV" w:eastAsia="es-SV"/>
            </w:rPr>
            <mc:AlternateContent>
              <mc:Choice Requires="wps">
                <w:drawing>
                  <wp:anchor distT="0" distB="0" distL="114300" distR="114300" simplePos="0" relativeHeight="251670528" behindDoc="0" locked="0" layoutInCell="1" allowOverlap="1" wp14:anchorId="70639A31" wp14:editId="381F46C8">
                    <wp:simplePos x="0" y="0"/>
                    <wp:positionH relativeFrom="page">
                      <wp:posOffset>227965</wp:posOffset>
                    </wp:positionH>
                    <wp:positionV relativeFrom="page">
                      <wp:posOffset>2446020</wp:posOffset>
                    </wp:positionV>
                    <wp:extent cx="7315200" cy="4410075"/>
                    <wp:effectExtent l="0" t="0" r="0" b="9525"/>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441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2678AB" w14:textId="77777777" w:rsidR="00973EB9" w:rsidRDefault="00973EB9">
                                <w:pPr>
                                  <w:jc w:val="right"/>
                                  <w:rPr>
                                    <w:color w:val="5B9BD5" w:themeColor="accent1"/>
                                    <w:sz w:val="64"/>
                                    <w:szCs w:val="64"/>
                                  </w:rPr>
                                </w:pPr>
                                <w:sdt>
                                  <w:sdtPr>
                                    <w:rPr>
                                      <w:caps/>
                                      <w:color w:val="5B9BD5"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el salvador</w:t>
                                    </w:r>
                                    <w:r>
                                      <w:rPr>
                                        <w:caps/>
                                        <w:color w:val="5B9BD5" w:themeColor="accent1"/>
                                        <w:sz w:val="64"/>
                                        <w:szCs w:val="64"/>
                                      </w:rPr>
                                      <w:br/>
                                    </w:r>
                                    <w:r>
                                      <w:rPr>
                                        <w:caps/>
                                        <w:color w:val="5B9BD5" w:themeColor="accent1"/>
                                        <w:sz w:val="64"/>
                                        <w:szCs w:val="64"/>
                                      </w:rPr>
                                      <w:br/>
                                      <w:t xml:space="preserve">Estrategia nacional de sostenibilidad y plan de acción para la sostenibilidad de la respuesta al vih               </w:t>
                                    </w:r>
                                    <w:r>
                                      <w:rPr>
                                        <w:caps/>
                                        <w:color w:val="5B9BD5" w:themeColor="accent1"/>
                                        <w:sz w:val="64"/>
                                        <w:szCs w:val="64"/>
                                      </w:rPr>
                                      <w:br/>
                                      <w:t>2019-2023</w:t>
                                    </w:r>
                                    <w:r>
                                      <w:rPr>
                                        <w:caps/>
                                        <w:color w:val="5B9BD5" w:themeColor="accent1"/>
                                        <w:sz w:val="64"/>
                                        <w:szCs w:val="64"/>
                                      </w:rPr>
                                      <w:br/>
                                    </w:r>
                                    <w:r>
                                      <w:rPr>
                                        <w:caps/>
                                        <w:color w:val="5B9BD5" w:themeColor="accent1"/>
                                        <w:sz w:val="64"/>
                                        <w:szCs w:val="64"/>
                                      </w:rPr>
                                      <w:br/>
                                      <w:t>2019-2023</w:t>
                                    </w:r>
                                    <w:r>
                                      <w:rPr>
                                        <w:caps/>
                                        <w:color w:val="5B9BD5" w:themeColor="accent1"/>
                                        <w:sz w:val="64"/>
                                        <w:szCs w:val="64"/>
                                      </w:rPr>
                                      <w:br/>
                                    </w:r>
                                    <w:r>
                                      <w:rPr>
                                        <w:color w:val="5B9BD5" w:themeColor="accent1"/>
                                        <w:sz w:val="64"/>
                                        <w:szCs w:val="64"/>
                                      </w:rPr>
                                      <w:t>2019-2023</w:t>
                                    </w:r>
                                  </w:sdtContent>
                                </w:sdt>
                              </w:p>
                              <w:sdt>
                                <w:sdtPr>
                                  <w:rPr>
                                    <w:color w:val="404040" w:themeColor="text1" w:themeTint="BF"/>
                                    <w:sz w:val="36"/>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00EFF57E" w14:textId="77777777" w:rsidR="00973EB9" w:rsidRDefault="00973EB9">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0639A31" id="Cuadro de texto 154" o:spid="_x0000_s1028" type="#_x0000_t202" style="position:absolute;margin-left:17.95pt;margin-top:192.6pt;width:8in;height:347.25pt;z-index:25167052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" filled="f" stroked="f" strokeweight=".5pt">
                    <v:textbox inset="126pt,0,54pt,0">
                      <w:txbxContent>
                        <w:p w14:paraId="0A2678AB" w14:textId="77777777" w:rsidR="00973EB9" w:rsidRDefault="00973EB9">
                          <w:pPr>
                            <w:jc w:val="right"/>
                            <w:rPr>
                              <w:color w:val="5B9BD5" w:themeColor="accent1"/>
                              <w:sz w:val="64"/>
                              <w:szCs w:val="64"/>
                            </w:rPr>
                          </w:pPr>
                          <w:sdt>
                            <w:sdtPr>
                              <w:rPr>
                                <w:caps/>
                                <w:color w:val="5B9BD5"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el salvador</w:t>
                              </w:r>
                              <w:r>
                                <w:rPr>
                                  <w:caps/>
                                  <w:color w:val="5B9BD5" w:themeColor="accent1"/>
                                  <w:sz w:val="64"/>
                                  <w:szCs w:val="64"/>
                                </w:rPr>
                                <w:br/>
                              </w:r>
                              <w:r>
                                <w:rPr>
                                  <w:caps/>
                                  <w:color w:val="5B9BD5" w:themeColor="accent1"/>
                                  <w:sz w:val="64"/>
                                  <w:szCs w:val="64"/>
                                </w:rPr>
                                <w:br/>
                                <w:t xml:space="preserve">Estrategia nacional de sostenibilidad y plan de acción para la sostenibilidad de la respuesta al vih               </w:t>
                              </w:r>
                              <w:r>
                                <w:rPr>
                                  <w:caps/>
                                  <w:color w:val="5B9BD5" w:themeColor="accent1"/>
                                  <w:sz w:val="64"/>
                                  <w:szCs w:val="64"/>
                                </w:rPr>
                                <w:br/>
                                <w:t>2019-2023</w:t>
                              </w:r>
                              <w:r>
                                <w:rPr>
                                  <w:caps/>
                                  <w:color w:val="5B9BD5" w:themeColor="accent1"/>
                                  <w:sz w:val="64"/>
                                  <w:szCs w:val="64"/>
                                </w:rPr>
                                <w:br/>
                              </w:r>
                              <w:r>
                                <w:rPr>
                                  <w:caps/>
                                  <w:color w:val="5B9BD5" w:themeColor="accent1"/>
                                  <w:sz w:val="64"/>
                                  <w:szCs w:val="64"/>
                                </w:rPr>
                                <w:br/>
                                <w:t>2019-2023</w:t>
                              </w:r>
                              <w:r>
                                <w:rPr>
                                  <w:caps/>
                                  <w:color w:val="5B9BD5" w:themeColor="accent1"/>
                                  <w:sz w:val="64"/>
                                  <w:szCs w:val="64"/>
                                </w:rPr>
                                <w:br/>
                              </w:r>
                              <w:r>
                                <w:rPr>
                                  <w:color w:val="5B9BD5" w:themeColor="accent1"/>
                                  <w:sz w:val="64"/>
                                  <w:szCs w:val="64"/>
                                </w:rPr>
                                <w:t>2019-2023</w:t>
                              </w:r>
                            </w:sdtContent>
                          </w:sdt>
                        </w:p>
                        <w:sdt>
                          <w:sdtPr>
                            <w:rPr>
                              <w:color w:val="404040" w:themeColor="text1" w:themeTint="BF"/>
                              <w:sz w:val="36"/>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00EFF57E" w14:textId="77777777" w:rsidR="00973EB9" w:rsidRDefault="00973EB9">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FF5492">
            <w:rPr>
              <w:rFonts w:ascii="Times New Roman" w:hAnsi="Times New Roman" w:cs="Times New Roman"/>
              <w:b/>
            </w:rPr>
            <w:br w:type="page"/>
          </w:r>
        </w:p>
      </w:sdtContent>
    </w:sdt>
    <w:p w14:paraId="1EB9ECFC" w14:textId="77777777" w:rsidR="007D527B" w:rsidRDefault="007D527B" w:rsidP="005F5933">
      <w:pPr>
        <w:rPr>
          <w:rFonts w:ascii="Times New Roman" w:hAnsi="Times New Roman" w:cs="Times New Roman"/>
          <w:b/>
          <w:lang w:val="es-MX"/>
        </w:rPr>
      </w:pPr>
    </w:p>
    <w:p w14:paraId="5DC53F4F" w14:textId="77777777" w:rsidR="001437DE" w:rsidRDefault="001437DE" w:rsidP="005F5933">
      <w:pPr>
        <w:rPr>
          <w:rFonts w:ascii="Times New Roman" w:hAnsi="Times New Roman" w:cs="Times New Roman"/>
          <w:b/>
        </w:rPr>
      </w:pPr>
    </w:p>
    <w:p w14:paraId="731AA9A4" w14:textId="77777777" w:rsidR="001437DE" w:rsidRDefault="001437DE" w:rsidP="005F5933">
      <w:pPr>
        <w:rPr>
          <w:rFonts w:ascii="Times New Roman" w:hAnsi="Times New Roman" w:cs="Times New Roman"/>
          <w:b/>
        </w:rPr>
      </w:pPr>
    </w:p>
    <w:p w14:paraId="60EAE0A7" w14:textId="77777777" w:rsidR="001437DE" w:rsidRDefault="001437DE" w:rsidP="005F5933">
      <w:pPr>
        <w:rPr>
          <w:rFonts w:ascii="Times New Roman" w:hAnsi="Times New Roman" w:cs="Times New Roman"/>
          <w:b/>
        </w:rPr>
      </w:pPr>
    </w:p>
    <w:p w14:paraId="2DB94C0C" w14:textId="77777777" w:rsidR="001437DE" w:rsidRDefault="001437DE" w:rsidP="005F5933">
      <w:pPr>
        <w:rPr>
          <w:rFonts w:ascii="Times New Roman" w:hAnsi="Times New Roman" w:cs="Times New Roman"/>
          <w:b/>
        </w:rPr>
      </w:pPr>
    </w:p>
    <w:p w14:paraId="38A738FC" w14:textId="77777777" w:rsidR="001437DE" w:rsidRDefault="001437DE" w:rsidP="005F5933">
      <w:pPr>
        <w:rPr>
          <w:rFonts w:ascii="Times New Roman" w:hAnsi="Times New Roman" w:cs="Times New Roman"/>
          <w:b/>
        </w:rPr>
      </w:pPr>
    </w:p>
    <w:p w14:paraId="0241E01C" w14:textId="77777777" w:rsidR="001437DE" w:rsidRDefault="001437DE" w:rsidP="005F5933">
      <w:pPr>
        <w:rPr>
          <w:rFonts w:ascii="Times New Roman" w:hAnsi="Times New Roman" w:cs="Times New Roman"/>
          <w:b/>
        </w:rPr>
      </w:pPr>
    </w:p>
    <w:p w14:paraId="343F4D5E" w14:textId="77777777" w:rsidR="001437DE" w:rsidRDefault="001437DE" w:rsidP="005F5933">
      <w:pPr>
        <w:rPr>
          <w:rFonts w:ascii="Times New Roman" w:hAnsi="Times New Roman" w:cs="Times New Roman"/>
          <w:b/>
        </w:rPr>
      </w:pPr>
    </w:p>
    <w:p w14:paraId="7B87D5A8" w14:textId="77777777" w:rsidR="001437DE" w:rsidRDefault="001437DE" w:rsidP="005F5933">
      <w:pPr>
        <w:rPr>
          <w:rFonts w:ascii="Times New Roman" w:hAnsi="Times New Roman" w:cs="Times New Roman"/>
          <w:b/>
        </w:rPr>
      </w:pPr>
    </w:p>
    <w:p w14:paraId="251C7BF4" w14:textId="77777777" w:rsidR="001437DE" w:rsidRDefault="001437DE" w:rsidP="005F5933">
      <w:pPr>
        <w:rPr>
          <w:rFonts w:ascii="Times New Roman" w:hAnsi="Times New Roman" w:cs="Times New Roman"/>
          <w:b/>
        </w:rPr>
      </w:pPr>
    </w:p>
    <w:p w14:paraId="50CC0519" w14:textId="77777777" w:rsidR="001437DE" w:rsidRDefault="001437DE" w:rsidP="005F5933">
      <w:pPr>
        <w:rPr>
          <w:rFonts w:ascii="Times New Roman" w:hAnsi="Times New Roman" w:cs="Times New Roman"/>
          <w:b/>
        </w:rPr>
      </w:pPr>
    </w:p>
    <w:p w14:paraId="3DEC7888" w14:textId="77777777" w:rsidR="001437DE" w:rsidRDefault="001437DE" w:rsidP="005F5933">
      <w:pPr>
        <w:rPr>
          <w:rFonts w:ascii="Times New Roman" w:hAnsi="Times New Roman" w:cs="Times New Roman"/>
          <w:b/>
        </w:rPr>
      </w:pPr>
    </w:p>
    <w:p w14:paraId="33D8DB30" w14:textId="77777777" w:rsidR="001437DE" w:rsidRDefault="001437DE" w:rsidP="005F5933">
      <w:pPr>
        <w:rPr>
          <w:rFonts w:ascii="Times New Roman" w:hAnsi="Times New Roman" w:cs="Times New Roman"/>
          <w:b/>
        </w:rPr>
      </w:pPr>
    </w:p>
    <w:p w14:paraId="215D9BDA" w14:textId="77777777" w:rsidR="001437DE" w:rsidRDefault="001437DE" w:rsidP="005F5933">
      <w:pPr>
        <w:rPr>
          <w:rFonts w:ascii="Times New Roman" w:hAnsi="Times New Roman" w:cs="Times New Roman"/>
          <w:b/>
        </w:rPr>
      </w:pPr>
    </w:p>
    <w:p w14:paraId="1F30C4C0" w14:textId="77777777" w:rsidR="001437DE" w:rsidRDefault="001437DE" w:rsidP="005F5933">
      <w:pPr>
        <w:rPr>
          <w:rFonts w:ascii="Times New Roman" w:hAnsi="Times New Roman" w:cs="Times New Roman"/>
          <w:b/>
        </w:rPr>
      </w:pPr>
    </w:p>
    <w:p w14:paraId="2CF8C953" w14:textId="77777777" w:rsidR="001437DE" w:rsidRDefault="001437DE" w:rsidP="005F5933">
      <w:pPr>
        <w:rPr>
          <w:rFonts w:ascii="Times New Roman" w:hAnsi="Times New Roman" w:cs="Times New Roman"/>
          <w:b/>
        </w:rPr>
      </w:pPr>
    </w:p>
    <w:p w14:paraId="5F504B3E" w14:textId="77777777" w:rsidR="001437DE" w:rsidRDefault="001437DE" w:rsidP="005F5933">
      <w:pPr>
        <w:rPr>
          <w:rFonts w:ascii="Times New Roman" w:hAnsi="Times New Roman" w:cs="Times New Roman"/>
          <w:b/>
        </w:rPr>
      </w:pPr>
    </w:p>
    <w:p w14:paraId="26637E6A" w14:textId="77777777" w:rsidR="001437DE" w:rsidRDefault="001437DE" w:rsidP="005F5933">
      <w:pPr>
        <w:rPr>
          <w:rFonts w:ascii="Times New Roman" w:hAnsi="Times New Roman" w:cs="Times New Roman"/>
          <w:b/>
        </w:rPr>
      </w:pPr>
    </w:p>
    <w:p w14:paraId="51F569C5" w14:textId="77777777" w:rsidR="001437DE" w:rsidRDefault="001437DE" w:rsidP="005F5933">
      <w:pPr>
        <w:rPr>
          <w:rFonts w:ascii="Times New Roman" w:hAnsi="Times New Roman" w:cs="Times New Roman"/>
          <w:b/>
        </w:rPr>
      </w:pPr>
    </w:p>
    <w:p w14:paraId="4EE78C6C" w14:textId="77777777" w:rsidR="001437DE" w:rsidRDefault="001437DE" w:rsidP="005F5933">
      <w:pPr>
        <w:rPr>
          <w:rFonts w:ascii="Times New Roman" w:hAnsi="Times New Roman" w:cs="Times New Roman"/>
          <w:b/>
        </w:rPr>
      </w:pPr>
    </w:p>
    <w:p w14:paraId="2402ED9E" w14:textId="77777777" w:rsidR="001437DE" w:rsidRDefault="001437DE" w:rsidP="005F5933">
      <w:pPr>
        <w:rPr>
          <w:rFonts w:ascii="Times New Roman" w:hAnsi="Times New Roman" w:cs="Times New Roman"/>
          <w:b/>
        </w:rPr>
      </w:pPr>
    </w:p>
    <w:p w14:paraId="1F628CD5" w14:textId="77777777" w:rsidR="001437DE" w:rsidRDefault="001437DE" w:rsidP="005F5933">
      <w:pPr>
        <w:rPr>
          <w:rFonts w:ascii="Times New Roman" w:hAnsi="Times New Roman" w:cs="Times New Roman"/>
          <w:b/>
        </w:rPr>
      </w:pPr>
    </w:p>
    <w:p w14:paraId="22C19754" w14:textId="77777777" w:rsidR="001437DE" w:rsidRDefault="001437DE" w:rsidP="005F5933">
      <w:pPr>
        <w:rPr>
          <w:rFonts w:ascii="Times New Roman" w:hAnsi="Times New Roman" w:cs="Times New Roman"/>
          <w:b/>
        </w:rPr>
      </w:pPr>
    </w:p>
    <w:p w14:paraId="77D74415" w14:textId="77777777" w:rsidR="001437DE" w:rsidRDefault="001437DE" w:rsidP="005F5933">
      <w:pPr>
        <w:rPr>
          <w:rFonts w:ascii="Times New Roman" w:hAnsi="Times New Roman" w:cs="Times New Roman"/>
          <w:b/>
        </w:rPr>
      </w:pPr>
    </w:p>
    <w:p w14:paraId="185BE047" w14:textId="77777777" w:rsidR="001437DE" w:rsidRDefault="001437DE" w:rsidP="005F5933">
      <w:pPr>
        <w:rPr>
          <w:rFonts w:ascii="Times New Roman" w:hAnsi="Times New Roman" w:cs="Times New Roman"/>
          <w:b/>
        </w:rPr>
      </w:pPr>
    </w:p>
    <w:p w14:paraId="17B7C702" w14:textId="77777777" w:rsidR="001437DE" w:rsidRDefault="001437DE" w:rsidP="005F5933">
      <w:pPr>
        <w:rPr>
          <w:rFonts w:ascii="Times New Roman" w:hAnsi="Times New Roman" w:cs="Times New Roman"/>
          <w:b/>
        </w:rPr>
      </w:pPr>
    </w:p>
    <w:p w14:paraId="005A4896" w14:textId="77777777" w:rsidR="001437DE" w:rsidRDefault="001437DE" w:rsidP="005F5933">
      <w:pPr>
        <w:rPr>
          <w:rFonts w:ascii="Times New Roman" w:hAnsi="Times New Roman" w:cs="Times New Roman"/>
          <w:b/>
        </w:rPr>
      </w:pPr>
    </w:p>
    <w:p w14:paraId="229F4017" w14:textId="77777777" w:rsidR="001437DE" w:rsidRDefault="001437DE" w:rsidP="005F5933">
      <w:pPr>
        <w:rPr>
          <w:rFonts w:ascii="Times New Roman" w:hAnsi="Times New Roman" w:cs="Times New Roman"/>
          <w:b/>
        </w:rPr>
      </w:pPr>
    </w:p>
    <w:p w14:paraId="526A8288" w14:textId="77777777" w:rsidR="001437DE" w:rsidRDefault="001437DE" w:rsidP="005F5933">
      <w:pPr>
        <w:rPr>
          <w:rFonts w:ascii="Times New Roman" w:hAnsi="Times New Roman" w:cs="Times New Roman"/>
          <w:b/>
        </w:rPr>
      </w:pPr>
    </w:p>
    <w:p w14:paraId="5B1E6AE7" w14:textId="77777777" w:rsidR="00F075FA" w:rsidRDefault="00F075FA" w:rsidP="005F5933">
      <w:pPr>
        <w:rPr>
          <w:rFonts w:ascii="Times New Roman" w:hAnsi="Times New Roman" w:cs="Times New Roman"/>
          <w:b/>
        </w:rPr>
      </w:pPr>
    </w:p>
    <w:p w14:paraId="38F81568" w14:textId="77777777" w:rsidR="00F075FA" w:rsidRDefault="00F075FA" w:rsidP="005F5933">
      <w:pPr>
        <w:rPr>
          <w:rFonts w:ascii="Times New Roman" w:hAnsi="Times New Roman" w:cs="Times New Roman"/>
          <w:b/>
        </w:rPr>
      </w:pPr>
    </w:p>
    <w:p w14:paraId="205A096E" w14:textId="77777777" w:rsidR="007D527B" w:rsidRPr="009B22CF" w:rsidRDefault="009B22CF" w:rsidP="004C47F5">
      <w:pPr>
        <w:rPr>
          <w:b/>
          <w:color w:val="1F4E79" w:themeColor="accent1" w:themeShade="80"/>
          <w:sz w:val="36"/>
          <w:szCs w:val="36"/>
        </w:rPr>
      </w:pPr>
      <w:r>
        <w:rPr>
          <w:b/>
          <w:color w:val="1F4E79" w:themeColor="accent1" w:themeShade="80"/>
          <w:sz w:val="36"/>
          <w:szCs w:val="36"/>
        </w:rPr>
        <w:t>Í</w:t>
      </w:r>
      <w:r w:rsidR="00D325CA" w:rsidRPr="009B22CF">
        <w:rPr>
          <w:b/>
          <w:color w:val="1F4E79" w:themeColor="accent1" w:themeShade="80"/>
          <w:sz w:val="36"/>
          <w:szCs w:val="36"/>
        </w:rPr>
        <w:t xml:space="preserve">NDICE </w:t>
      </w:r>
    </w:p>
    <w:sdt>
      <w:sdtPr>
        <w:rPr>
          <w:rFonts w:eastAsiaTheme="minorHAnsi" w:cstheme="minorBidi"/>
          <w:lang w:val="es-ES" w:eastAsia="en-US"/>
        </w:rPr>
        <w:id w:val="1247997048"/>
        <w:docPartObj>
          <w:docPartGallery w:val="Table of Contents"/>
          <w:docPartUnique/>
        </w:docPartObj>
      </w:sdtPr>
      <w:sdtEndPr>
        <w:rPr>
          <w:b/>
          <w:bCs/>
        </w:rPr>
      </w:sdtEndPr>
      <w:sdtContent>
        <w:p w14:paraId="392881D9" w14:textId="04AF7CFA" w:rsidR="0054218B" w:rsidRDefault="00835A2A">
          <w:pPr>
            <w:pStyle w:val="TDC1"/>
            <w:tabs>
              <w:tab w:val="right" w:pos="8828"/>
            </w:tabs>
            <w:rPr>
              <w:rFonts w:cstheme="minorBidi"/>
              <w:noProof/>
              <w:lang w:val="es-GT" w:eastAsia="es-GT"/>
            </w:rPr>
          </w:pPr>
          <w:r>
            <w:rPr>
              <w:b/>
              <w:bCs/>
              <w:sz w:val="20"/>
              <w:szCs w:val="20"/>
              <w:lang w:val="es-ES"/>
            </w:rPr>
            <w:fldChar w:fldCharType="begin"/>
          </w:r>
          <w:r w:rsidRPr="00C17B31">
            <w:rPr>
              <w:b/>
              <w:bCs/>
              <w:sz w:val="20"/>
              <w:szCs w:val="20"/>
              <w:lang w:val="es-ES"/>
            </w:rPr>
            <w:instrText xml:space="preserve"> TOC \o "1-3" \h \z \u </w:instrText>
          </w:r>
          <w:r>
            <w:rPr>
              <w:b/>
              <w:bCs/>
              <w:sz w:val="20"/>
              <w:szCs w:val="20"/>
              <w:lang w:val="es-ES"/>
            </w:rPr>
            <w:fldChar w:fldCharType="separate"/>
          </w:r>
          <w:hyperlink w:anchor="_Toc15275119" w:history="1">
            <w:r w:rsidR="0054218B" w:rsidRPr="0045098C">
              <w:rPr>
                <w:rStyle w:val="Hipervnculo"/>
                <w:noProof/>
              </w:rPr>
              <w:t>GLOSARIO</w:t>
            </w:r>
            <w:r w:rsidR="0054218B">
              <w:rPr>
                <w:noProof/>
                <w:webHidden/>
              </w:rPr>
              <w:tab/>
            </w:r>
            <w:r w:rsidR="0054218B">
              <w:rPr>
                <w:noProof/>
                <w:webHidden/>
              </w:rPr>
              <w:fldChar w:fldCharType="begin"/>
            </w:r>
            <w:r w:rsidR="0054218B">
              <w:rPr>
                <w:noProof/>
                <w:webHidden/>
              </w:rPr>
              <w:instrText xml:space="preserve"> PAGEREF _Toc15275119 \h </w:instrText>
            </w:r>
            <w:r w:rsidR="0054218B">
              <w:rPr>
                <w:noProof/>
                <w:webHidden/>
              </w:rPr>
            </w:r>
            <w:r w:rsidR="0054218B">
              <w:rPr>
                <w:noProof/>
                <w:webHidden/>
              </w:rPr>
              <w:fldChar w:fldCharType="separate"/>
            </w:r>
            <w:r w:rsidR="00973EB9">
              <w:rPr>
                <w:noProof/>
                <w:webHidden/>
              </w:rPr>
              <w:t>4</w:t>
            </w:r>
            <w:r w:rsidR="0054218B">
              <w:rPr>
                <w:noProof/>
                <w:webHidden/>
              </w:rPr>
              <w:fldChar w:fldCharType="end"/>
            </w:r>
          </w:hyperlink>
        </w:p>
        <w:p w14:paraId="620A4735" w14:textId="47060944" w:rsidR="0054218B" w:rsidRDefault="00973EB9">
          <w:pPr>
            <w:pStyle w:val="TDC1"/>
            <w:tabs>
              <w:tab w:val="right" w:pos="8828"/>
            </w:tabs>
            <w:rPr>
              <w:rFonts w:cstheme="minorBidi"/>
              <w:noProof/>
              <w:lang w:val="es-GT" w:eastAsia="es-GT"/>
            </w:rPr>
          </w:pPr>
          <w:hyperlink w:anchor="_Toc15275120" w:history="1">
            <w:r w:rsidR="0054218B" w:rsidRPr="0045098C">
              <w:rPr>
                <w:rStyle w:val="Hipervnculo"/>
                <w:noProof/>
              </w:rPr>
              <w:t>INTRODUCCIÓN</w:t>
            </w:r>
            <w:r w:rsidR="0054218B">
              <w:rPr>
                <w:noProof/>
                <w:webHidden/>
              </w:rPr>
              <w:tab/>
            </w:r>
            <w:r w:rsidR="0054218B">
              <w:rPr>
                <w:noProof/>
                <w:webHidden/>
              </w:rPr>
              <w:fldChar w:fldCharType="begin"/>
            </w:r>
            <w:r w:rsidR="0054218B">
              <w:rPr>
                <w:noProof/>
                <w:webHidden/>
              </w:rPr>
              <w:instrText xml:space="preserve"> PAGEREF _Toc15275120 \h </w:instrText>
            </w:r>
            <w:r w:rsidR="0054218B">
              <w:rPr>
                <w:noProof/>
                <w:webHidden/>
              </w:rPr>
            </w:r>
            <w:r w:rsidR="0054218B">
              <w:rPr>
                <w:noProof/>
                <w:webHidden/>
              </w:rPr>
              <w:fldChar w:fldCharType="separate"/>
            </w:r>
            <w:r>
              <w:rPr>
                <w:noProof/>
                <w:webHidden/>
              </w:rPr>
              <w:t>5</w:t>
            </w:r>
            <w:r w:rsidR="0054218B">
              <w:rPr>
                <w:noProof/>
                <w:webHidden/>
              </w:rPr>
              <w:fldChar w:fldCharType="end"/>
            </w:r>
          </w:hyperlink>
        </w:p>
        <w:p w14:paraId="3F5AB33E" w14:textId="4AB7F7B0" w:rsidR="0054218B" w:rsidRDefault="00973EB9">
          <w:pPr>
            <w:pStyle w:val="TDC1"/>
            <w:tabs>
              <w:tab w:val="right" w:pos="8828"/>
            </w:tabs>
            <w:rPr>
              <w:rFonts w:cstheme="minorBidi"/>
              <w:noProof/>
              <w:lang w:val="es-GT" w:eastAsia="es-GT"/>
            </w:rPr>
          </w:pPr>
          <w:hyperlink w:anchor="_Toc15275121" w:history="1">
            <w:r w:rsidR="0054218B" w:rsidRPr="0045098C">
              <w:rPr>
                <w:rStyle w:val="Hipervnculo"/>
                <w:noProof/>
              </w:rPr>
              <w:t>I. MARCO GENERAL PARA LA ESTRATEGIA NACIONAL DE SOSTENIBILIDAD</w:t>
            </w:r>
            <w:r w:rsidR="0054218B">
              <w:rPr>
                <w:noProof/>
                <w:webHidden/>
              </w:rPr>
              <w:tab/>
            </w:r>
            <w:r w:rsidR="0054218B">
              <w:rPr>
                <w:noProof/>
                <w:webHidden/>
              </w:rPr>
              <w:fldChar w:fldCharType="begin"/>
            </w:r>
            <w:r w:rsidR="0054218B">
              <w:rPr>
                <w:noProof/>
                <w:webHidden/>
              </w:rPr>
              <w:instrText xml:space="preserve"> PAGEREF _Toc15275121 \h </w:instrText>
            </w:r>
            <w:r w:rsidR="0054218B">
              <w:rPr>
                <w:noProof/>
                <w:webHidden/>
              </w:rPr>
            </w:r>
            <w:r w:rsidR="0054218B">
              <w:rPr>
                <w:noProof/>
                <w:webHidden/>
              </w:rPr>
              <w:fldChar w:fldCharType="separate"/>
            </w:r>
            <w:r>
              <w:rPr>
                <w:noProof/>
                <w:webHidden/>
              </w:rPr>
              <w:t>6</w:t>
            </w:r>
            <w:r w:rsidR="0054218B">
              <w:rPr>
                <w:noProof/>
                <w:webHidden/>
              </w:rPr>
              <w:fldChar w:fldCharType="end"/>
            </w:r>
          </w:hyperlink>
        </w:p>
        <w:p w14:paraId="159B1616" w14:textId="11A07177" w:rsidR="0054218B" w:rsidRDefault="00973EB9">
          <w:pPr>
            <w:pStyle w:val="TDC1"/>
            <w:tabs>
              <w:tab w:val="right" w:pos="8828"/>
            </w:tabs>
            <w:rPr>
              <w:rFonts w:cstheme="minorBidi"/>
              <w:noProof/>
              <w:lang w:val="es-GT" w:eastAsia="es-GT"/>
            </w:rPr>
          </w:pPr>
          <w:hyperlink w:anchor="_Toc15275122" w:history="1">
            <w:r w:rsidR="0054218B" w:rsidRPr="0045098C">
              <w:rPr>
                <w:rStyle w:val="Hipervnculo"/>
                <w:noProof/>
              </w:rPr>
              <w:t>II. ANÁLISIS DE SITUACIÓN</w:t>
            </w:r>
            <w:r w:rsidR="0054218B">
              <w:rPr>
                <w:noProof/>
                <w:webHidden/>
              </w:rPr>
              <w:tab/>
            </w:r>
            <w:r w:rsidR="0054218B">
              <w:rPr>
                <w:noProof/>
                <w:webHidden/>
              </w:rPr>
              <w:fldChar w:fldCharType="begin"/>
            </w:r>
            <w:r w:rsidR="0054218B">
              <w:rPr>
                <w:noProof/>
                <w:webHidden/>
              </w:rPr>
              <w:instrText xml:space="preserve"> PAGEREF _Toc15275122 \h </w:instrText>
            </w:r>
            <w:r w:rsidR="0054218B">
              <w:rPr>
                <w:noProof/>
                <w:webHidden/>
              </w:rPr>
            </w:r>
            <w:r w:rsidR="0054218B">
              <w:rPr>
                <w:noProof/>
                <w:webHidden/>
              </w:rPr>
              <w:fldChar w:fldCharType="separate"/>
            </w:r>
            <w:r>
              <w:rPr>
                <w:noProof/>
                <w:webHidden/>
              </w:rPr>
              <w:t>8</w:t>
            </w:r>
            <w:r w:rsidR="0054218B">
              <w:rPr>
                <w:noProof/>
                <w:webHidden/>
              </w:rPr>
              <w:fldChar w:fldCharType="end"/>
            </w:r>
          </w:hyperlink>
        </w:p>
        <w:p w14:paraId="79AB052F" w14:textId="1889FEC5" w:rsidR="0054218B" w:rsidRDefault="00973EB9">
          <w:pPr>
            <w:pStyle w:val="TDC2"/>
            <w:tabs>
              <w:tab w:val="right" w:pos="8828"/>
            </w:tabs>
            <w:rPr>
              <w:rFonts w:cstheme="minorBidi"/>
              <w:noProof/>
              <w:lang w:val="es-GT" w:eastAsia="es-GT"/>
            </w:rPr>
          </w:pPr>
          <w:hyperlink w:anchor="_Toc15275123" w:history="1">
            <w:r w:rsidR="0054218B" w:rsidRPr="0045098C">
              <w:rPr>
                <w:rStyle w:val="Hipervnculo"/>
                <w:rFonts w:eastAsia="Times New Roman"/>
                <w:noProof/>
                <w:lang w:val="es-PA" w:eastAsia="es-PA"/>
              </w:rPr>
              <w:t xml:space="preserve">3.1 Marco de políticas y </w:t>
            </w:r>
            <w:r w:rsidR="0054218B" w:rsidRPr="0045098C">
              <w:rPr>
                <w:rStyle w:val="Hipervnculo"/>
                <w:noProof/>
              </w:rPr>
              <w:t>compromisos</w:t>
            </w:r>
            <w:r w:rsidR="0054218B" w:rsidRPr="0045098C">
              <w:rPr>
                <w:rStyle w:val="Hipervnculo"/>
                <w:rFonts w:eastAsia="Times New Roman"/>
                <w:noProof/>
                <w:lang w:val="es-PA" w:eastAsia="es-PA"/>
              </w:rPr>
              <w:t xml:space="preserve"> relacionados con VIH</w:t>
            </w:r>
            <w:r w:rsidR="0054218B">
              <w:rPr>
                <w:noProof/>
                <w:webHidden/>
              </w:rPr>
              <w:tab/>
            </w:r>
            <w:r w:rsidR="0054218B">
              <w:rPr>
                <w:noProof/>
                <w:webHidden/>
              </w:rPr>
              <w:fldChar w:fldCharType="begin"/>
            </w:r>
            <w:r w:rsidR="0054218B">
              <w:rPr>
                <w:noProof/>
                <w:webHidden/>
              </w:rPr>
              <w:instrText xml:space="preserve"> PAGEREF _Toc15275123 \h </w:instrText>
            </w:r>
            <w:r w:rsidR="0054218B">
              <w:rPr>
                <w:noProof/>
                <w:webHidden/>
              </w:rPr>
            </w:r>
            <w:r w:rsidR="0054218B">
              <w:rPr>
                <w:noProof/>
                <w:webHidden/>
              </w:rPr>
              <w:fldChar w:fldCharType="separate"/>
            </w:r>
            <w:r>
              <w:rPr>
                <w:noProof/>
                <w:webHidden/>
              </w:rPr>
              <w:t>8</w:t>
            </w:r>
            <w:r w:rsidR="0054218B">
              <w:rPr>
                <w:noProof/>
                <w:webHidden/>
              </w:rPr>
              <w:fldChar w:fldCharType="end"/>
            </w:r>
          </w:hyperlink>
        </w:p>
        <w:p w14:paraId="30F2C8F2" w14:textId="68852EF4" w:rsidR="0054218B" w:rsidRDefault="00973EB9">
          <w:pPr>
            <w:pStyle w:val="TDC2"/>
            <w:tabs>
              <w:tab w:val="right" w:pos="8828"/>
            </w:tabs>
            <w:rPr>
              <w:rFonts w:cstheme="minorBidi"/>
              <w:noProof/>
              <w:lang w:val="es-GT" w:eastAsia="es-GT"/>
            </w:rPr>
          </w:pPr>
          <w:hyperlink w:anchor="_Toc15275124" w:history="1">
            <w:r w:rsidR="0054218B" w:rsidRPr="0045098C">
              <w:rPr>
                <w:rStyle w:val="Hipervnculo"/>
                <w:noProof/>
                <w:lang w:val="es-PA" w:eastAsia="es-PA"/>
              </w:rPr>
              <w:t xml:space="preserve">3.2 Situación </w:t>
            </w:r>
            <w:r w:rsidR="0054218B" w:rsidRPr="0045098C">
              <w:rPr>
                <w:rStyle w:val="Hipervnculo"/>
                <w:noProof/>
              </w:rPr>
              <w:t>demográfica</w:t>
            </w:r>
            <w:r w:rsidR="0054218B">
              <w:rPr>
                <w:noProof/>
                <w:webHidden/>
              </w:rPr>
              <w:tab/>
            </w:r>
            <w:r w:rsidR="0054218B">
              <w:rPr>
                <w:noProof/>
                <w:webHidden/>
              </w:rPr>
              <w:fldChar w:fldCharType="begin"/>
            </w:r>
            <w:r w:rsidR="0054218B">
              <w:rPr>
                <w:noProof/>
                <w:webHidden/>
              </w:rPr>
              <w:instrText xml:space="preserve"> PAGEREF _Toc15275124 \h </w:instrText>
            </w:r>
            <w:r w:rsidR="0054218B">
              <w:rPr>
                <w:noProof/>
                <w:webHidden/>
              </w:rPr>
            </w:r>
            <w:r w:rsidR="0054218B">
              <w:rPr>
                <w:noProof/>
                <w:webHidden/>
              </w:rPr>
              <w:fldChar w:fldCharType="separate"/>
            </w:r>
            <w:r>
              <w:rPr>
                <w:noProof/>
                <w:webHidden/>
              </w:rPr>
              <w:t>11</w:t>
            </w:r>
            <w:r w:rsidR="0054218B">
              <w:rPr>
                <w:noProof/>
                <w:webHidden/>
              </w:rPr>
              <w:fldChar w:fldCharType="end"/>
            </w:r>
          </w:hyperlink>
        </w:p>
        <w:p w14:paraId="6D13C2E7" w14:textId="0B3E3ED1" w:rsidR="0054218B" w:rsidRDefault="00973EB9">
          <w:pPr>
            <w:pStyle w:val="TDC2"/>
            <w:tabs>
              <w:tab w:val="right" w:pos="8828"/>
            </w:tabs>
            <w:rPr>
              <w:rFonts w:cstheme="minorBidi"/>
              <w:noProof/>
              <w:lang w:val="es-GT" w:eastAsia="es-GT"/>
            </w:rPr>
          </w:pPr>
          <w:hyperlink w:anchor="_Toc15275125" w:history="1">
            <w:r w:rsidR="0054218B" w:rsidRPr="0045098C">
              <w:rPr>
                <w:rStyle w:val="Hipervnculo"/>
                <w:noProof/>
                <w:lang w:eastAsia="es-PA"/>
              </w:rPr>
              <w:t xml:space="preserve">3.3 Panorama </w:t>
            </w:r>
            <w:r w:rsidR="0054218B" w:rsidRPr="0045098C">
              <w:rPr>
                <w:rStyle w:val="Hipervnculo"/>
                <w:noProof/>
              </w:rPr>
              <w:t>macroeconómico</w:t>
            </w:r>
            <w:r w:rsidR="0054218B" w:rsidRPr="0045098C">
              <w:rPr>
                <w:rStyle w:val="Hipervnculo"/>
                <w:noProof/>
                <w:lang w:eastAsia="es-PA"/>
              </w:rPr>
              <w:t xml:space="preserve"> y perspectivas económicas</w:t>
            </w:r>
            <w:r w:rsidR="0054218B">
              <w:rPr>
                <w:noProof/>
                <w:webHidden/>
              </w:rPr>
              <w:tab/>
            </w:r>
            <w:r w:rsidR="0054218B">
              <w:rPr>
                <w:noProof/>
                <w:webHidden/>
              </w:rPr>
              <w:fldChar w:fldCharType="begin"/>
            </w:r>
            <w:r w:rsidR="0054218B">
              <w:rPr>
                <w:noProof/>
                <w:webHidden/>
              </w:rPr>
              <w:instrText xml:space="preserve"> PAGEREF _Toc15275125 \h </w:instrText>
            </w:r>
            <w:r w:rsidR="0054218B">
              <w:rPr>
                <w:noProof/>
                <w:webHidden/>
              </w:rPr>
            </w:r>
            <w:r w:rsidR="0054218B">
              <w:rPr>
                <w:noProof/>
                <w:webHidden/>
              </w:rPr>
              <w:fldChar w:fldCharType="separate"/>
            </w:r>
            <w:r>
              <w:rPr>
                <w:noProof/>
                <w:webHidden/>
              </w:rPr>
              <w:t>12</w:t>
            </w:r>
            <w:r w:rsidR="0054218B">
              <w:rPr>
                <w:noProof/>
                <w:webHidden/>
              </w:rPr>
              <w:fldChar w:fldCharType="end"/>
            </w:r>
          </w:hyperlink>
        </w:p>
        <w:p w14:paraId="2A2913B3" w14:textId="0EC445D7" w:rsidR="0054218B" w:rsidRDefault="00973EB9">
          <w:pPr>
            <w:pStyle w:val="TDC2"/>
            <w:tabs>
              <w:tab w:val="right" w:pos="8828"/>
            </w:tabs>
            <w:rPr>
              <w:rFonts w:cstheme="minorBidi"/>
              <w:noProof/>
              <w:lang w:val="es-GT" w:eastAsia="es-GT"/>
            </w:rPr>
          </w:pPr>
          <w:hyperlink w:anchor="_Toc15275126" w:history="1">
            <w:r w:rsidR="0054218B" w:rsidRPr="0045098C">
              <w:rPr>
                <w:rStyle w:val="Hipervnculo"/>
                <w:noProof/>
                <w:lang w:val="es-PA" w:eastAsia="es-PA"/>
              </w:rPr>
              <w:t xml:space="preserve">3.4 </w:t>
            </w:r>
            <w:r w:rsidR="0054218B" w:rsidRPr="0045098C">
              <w:rPr>
                <w:rStyle w:val="Hipervnculo"/>
                <w:noProof/>
              </w:rPr>
              <w:t>Situación</w:t>
            </w:r>
            <w:r w:rsidR="0054218B" w:rsidRPr="0045098C">
              <w:rPr>
                <w:rStyle w:val="Hipervnculo"/>
                <w:noProof/>
                <w:lang w:val="es-PA" w:eastAsia="es-PA"/>
              </w:rPr>
              <w:t xml:space="preserve"> de salud</w:t>
            </w:r>
            <w:r w:rsidR="0054218B">
              <w:rPr>
                <w:noProof/>
                <w:webHidden/>
              </w:rPr>
              <w:tab/>
            </w:r>
            <w:r w:rsidR="0054218B">
              <w:rPr>
                <w:noProof/>
                <w:webHidden/>
              </w:rPr>
              <w:fldChar w:fldCharType="begin"/>
            </w:r>
            <w:r w:rsidR="0054218B">
              <w:rPr>
                <w:noProof/>
                <w:webHidden/>
              </w:rPr>
              <w:instrText xml:space="preserve"> PAGEREF _Toc15275126 \h </w:instrText>
            </w:r>
            <w:r w:rsidR="0054218B">
              <w:rPr>
                <w:noProof/>
                <w:webHidden/>
              </w:rPr>
            </w:r>
            <w:r w:rsidR="0054218B">
              <w:rPr>
                <w:noProof/>
                <w:webHidden/>
              </w:rPr>
              <w:fldChar w:fldCharType="separate"/>
            </w:r>
            <w:r>
              <w:rPr>
                <w:noProof/>
                <w:webHidden/>
              </w:rPr>
              <w:t>15</w:t>
            </w:r>
            <w:r w:rsidR="0054218B">
              <w:rPr>
                <w:noProof/>
                <w:webHidden/>
              </w:rPr>
              <w:fldChar w:fldCharType="end"/>
            </w:r>
          </w:hyperlink>
        </w:p>
        <w:p w14:paraId="04E59691" w14:textId="206FE5A5" w:rsidR="0054218B" w:rsidRDefault="00973EB9">
          <w:pPr>
            <w:pStyle w:val="TDC2"/>
            <w:tabs>
              <w:tab w:val="right" w:pos="8828"/>
            </w:tabs>
            <w:rPr>
              <w:rFonts w:cstheme="minorBidi"/>
              <w:noProof/>
              <w:lang w:val="es-GT" w:eastAsia="es-GT"/>
            </w:rPr>
          </w:pPr>
          <w:hyperlink w:anchor="_Toc15275127" w:history="1">
            <w:r w:rsidR="0054218B" w:rsidRPr="0045098C">
              <w:rPr>
                <w:rStyle w:val="Hipervnculo"/>
                <w:noProof/>
                <w:lang w:val="es-PA" w:eastAsia="es-PA"/>
              </w:rPr>
              <w:t xml:space="preserve">3.5 </w:t>
            </w:r>
            <w:r w:rsidR="0054218B" w:rsidRPr="0045098C">
              <w:rPr>
                <w:rStyle w:val="Hipervnculo"/>
                <w:noProof/>
              </w:rPr>
              <w:t>Epidemia</w:t>
            </w:r>
            <w:r w:rsidR="0054218B" w:rsidRPr="0045098C">
              <w:rPr>
                <w:rStyle w:val="Hipervnculo"/>
                <w:noProof/>
                <w:lang w:val="es-PA" w:eastAsia="es-PA"/>
              </w:rPr>
              <w:t xml:space="preserve"> de VIH y su Cascada de Atención</w:t>
            </w:r>
            <w:r w:rsidR="0054218B">
              <w:rPr>
                <w:noProof/>
                <w:webHidden/>
              </w:rPr>
              <w:tab/>
            </w:r>
            <w:r w:rsidR="0054218B">
              <w:rPr>
                <w:noProof/>
                <w:webHidden/>
              </w:rPr>
              <w:fldChar w:fldCharType="begin"/>
            </w:r>
            <w:r w:rsidR="0054218B">
              <w:rPr>
                <w:noProof/>
                <w:webHidden/>
              </w:rPr>
              <w:instrText xml:space="preserve"> PAGEREF _Toc15275127 \h </w:instrText>
            </w:r>
            <w:r w:rsidR="0054218B">
              <w:rPr>
                <w:noProof/>
                <w:webHidden/>
              </w:rPr>
            </w:r>
            <w:r w:rsidR="0054218B">
              <w:rPr>
                <w:noProof/>
                <w:webHidden/>
              </w:rPr>
              <w:fldChar w:fldCharType="separate"/>
            </w:r>
            <w:r>
              <w:rPr>
                <w:noProof/>
                <w:webHidden/>
              </w:rPr>
              <w:t>15</w:t>
            </w:r>
            <w:r w:rsidR="0054218B">
              <w:rPr>
                <w:noProof/>
                <w:webHidden/>
              </w:rPr>
              <w:fldChar w:fldCharType="end"/>
            </w:r>
          </w:hyperlink>
        </w:p>
        <w:p w14:paraId="76CDF8A9" w14:textId="79EE0591" w:rsidR="0054218B" w:rsidRDefault="00973EB9">
          <w:pPr>
            <w:pStyle w:val="TDC3"/>
            <w:tabs>
              <w:tab w:val="right" w:pos="8828"/>
            </w:tabs>
            <w:rPr>
              <w:rFonts w:cstheme="minorBidi"/>
              <w:noProof/>
              <w:lang w:val="es-GT" w:eastAsia="es-GT"/>
            </w:rPr>
          </w:pPr>
          <w:hyperlink w:anchor="_Toc15275128" w:history="1">
            <w:r w:rsidR="0054218B" w:rsidRPr="0045098C">
              <w:rPr>
                <w:rStyle w:val="Hipervnculo"/>
                <w:rFonts w:eastAsia="Times New Roman"/>
                <w:noProof/>
              </w:rPr>
              <w:t>3.5.1 Epidemiología del VIH</w:t>
            </w:r>
            <w:r w:rsidR="0054218B">
              <w:rPr>
                <w:noProof/>
                <w:webHidden/>
              </w:rPr>
              <w:tab/>
            </w:r>
            <w:r w:rsidR="0054218B">
              <w:rPr>
                <w:noProof/>
                <w:webHidden/>
              </w:rPr>
              <w:fldChar w:fldCharType="begin"/>
            </w:r>
            <w:r w:rsidR="0054218B">
              <w:rPr>
                <w:noProof/>
                <w:webHidden/>
              </w:rPr>
              <w:instrText xml:space="preserve"> PAGEREF _Toc15275128 \h </w:instrText>
            </w:r>
            <w:r w:rsidR="0054218B">
              <w:rPr>
                <w:noProof/>
                <w:webHidden/>
              </w:rPr>
            </w:r>
            <w:r w:rsidR="0054218B">
              <w:rPr>
                <w:noProof/>
                <w:webHidden/>
              </w:rPr>
              <w:fldChar w:fldCharType="separate"/>
            </w:r>
            <w:r>
              <w:rPr>
                <w:noProof/>
                <w:webHidden/>
              </w:rPr>
              <w:t>15</w:t>
            </w:r>
            <w:r w:rsidR="0054218B">
              <w:rPr>
                <w:noProof/>
                <w:webHidden/>
              </w:rPr>
              <w:fldChar w:fldCharType="end"/>
            </w:r>
          </w:hyperlink>
        </w:p>
        <w:p w14:paraId="56C9703E" w14:textId="4F0687F8" w:rsidR="0054218B" w:rsidRDefault="00973EB9">
          <w:pPr>
            <w:pStyle w:val="TDC3"/>
            <w:tabs>
              <w:tab w:val="right" w:pos="8828"/>
            </w:tabs>
            <w:rPr>
              <w:rFonts w:cstheme="minorBidi"/>
              <w:noProof/>
              <w:lang w:val="es-GT" w:eastAsia="es-GT"/>
            </w:rPr>
          </w:pPr>
          <w:hyperlink w:anchor="_Toc15275129" w:history="1">
            <w:r w:rsidR="0054218B" w:rsidRPr="0045098C">
              <w:rPr>
                <w:rStyle w:val="Hipervnculo"/>
                <w:rFonts w:eastAsia="Times New Roman"/>
                <w:noProof/>
              </w:rPr>
              <w:t>3.5.2 Cascada de Atención</w:t>
            </w:r>
            <w:r w:rsidR="0054218B">
              <w:rPr>
                <w:noProof/>
                <w:webHidden/>
              </w:rPr>
              <w:tab/>
            </w:r>
            <w:r w:rsidR="0054218B">
              <w:rPr>
                <w:noProof/>
                <w:webHidden/>
              </w:rPr>
              <w:fldChar w:fldCharType="begin"/>
            </w:r>
            <w:r w:rsidR="0054218B">
              <w:rPr>
                <w:noProof/>
                <w:webHidden/>
              </w:rPr>
              <w:instrText xml:space="preserve"> PAGEREF _Toc15275129 \h </w:instrText>
            </w:r>
            <w:r w:rsidR="0054218B">
              <w:rPr>
                <w:noProof/>
                <w:webHidden/>
              </w:rPr>
            </w:r>
            <w:r w:rsidR="0054218B">
              <w:rPr>
                <w:noProof/>
                <w:webHidden/>
              </w:rPr>
              <w:fldChar w:fldCharType="separate"/>
            </w:r>
            <w:r>
              <w:rPr>
                <w:noProof/>
                <w:webHidden/>
              </w:rPr>
              <w:t>16</w:t>
            </w:r>
            <w:r w:rsidR="0054218B">
              <w:rPr>
                <w:noProof/>
                <w:webHidden/>
              </w:rPr>
              <w:fldChar w:fldCharType="end"/>
            </w:r>
          </w:hyperlink>
        </w:p>
        <w:p w14:paraId="08E3D650" w14:textId="7E1A69B1" w:rsidR="0054218B" w:rsidRDefault="00973EB9">
          <w:pPr>
            <w:pStyle w:val="TDC2"/>
            <w:tabs>
              <w:tab w:val="right" w:pos="8828"/>
            </w:tabs>
            <w:rPr>
              <w:rFonts w:cstheme="minorBidi"/>
              <w:noProof/>
              <w:lang w:val="es-GT" w:eastAsia="es-GT"/>
            </w:rPr>
          </w:pPr>
          <w:hyperlink w:anchor="_Toc15275130" w:history="1">
            <w:r w:rsidR="0054218B" w:rsidRPr="0045098C">
              <w:rPr>
                <w:rStyle w:val="Hipervnculo"/>
                <w:noProof/>
                <w:lang w:val="es-PA" w:eastAsia="es-PA"/>
              </w:rPr>
              <w:t xml:space="preserve">3.6 </w:t>
            </w:r>
            <w:r w:rsidR="0054218B" w:rsidRPr="0045098C">
              <w:rPr>
                <w:rStyle w:val="Hipervnculo"/>
                <w:noProof/>
              </w:rPr>
              <w:t>Sostenibilidad de la respuesta</w:t>
            </w:r>
            <w:r w:rsidR="0054218B">
              <w:rPr>
                <w:noProof/>
                <w:webHidden/>
              </w:rPr>
              <w:tab/>
            </w:r>
            <w:r w:rsidR="0054218B">
              <w:rPr>
                <w:noProof/>
                <w:webHidden/>
              </w:rPr>
              <w:fldChar w:fldCharType="begin"/>
            </w:r>
            <w:r w:rsidR="0054218B">
              <w:rPr>
                <w:noProof/>
                <w:webHidden/>
              </w:rPr>
              <w:instrText xml:space="preserve"> PAGEREF _Toc15275130 \h </w:instrText>
            </w:r>
            <w:r w:rsidR="0054218B">
              <w:rPr>
                <w:noProof/>
                <w:webHidden/>
              </w:rPr>
            </w:r>
            <w:r w:rsidR="0054218B">
              <w:rPr>
                <w:noProof/>
                <w:webHidden/>
              </w:rPr>
              <w:fldChar w:fldCharType="separate"/>
            </w:r>
            <w:r>
              <w:rPr>
                <w:noProof/>
                <w:webHidden/>
              </w:rPr>
              <w:t>17</w:t>
            </w:r>
            <w:r w:rsidR="0054218B">
              <w:rPr>
                <w:noProof/>
                <w:webHidden/>
              </w:rPr>
              <w:fldChar w:fldCharType="end"/>
            </w:r>
          </w:hyperlink>
        </w:p>
        <w:p w14:paraId="27A18219" w14:textId="3136934D" w:rsidR="0054218B" w:rsidRDefault="00973EB9">
          <w:pPr>
            <w:pStyle w:val="TDC3"/>
            <w:tabs>
              <w:tab w:val="right" w:pos="8828"/>
            </w:tabs>
            <w:rPr>
              <w:rFonts w:cstheme="minorBidi"/>
              <w:noProof/>
              <w:lang w:val="es-GT" w:eastAsia="es-GT"/>
            </w:rPr>
          </w:pPr>
          <w:hyperlink w:anchor="_Toc15275131" w:history="1">
            <w:r w:rsidR="0054218B" w:rsidRPr="0045098C">
              <w:rPr>
                <w:rStyle w:val="Hipervnculo"/>
                <w:noProof/>
                <w:lang w:val="es-PA" w:eastAsia="es-PA"/>
              </w:rPr>
              <w:t>3.6.1 Índice de Sostenibilidad</w:t>
            </w:r>
            <w:r w:rsidR="0054218B">
              <w:rPr>
                <w:noProof/>
                <w:webHidden/>
              </w:rPr>
              <w:tab/>
            </w:r>
            <w:r w:rsidR="0054218B">
              <w:rPr>
                <w:noProof/>
                <w:webHidden/>
              </w:rPr>
              <w:fldChar w:fldCharType="begin"/>
            </w:r>
            <w:r w:rsidR="0054218B">
              <w:rPr>
                <w:noProof/>
                <w:webHidden/>
              </w:rPr>
              <w:instrText xml:space="preserve"> PAGEREF _Toc15275131 \h </w:instrText>
            </w:r>
            <w:r w:rsidR="0054218B">
              <w:rPr>
                <w:noProof/>
                <w:webHidden/>
              </w:rPr>
            </w:r>
            <w:r w:rsidR="0054218B">
              <w:rPr>
                <w:noProof/>
                <w:webHidden/>
              </w:rPr>
              <w:fldChar w:fldCharType="separate"/>
            </w:r>
            <w:r>
              <w:rPr>
                <w:noProof/>
                <w:webHidden/>
              </w:rPr>
              <w:t>17</w:t>
            </w:r>
            <w:r w:rsidR="0054218B">
              <w:rPr>
                <w:noProof/>
                <w:webHidden/>
              </w:rPr>
              <w:fldChar w:fldCharType="end"/>
            </w:r>
          </w:hyperlink>
        </w:p>
        <w:p w14:paraId="7A08B40C" w14:textId="2C3189B6" w:rsidR="0054218B" w:rsidRDefault="00973EB9">
          <w:pPr>
            <w:pStyle w:val="TDC3"/>
            <w:tabs>
              <w:tab w:val="right" w:pos="8828"/>
            </w:tabs>
            <w:rPr>
              <w:rFonts w:cstheme="minorBidi"/>
              <w:noProof/>
              <w:lang w:val="es-GT" w:eastAsia="es-GT"/>
            </w:rPr>
          </w:pPr>
          <w:hyperlink w:anchor="_Toc15275132" w:history="1">
            <w:r w:rsidR="0054218B" w:rsidRPr="0045098C">
              <w:rPr>
                <w:rStyle w:val="Hipervnculo"/>
                <w:noProof/>
                <w:lang w:eastAsia="es-PA"/>
              </w:rPr>
              <w:t>3.6.2  Caso de inversión en VIH</w:t>
            </w:r>
            <w:r w:rsidR="0054218B">
              <w:rPr>
                <w:noProof/>
                <w:webHidden/>
              </w:rPr>
              <w:tab/>
            </w:r>
            <w:r w:rsidR="0054218B">
              <w:rPr>
                <w:noProof/>
                <w:webHidden/>
              </w:rPr>
              <w:fldChar w:fldCharType="begin"/>
            </w:r>
            <w:r w:rsidR="0054218B">
              <w:rPr>
                <w:noProof/>
                <w:webHidden/>
              </w:rPr>
              <w:instrText xml:space="preserve"> PAGEREF _Toc15275132 \h </w:instrText>
            </w:r>
            <w:r w:rsidR="0054218B">
              <w:rPr>
                <w:noProof/>
                <w:webHidden/>
              </w:rPr>
            </w:r>
            <w:r w:rsidR="0054218B">
              <w:rPr>
                <w:noProof/>
                <w:webHidden/>
              </w:rPr>
              <w:fldChar w:fldCharType="separate"/>
            </w:r>
            <w:r>
              <w:rPr>
                <w:noProof/>
                <w:webHidden/>
              </w:rPr>
              <w:t>18</w:t>
            </w:r>
            <w:r w:rsidR="0054218B">
              <w:rPr>
                <w:noProof/>
                <w:webHidden/>
              </w:rPr>
              <w:fldChar w:fldCharType="end"/>
            </w:r>
          </w:hyperlink>
        </w:p>
        <w:p w14:paraId="3AF02EB0" w14:textId="679F513D" w:rsidR="0054218B" w:rsidRDefault="00973EB9">
          <w:pPr>
            <w:pStyle w:val="TDC3"/>
            <w:tabs>
              <w:tab w:val="right" w:pos="8828"/>
            </w:tabs>
            <w:rPr>
              <w:rFonts w:cstheme="minorBidi"/>
              <w:noProof/>
              <w:lang w:val="es-GT" w:eastAsia="es-GT"/>
            </w:rPr>
          </w:pPr>
          <w:hyperlink w:anchor="_Toc15275133" w:history="1">
            <w:r w:rsidR="0054218B" w:rsidRPr="0045098C">
              <w:rPr>
                <w:rStyle w:val="Hipervnculo"/>
                <w:noProof/>
                <w:lang w:val="es-PA" w:eastAsia="es-PA"/>
              </w:rPr>
              <w:t>3.6.3 Financiamiento nacional e internacional para VIH</w:t>
            </w:r>
            <w:r w:rsidR="0054218B">
              <w:rPr>
                <w:noProof/>
                <w:webHidden/>
              </w:rPr>
              <w:tab/>
            </w:r>
            <w:r w:rsidR="0054218B">
              <w:rPr>
                <w:noProof/>
                <w:webHidden/>
              </w:rPr>
              <w:fldChar w:fldCharType="begin"/>
            </w:r>
            <w:r w:rsidR="0054218B">
              <w:rPr>
                <w:noProof/>
                <w:webHidden/>
              </w:rPr>
              <w:instrText xml:space="preserve"> PAGEREF _Toc15275133 \h </w:instrText>
            </w:r>
            <w:r w:rsidR="0054218B">
              <w:rPr>
                <w:noProof/>
                <w:webHidden/>
              </w:rPr>
            </w:r>
            <w:r w:rsidR="0054218B">
              <w:rPr>
                <w:noProof/>
                <w:webHidden/>
              </w:rPr>
              <w:fldChar w:fldCharType="separate"/>
            </w:r>
            <w:r>
              <w:rPr>
                <w:noProof/>
                <w:webHidden/>
              </w:rPr>
              <w:t>20</w:t>
            </w:r>
            <w:r w:rsidR="0054218B">
              <w:rPr>
                <w:noProof/>
                <w:webHidden/>
              </w:rPr>
              <w:fldChar w:fldCharType="end"/>
            </w:r>
          </w:hyperlink>
        </w:p>
        <w:p w14:paraId="2B3BF95E" w14:textId="20064C26" w:rsidR="0054218B" w:rsidRDefault="00973EB9">
          <w:pPr>
            <w:pStyle w:val="TDC1"/>
            <w:tabs>
              <w:tab w:val="right" w:pos="8828"/>
            </w:tabs>
            <w:rPr>
              <w:rFonts w:cstheme="minorBidi"/>
              <w:noProof/>
              <w:lang w:val="es-GT" w:eastAsia="es-GT"/>
            </w:rPr>
          </w:pPr>
          <w:hyperlink w:anchor="_Toc15275134" w:history="1">
            <w:r w:rsidR="0054218B" w:rsidRPr="0045098C">
              <w:rPr>
                <w:rStyle w:val="Hipervnculo"/>
                <w:noProof/>
              </w:rPr>
              <w:t>III</w:t>
            </w:r>
            <w:r w:rsidR="0054218B" w:rsidRPr="0045098C">
              <w:rPr>
                <w:rStyle w:val="Hipervnculo"/>
                <w:noProof/>
                <w:lang w:val="es-MX"/>
              </w:rPr>
              <w:t>. LINEAMIENTOS ESTRATÉGICOS Y PLAN DE ACCIÓN PARA LA SOSTENIBILIDAD</w:t>
            </w:r>
            <w:r w:rsidR="0054218B">
              <w:rPr>
                <w:noProof/>
                <w:webHidden/>
              </w:rPr>
              <w:tab/>
            </w:r>
            <w:r w:rsidR="0054218B">
              <w:rPr>
                <w:noProof/>
                <w:webHidden/>
              </w:rPr>
              <w:fldChar w:fldCharType="begin"/>
            </w:r>
            <w:r w:rsidR="0054218B">
              <w:rPr>
                <w:noProof/>
                <w:webHidden/>
              </w:rPr>
              <w:instrText xml:space="preserve"> PAGEREF _Toc15275134 \h </w:instrText>
            </w:r>
            <w:r w:rsidR="0054218B">
              <w:rPr>
                <w:noProof/>
                <w:webHidden/>
              </w:rPr>
            </w:r>
            <w:r w:rsidR="0054218B">
              <w:rPr>
                <w:noProof/>
                <w:webHidden/>
              </w:rPr>
              <w:fldChar w:fldCharType="separate"/>
            </w:r>
            <w:r>
              <w:rPr>
                <w:noProof/>
                <w:webHidden/>
              </w:rPr>
              <w:t>26</w:t>
            </w:r>
            <w:r w:rsidR="0054218B">
              <w:rPr>
                <w:noProof/>
                <w:webHidden/>
              </w:rPr>
              <w:fldChar w:fldCharType="end"/>
            </w:r>
          </w:hyperlink>
        </w:p>
        <w:p w14:paraId="36DA6669" w14:textId="2C2249B3" w:rsidR="0054218B" w:rsidRDefault="00973EB9">
          <w:pPr>
            <w:pStyle w:val="TDC2"/>
            <w:tabs>
              <w:tab w:val="right" w:pos="8828"/>
            </w:tabs>
            <w:rPr>
              <w:rFonts w:cstheme="minorBidi"/>
              <w:noProof/>
              <w:lang w:val="es-GT" w:eastAsia="es-GT"/>
            </w:rPr>
          </w:pPr>
          <w:hyperlink w:anchor="_Toc15275135" w:history="1">
            <w:r w:rsidR="0054218B" w:rsidRPr="0045098C">
              <w:rPr>
                <w:rStyle w:val="Hipervnculo"/>
                <w:noProof/>
                <w:lang w:val="es-MX"/>
              </w:rPr>
              <w:t>3.1 Visión</w:t>
            </w:r>
            <w:r w:rsidR="0054218B">
              <w:rPr>
                <w:noProof/>
                <w:webHidden/>
              </w:rPr>
              <w:tab/>
            </w:r>
            <w:r w:rsidR="0054218B">
              <w:rPr>
                <w:noProof/>
                <w:webHidden/>
              </w:rPr>
              <w:fldChar w:fldCharType="begin"/>
            </w:r>
            <w:r w:rsidR="0054218B">
              <w:rPr>
                <w:noProof/>
                <w:webHidden/>
              </w:rPr>
              <w:instrText xml:space="preserve"> PAGEREF _Toc15275135 \h </w:instrText>
            </w:r>
            <w:r w:rsidR="0054218B">
              <w:rPr>
                <w:noProof/>
                <w:webHidden/>
              </w:rPr>
            </w:r>
            <w:r w:rsidR="0054218B">
              <w:rPr>
                <w:noProof/>
                <w:webHidden/>
              </w:rPr>
              <w:fldChar w:fldCharType="separate"/>
            </w:r>
            <w:r>
              <w:rPr>
                <w:noProof/>
                <w:webHidden/>
              </w:rPr>
              <w:t>26</w:t>
            </w:r>
            <w:r w:rsidR="0054218B">
              <w:rPr>
                <w:noProof/>
                <w:webHidden/>
              </w:rPr>
              <w:fldChar w:fldCharType="end"/>
            </w:r>
          </w:hyperlink>
        </w:p>
        <w:p w14:paraId="7397AD1F" w14:textId="469A29BB" w:rsidR="0054218B" w:rsidRDefault="00973EB9">
          <w:pPr>
            <w:pStyle w:val="TDC2"/>
            <w:tabs>
              <w:tab w:val="right" w:pos="8828"/>
            </w:tabs>
            <w:rPr>
              <w:rFonts w:cstheme="minorBidi"/>
              <w:noProof/>
              <w:lang w:val="es-GT" w:eastAsia="es-GT"/>
            </w:rPr>
          </w:pPr>
          <w:hyperlink w:anchor="_Toc15275136" w:history="1">
            <w:r w:rsidR="0054218B" w:rsidRPr="0045098C">
              <w:rPr>
                <w:rStyle w:val="Hipervnculo"/>
                <w:noProof/>
                <w:lang w:val="es-MX"/>
              </w:rPr>
              <w:t>3.2 Misión</w:t>
            </w:r>
            <w:r w:rsidR="0054218B">
              <w:rPr>
                <w:noProof/>
                <w:webHidden/>
              </w:rPr>
              <w:tab/>
            </w:r>
            <w:r w:rsidR="0054218B">
              <w:rPr>
                <w:noProof/>
                <w:webHidden/>
              </w:rPr>
              <w:fldChar w:fldCharType="begin"/>
            </w:r>
            <w:r w:rsidR="0054218B">
              <w:rPr>
                <w:noProof/>
                <w:webHidden/>
              </w:rPr>
              <w:instrText xml:space="preserve"> PAGEREF _Toc15275136 \h </w:instrText>
            </w:r>
            <w:r w:rsidR="0054218B">
              <w:rPr>
                <w:noProof/>
                <w:webHidden/>
              </w:rPr>
            </w:r>
            <w:r w:rsidR="0054218B">
              <w:rPr>
                <w:noProof/>
                <w:webHidden/>
              </w:rPr>
              <w:fldChar w:fldCharType="separate"/>
            </w:r>
            <w:r>
              <w:rPr>
                <w:noProof/>
                <w:webHidden/>
              </w:rPr>
              <w:t>26</w:t>
            </w:r>
            <w:r w:rsidR="0054218B">
              <w:rPr>
                <w:noProof/>
                <w:webHidden/>
              </w:rPr>
              <w:fldChar w:fldCharType="end"/>
            </w:r>
          </w:hyperlink>
        </w:p>
        <w:p w14:paraId="1CD97C72" w14:textId="5FCE98B6" w:rsidR="0054218B" w:rsidRDefault="00973EB9">
          <w:pPr>
            <w:pStyle w:val="TDC2"/>
            <w:tabs>
              <w:tab w:val="right" w:pos="8828"/>
            </w:tabs>
            <w:rPr>
              <w:rFonts w:cstheme="minorBidi"/>
              <w:noProof/>
              <w:lang w:val="es-GT" w:eastAsia="es-GT"/>
            </w:rPr>
          </w:pPr>
          <w:hyperlink w:anchor="_Toc15275137" w:history="1">
            <w:r w:rsidR="0054218B" w:rsidRPr="0045098C">
              <w:rPr>
                <w:rStyle w:val="Hipervnculo"/>
                <w:noProof/>
                <w:lang w:val="es-MX"/>
              </w:rPr>
              <w:t>3.3 Objetivos</w:t>
            </w:r>
            <w:r w:rsidR="0054218B">
              <w:rPr>
                <w:noProof/>
                <w:webHidden/>
              </w:rPr>
              <w:tab/>
            </w:r>
            <w:r w:rsidR="0054218B">
              <w:rPr>
                <w:noProof/>
                <w:webHidden/>
              </w:rPr>
              <w:fldChar w:fldCharType="begin"/>
            </w:r>
            <w:r w:rsidR="0054218B">
              <w:rPr>
                <w:noProof/>
                <w:webHidden/>
              </w:rPr>
              <w:instrText xml:space="preserve"> PAGEREF _Toc15275137 \h </w:instrText>
            </w:r>
            <w:r w:rsidR="0054218B">
              <w:rPr>
                <w:noProof/>
                <w:webHidden/>
              </w:rPr>
            </w:r>
            <w:r w:rsidR="0054218B">
              <w:rPr>
                <w:noProof/>
                <w:webHidden/>
              </w:rPr>
              <w:fldChar w:fldCharType="separate"/>
            </w:r>
            <w:r>
              <w:rPr>
                <w:noProof/>
                <w:webHidden/>
              </w:rPr>
              <w:t>26</w:t>
            </w:r>
            <w:r w:rsidR="0054218B">
              <w:rPr>
                <w:noProof/>
                <w:webHidden/>
              </w:rPr>
              <w:fldChar w:fldCharType="end"/>
            </w:r>
          </w:hyperlink>
        </w:p>
        <w:p w14:paraId="5E87D064" w14:textId="19F38851" w:rsidR="0054218B" w:rsidRDefault="00973EB9">
          <w:pPr>
            <w:pStyle w:val="TDC2"/>
            <w:tabs>
              <w:tab w:val="right" w:pos="8828"/>
            </w:tabs>
            <w:rPr>
              <w:rFonts w:cstheme="minorBidi"/>
              <w:noProof/>
              <w:lang w:val="es-GT" w:eastAsia="es-GT"/>
            </w:rPr>
          </w:pPr>
          <w:hyperlink w:anchor="_Toc15275138" w:history="1">
            <w:r w:rsidR="0054218B" w:rsidRPr="0045098C">
              <w:rPr>
                <w:rStyle w:val="Hipervnculo"/>
                <w:noProof/>
                <w:lang w:val="es-MX"/>
              </w:rPr>
              <w:t>3.4 Principios</w:t>
            </w:r>
            <w:r w:rsidR="0054218B">
              <w:rPr>
                <w:noProof/>
                <w:webHidden/>
              </w:rPr>
              <w:tab/>
            </w:r>
            <w:r w:rsidR="0054218B">
              <w:rPr>
                <w:noProof/>
                <w:webHidden/>
              </w:rPr>
              <w:fldChar w:fldCharType="begin"/>
            </w:r>
            <w:r w:rsidR="0054218B">
              <w:rPr>
                <w:noProof/>
                <w:webHidden/>
              </w:rPr>
              <w:instrText xml:space="preserve"> PAGEREF _Toc15275138 \h </w:instrText>
            </w:r>
            <w:r w:rsidR="0054218B">
              <w:rPr>
                <w:noProof/>
                <w:webHidden/>
              </w:rPr>
            </w:r>
            <w:r w:rsidR="0054218B">
              <w:rPr>
                <w:noProof/>
                <w:webHidden/>
              </w:rPr>
              <w:fldChar w:fldCharType="separate"/>
            </w:r>
            <w:r>
              <w:rPr>
                <w:noProof/>
                <w:webHidden/>
              </w:rPr>
              <w:t>26</w:t>
            </w:r>
            <w:r w:rsidR="0054218B">
              <w:rPr>
                <w:noProof/>
                <w:webHidden/>
              </w:rPr>
              <w:fldChar w:fldCharType="end"/>
            </w:r>
          </w:hyperlink>
        </w:p>
        <w:p w14:paraId="1B528843" w14:textId="4A822874" w:rsidR="0054218B" w:rsidRDefault="00973EB9">
          <w:pPr>
            <w:pStyle w:val="TDC2"/>
            <w:tabs>
              <w:tab w:val="right" w:pos="8828"/>
            </w:tabs>
            <w:rPr>
              <w:rFonts w:cstheme="minorBidi"/>
              <w:noProof/>
              <w:lang w:val="es-GT" w:eastAsia="es-GT"/>
            </w:rPr>
          </w:pPr>
          <w:hyperlink w:anchor="_Toc15275139" w:history="1">
            <w:r w:rsidR="0054218B" w:rsidRPr="0045098C">
              <w:rPr>
                <w:rStyle w:val="Hipervnculo"/>
                <w:noProof/>
                <w:lang w:val="es-MX"/>
              </w:rPr>
              <w:t xml:space="preserve">3.5 Plan de </w:t>
            </w:r>
            <w:r w:rsidR="0054218B" w:rsidRPr="0045098C">
              <w:rPr>
                <w:rStyle w:val="Hipervnculo"/>
                <w:noProof/>
              </w:rPr>
              <w:t>acción</w:t>
            </w:r>
            <w:r w:rsidR="0054218B" w:rsidRPr="0045098C">
              <w:rPr>
                <w:rStyle w:val="Hipervnculo"/>
                <w:noProof/>
                <w:lang w:val="es-MX"/>
              </w:rPr>
              <w:t xml:space="preserve"> para la sostenibilidad</w:t>
            </w:r>
            <w:r w:rsidR="0054218B">
              <w:rPr>
                <w:noProof/>
                <w:webHidden/>
              </w:rPr>
              <w:tab/>
            </w:r>
            <w:r w:rsidR="0054218B">
              <w:rPr>
                <w:noProof/>
                <w:webHidden/>
              </w:rPr>
              <w:fldChar w:fldCharType="begin"/>
            </w:r>
            <w:r w:rsidR="0054218B">
              <w:rPr>
                <w:noProof/>
                <w:webHidden/>
              </w:rPr>
              <w:instrText xml:space="preserve"> PAGEREF _Toc15275139 \h </w:instrText>
            </w:r>
            <w:r w:rsidR="0054218B">
              <w:rPr>
                <w:noProof/>
                <w:webHidden/>
              </w:rPr>
            </w:r>
            <w:r w:rsidR="0054218B">
              <w:rPr>
                <w:noProof/>
                <w:webHidden/>
              </w:rPr>
              <w:fldChar w:fldCharType="separate"/>
            </w:r>
            <w:r>
              <w:rPr>
                <w:noProof/>
                <w:webHidden/>
              </w:rPr>
              <w:t>27</w:t>
            </w:r>
            <w:r w:rsidR="0054218B">
              <w:rPr>
                <w:noProof/>
                <w:webHidden/>
              </w:rPr>
              <w:fldChar w:fldCharType="end"/>
            </w:r>
          </w:hyperlink>
        </w:p>
        <w:p w14:paraId="48423673" w14:textId="648644E0" w:rsidR="0054218B" w:rsidRDefault="00973EB9">
          <w:pPr>
            <w:pStyle w:val="TDC3"/>
            <w:tabs>
              <w:tab w:val="right" w:pos="8828"/>
            </w:tabs>
            <w:rPr>
              <w:rFonts w:cstheme="minorBidi"/>
              <w:noProof/>
              <w:lang w:val="es-GT" w:eastAsia="es-GT"/>
            </w:rPr>
          </w:pPr>
          <w:hyperlink w:anchor="_Toc15275140" w:history="1">
            <w:r w:rsidR="0054218B" w:rsidRPr="0045098C">
              <w:rPr>
                <w:rStyle w:val="Hipervnculo"/>
                <w:noProof/>
                <w:lang w:val="es-MX"/>
              </w:rPr>
              <w:t>3.5.1 Á</w:t>
            </w:r>
            <w:r w:rsidR="0054218B" w:rsidRPr="0045098C">
              <w:rPr>
                <w:rStyle w:val="Hipervnculo"/>
                <w:noProof/>
              </w:rPr>
              <w:t>mbito económico-financiero</w:t>
            </w:r>
            <w:r w:rsidR="0054218B">
              <w:rPr>
                <w:noProof/>
                <w:webHidden/>
              </w:rPr>
              <w:tab/>
            </w:r>
            <w:r w:rsidR="0054218B">
              <w:rPr>
                <w:noProof/>
                <w:webHidden/>
              </w:rPr>
              <w:fldChar w:fldCharType="begin"/>
            </w:r>
            <w:r w:rsidR="0054218B">
              <w:rPr>
                <w:noProof/>
                <w:webHidden/>
              </w:rPr>
              <w:instrText xml:space="preserve"> PAGEREF _Toc15275140 \h </w:instrText>
            </w:r>
            <w:r w:rsidR="0054218B">
              <w:rPr>
                <w:noProof/>
                <w:webHidden/>
              </w:rPr>
            </w:r>
            <w:r w:rsidR="0054218B">
              <w:rPr>
                <w:noProof/>
                <w:webHidden/>
              </w:rPr>
              <w:fldChar w:fldCharType="separate"/>
            </w:r>
            <w:r>
              <w:rPr>
                <w:noProof/>
                <w:webHidden/>
              </w:rPr>
              <w:t>27</w:t>
            </w:r>
            <w:r w:rsidR="0054218B">
              <w:rPr>
                <w:noProof/>
                <w:webHidden/>
              </w:rPr>
              <w:fldChar w:fldCharType="end"/>
            </w:r>
          </w:hyperlink>
        </w:p>
        <w:p w14:paraId="2F2FB7E3" w14:textId="2BE2EB15" w:rsidR="0054218B" w:rsidRDefault="00973EB9">
          <w:pPr>
            <w:pStyle w:val="TDC3"/>
            <w:tabs>
              <w:tab w:val="right" w:pos="8828"/>
            </w:tabs>
            <w:rPr>
              <w:rFonts w:cstheme="minorBidi"/>
              <w:noProof/>
              <w:lang w:val="es-GT" w:eastAsia="es-GT"/>
            </w:rPr>
          </w:pPr>
          <w:hyperlink w:anchor="_Toc15275141" w:history="1">
            <w:r w:rsidR="0054218B" w:rsidRPr="0045098C">
              <w:rPr>
                <w:rStyle w:val="Hipervnculo"/>
                <w:noProof/>
                <w:lang w:val="es-MX"/>
              </w:rPr>
              <w:t>3.5.2 Ámbito técnico-</w:t>
            </w:r>
            <w:r w:rsidR="0054218B" w:rsidRPr="0045098C">
              <w:rPr>
                <w:rStyle w:val="Hipervnculo"/>
                <w:noProof/>
              </w:rPr>
              <w:t>programático</w:t>
            </w:r>
            <w:r w:rsidR="0054218B">
              <w:rPr>
                <w:noProof/>
                <w:webHidden/>
              </w:rPr>
              <w:tab/>
            </w:r>
            <w:r w:rsidR="0054218B">
              <w:rPr>
                <w:noProof/>
                <w:webHidden/>
              </w:rPr>
              <w:fldChar w:fldCharType="begin"/>
            </w:r>
            <w:r w:rsidR="0054218B">
              <w:rPr>
                <w:noProof/>
                <w:webHidden/>
              </w:rPr>
              <w:instrText xml:space="preserve"> PAGEREF _Toc15275141 \h </w:instrText>
            </w:r>
            <w:r w:rsidR="0054218B">
              <w:rPr>
                <w:noProof/>
                <w:webHidden/>
              </w:rPr>
            </w:r>
            <w:r w:rsidR="0054218B">
              <w:rPr>
                <w:noProof/>
                <w:webHidden/>
              </w:rPr>
              <w:fldChar w:fldCharType="separate"/>
            </w:r>
            <w:r>
              <w:rPr>
                <w:noProof/>
                <w:webHidden/>
              </w:rPr>
              <w:t>35</w:t>
            </w:r>
            <w:r w:rsidR="0054218B">
              <w:rPr>
                <w:noProof/>
                <w:webHidden/>
              </w:rPr>
              <w:fldChar w:fldCharType="end"/>
            </w:r>
          </w:hyperlink>
        </w:p>
        <w:p w14:paraId="54AE5EB3" w14:textId="1C5EADB9" w:rsidR="0054218B" w:rsidRDefault="00973EB9">
          <w:pPr>
            <w:pStyle w:val="TDC3"/>
            <w:tabs>
              <w:tab w:val="right" w:pos="8828"/>
            </w:tabs>
            <w:rPr>
              <w:rFonts w:cstheme="minorBidi"/>
              <w:noProof/>
              <w:lang w:val="es-GT" w:eastAsia="es-GT"/>
            </w:rPr>
          </w:pPr>
          <w:hyperlink w:anchor="_Toc15275142" w:history="1">
            <w:r w:rsidR="0054218B" w:rsidRPr="0045098C">
              <w:rPr>
                <w:rStyle w:val="Hipervnculo"/>
                <w:noProof/>
              </w:rPr>
              <w:t>3.5.3 Ámbito político-normativo</w:t>
            </w:r>
            <w:r w:rsidR="0054218B">
              <w:rPr>
                <w:noProof/>
                <w:webHidden/>
              </w:rPr>
              <w:tab/>
            </w:r>
            <w:r w:rsidR="0054218B">
              <w:rPr>
                <w:noProof/>
                <w:webHidden/>
              </w:rPr>
              <w:fldChar w:fldCharType="begin"/>
            </w:r>
            <w:r w:rsidR="0054218B">
              <w:rPr>
                <w:noProof/>
                <w:webHidden/>
              </w:rPr>
              <w:instrText xml:space="preserve"> PAGEREF _Toc15275142 \h </w:instrText>
            </w:r>
            <w:r w:rsidR="0054218B">
              <w:rPr>
                <w:noProof/>
                <w:webHidden/>
              </w:rPr>
            </w:r>
            <w:r w:rsidR="0054218B">
              <w:rPr>
                <w:noProof/>
                <w:webHidden/>
              </w:rPr>
              <w:fldChar w:fldCharType="separate"/>
            </w:r>
            <w:r>
              <w:rPr>
                <w:noProof/>
                <w:webHidden/>
              </w:rPr>
              <w:t>42</w:t>
            </w:r>
            <w:r w:rsidR="0054218B">
              <w:rPr>
                <w:noProof/>
                <w:webHidden/>
              </w:rPr>
              <w:fldChar w:fldCharType="end"/>
            </w:r>
          </w:hyperlink>
        </w:p>
        <w:p w14:paraId="4073CDB2" w14:textId="3B0C384B" w:rsidR="0054218B" w:rsidRDefault="00973EB9">
          <w:pPr>
            <w:pStyle w:val="TDC3"/>
            <w:tabs>
              <w:tab w:val="right" w:pos="8828"/>
            </w:tabs>
            <w:rPr>
              <w:rFonts w:cstheme="minorBidi"/>
              <w:noProof/>
              <w:lang w:val="es-GT" w:eastAsia="es-GT"/>
            </w:rPr>
          </w:pPr>
          <w:hyperlink w:anchor="_Toc15275143" w:history="1">
            <w:r w:rsidR="0054218B" w:rsidRPr="0045098C">
              <w:rPr>
                <w:rStyle w:val="Hipervnculo"/>
                <w:noProof/>
              </w:rPr>
              <w:t>3.5.4 Ejes transversales</w:t>
            </w:r>
            <w:r w:rsidR="0054218B">
              <w:rPr>
                <w:noProof/>
                <w:webHidden/>
              </w:rPr>
              <w:tab/>
            </w:r>
            <w:r w:rsidR="0054218B">
              <w:rPr>
                <w:noProof/>
                <w:webHidden/>
              </w:rPr>
              <w:fldChar w:fldCharType="begin"/>
            </w:r>
            <w:r w:rsidR="0054218B">
              <w:rPr>
                <w:noProof/>
                <w:webHidden/>
              </w:rPr>
              <w:instrText xml:space="preserve"> PAGEREF _Toc15275143 \h </w:instrText>
            </w:r>
            <w:r w:rsidR="0054218B">
              <w:rPr>
                <w:noProof/>
                <w:webHidden/>
              </w:rPr>
            </w:r>
            <w:r w:rsidR="0054218B">
              <w:rPr>
                <w:noProof/>
                <w:webHidden/>
              </w:rPr>
              <w:fldChar w:fldCharType="separate"/>
            </w:r>
            <w:r>
              <w:rPr>
                <w:noProof/>
                <w:webHidden/>
              </w:rPr>
              <w:t>46</w:t>
            </w:r>
            <w:r w:rsidR="0054218B">
              <w:rPr>
                <w:noProof/>
                <w:webHidden/>
              </w:rPr>
              <w:fldChar w:fldCharType="end"/>
            </w:r>
          </w:hyperlink>
        </w:p>
        <w:p w14:paraId="35A7093F" w14:textId="30E26863" w:rsidR="0054218B" w:rsidRDefault="00973EB9">
          <w:pPr>
            <w:pStyle w:val="TDC1"/>
            <w:tabs>
              <w:tab w:val="right" w:pos="8828"/>
            </w:tabs>
            <w:rPr>
              <w:rFonts w:cstheme="minorBidi"/>
              <w:noProof/>
              <w:lang w:val="es-GT" w:eastAsia="es-GT"/>
            </w:rPr>
          </w:pPr>
          <w:hyperlink w:anchor="_Toc15275144" w:history="1">
            <w:r w:rsidR="0054218B" w:rsidRPr="0045098C">
              <w:rPr>
                <w:rStyle w:val="Hipervnculo"/>
                <w:noProof/>
              </w:rPr>
              <w:t>IV. RECOMENDACIONES PARA EL MONITOREO DE LA SOSTENIBILIDAD</w:t>
            </w:r>
            <w:r w:rsidR="0054218B">
              <w:rPr>
                <w:noProof/>
                <w:webHidden/>
              </w:rPr>
              <w:tab/>
            </w:r>
            <w:r w:rsidR="0054218B">
              <w:rPr>
                <w:noProof/>
                <w:webHidden/>
              </w:rPr>
              <w:fldChar w:fldCharType="begin"/>
            </w:r>
            <w:r w:rsidR="0054218B">
              <w:rPr>
                <w:noProof/>
                <w:webHidden/>
              </w:rPr>
              <w:instrText xml:space="preserve"> PAGEREF _Toc15275144 \h </w:instrText>
            </w:r>
            <w:r w:rsidR="0054218B">
              <w:rPr>
                <w:noProof/>
                <w:webHidden/>
              </w:rPr>
            </w:r>
            <w:r w:rsidR="0054218B">
              <w:rPr>
                <w:noProof/>
                <w:webHidden/>
              </w:rPr>
              <w:fldChar w:fldCharType="separate"/>
            </w:r>
            <w:r>
              <w:rPr>
                <w:noProof/>
                <w:webHidden/>
              </w:rPr>
              <w:t>51</w:t>
            </w:r>
            <w:r w:rsidR="0054218B">
              <w:rPr>
                <w:noProof/>
                <w:webHidden/>
              </w:rPr>
              <w:fldChar w:fldCharType="end"/>
            </w:r>
          </w:hyperlink>
        </w:p>
        <w:p w14:paraId="641A78B9" w14:textId="3166A402" w:rsidR="0054218B" w:rsidRDefault="00973EB9">
          <w:pPr>
            <w:pStyle w:val="TDC1"/>
            <w:tabs>
              <w:tab w:val="right" w:pos="8828"/>
            </w:tabs>
            <w:rPr>
              <w:rFonts w:cstheme="minorBidi"/>
              <w:noProof/>
              <w:lang w:val="es-GT" w:eastAsia="es-GT"/>
            </w:rPr>
          </w:pPr>
          <w:hyperlink w:anchor="_Toc15275145" w:history="1">
            <w:r w:rsidR="0054218B" w:rsidRPr="0045098C">
              <w:rPr>
                <w:rStyle w:val="Hipervnculo"/>
                <w:noProof/>
                <w:lang w:val="es-MX"/>
              </w:rPr>
              <w:t xml:space="preserve">V. </w:t>
            </w:r>
            <w:r w:rsidR="0054218B" w:rsidRPr="0045098C">
              <w:rPr>
                <w:rStyle w:val="Hipervnculo"/>
                <w:noProof/>
              </w:rPr>
              <w:t>BIBLIOGRAFÍA</w:t>
            </w:r>
            <w:r w:rsidR="0054218B">
              <w:rPr>
                <w:noProof/>
                <w:webHidden/>
              </w:rPr>
              <w:tab/>
            </w:r>
            <w:r w:rsidR="0054218B">
              <w:rPr>
                <w:noProof/>
                <w:webHidden/>
              </w:rPr>
              <w:fldChar w:fldCharType="begin"/>
            </w:r>
            <w:r w:rsidR="0054218B">
              <w:rPr>
                <w:noProof/>
                <w:webHidden/>
              </w:rPr>
              <w:instrText xml:space="preserve"> PAGEREF _Toc15275145 \h </w:instrText>
            </w:r>
            <w:r w:rsidR="0054218B">
              <w:rPr>
                <w:noProof/>
                <w:webHidden/>
              </w:rPr>
            </w:r>
            <w:r w:rsidR="0054218B">
              <w:rPr>
                <w:noProof/>
                <w:webHidden/>
              </w:rPr>
              <w:fldChar w:fldCharType="separate"/>
            </w:r>
            <w:r>
              <w:rPr>
                <w:noProof/>
                <w:webHidden/>
              </w:rPr>
              <w:t>52</w:t>
            </w:r>
            <w:r w:rsidR="0054218B">
              <w:rPr>
                <w:noProof/>
                <w:webHidden/>
              </w:rPr>
              <w:fldChar w:fldCharType="end"/>
            </w:r>
          </w:hyperlink>
        </w:p>
        <w:p w14:paraId="66962BF1" w14:textId="77777777" w:rsidR="00835A2A" w:rsidRDefault="00835A2A">
          <w:r>
            <w:rPr>
              <w:b/>
              <w:bCs/>
              <w:lang w:val="es-ES"/>
            </w:rPr>
            <w:fldChar w:fldCharType="end"/>
          </w:r>
        </w:p>
      </w:sdtContent>
    </w:sdt>
    <w:p w14:paraId="2A20BB7B" w14:textId="77777777" w:rsidR="00D325CA" w:rsidRDefault="00D325CA" w:rsidP="00835A2A">
      <w:pPr>
        <w:pStyle w:val="TtuloTDC"/>
      </w:pPr>
    </w:p>
    <w:p w14:paraId="44C52BFC" w14:textId="77777777" w:rsidR="00D325CA" w:rsidRPr="00D325CA" w:rsidRDefault="00D325CA" w:rsidP="00D325CA">
      <w:pPr>
        <w:spacing w:after="0"/>
        <w:rPr>
          <w:rFonts w:ascii="Times New Roman" w:hAnsi="Times New Roman" w:cs="Times New Roman"/>
          <w:sz w:val="24"/>
          <w:szCs w:val="24"/>
          <w:lang w:val="es-SV"/>
        </w:rPr>
      </w:pPr>
    </w:p>
    <w:p w14:paraId="5B353544" w14:textId="77777777" w:rsidR="007D527B" w:rsidRDefault="007D527B" w:rsidP="00696E04">
      <w:pPr>
        <w:spacing w:after="0"/>
        <w:jc w:val="center"/>
        <w:rPr>
          <w:rFonts w:ascii="Times New Roman" w:hAnsi="Times New Roman" w:cs="Times New Roman"/>
          <w:b/>
        </w:rPr>
      </w:pPr>
    </w:p>
    <w:p w14:paraId="23495FED" w14:textId="77777777" w:rsidR="007D527B" w:rsidRDefault="007D527B" w:rsidP="00696E04">
      <w:pPr>
        <w:spacing w:after="0"/>
        <w:jc w:val="center"/>
        <w:rPr>
          <w:rFonts w:ascii="Times New Roman" w:hAnsi="Times New Roman" w:cs="Times New Roman"/>
          <w:b/>
        </w:rPr>
      </w:pPr>
    </w:p>
    <w:p w14:paraId="50F1C1FE" w14:textId="77777777" w:rsidR="007D527B" w:rsidRDefault="007D527B" w:rsidP="00696E04">
      <w:pPr>
        <w:spacing w:after="0"/>
        <w:jc w:val="center"/>
        <w:rPr>
          <w:rFonts w:ascii="Times New Roman" w:hAnsi="Times New Roman" w:cs="Times New Roman"/>
          <w:b/>
        </w:rPr>
      </w:pPr>
    </w:p>
    <w:p w14:paraId="65ABFE45" w14:textId="77777777" w:rsidR="007D527B" w:rsidRDefault="007D527B" w:rsidP="00696E04">
      <w:pPr>
        <w:spacing w:after="0"/>
        <w:jc w:val="center"/>
        <w:rPr>
          <w:rFonts w:ascii="Times New Roman" w:hAnsi="Times New Roman" w:cs="Times New Roman"/>
          <w:b/>
        </w:rPr>
      </w:pPr>
    </w:p>
    <w:p w14:paraId="12468478" w14:textId="77777777" w:rsidR="007D527B" w:rsidRDefault="007D527B" w:rsidP="00696E04">
      <w:pPr>
        <w:spacing w:after="0"/>
        <w:jc w:val="center"/>
        <w:rPr>
          <w:rFonts w:ascii="Times New Roman" w:hAnsi="Times New Roman" w:cs="Times New Roman"/>
          <w:b/>
        </w:rPr>
      </w:pPr>
    </w:p>
    <w:p w14:paraId="3654BC8C" w14:textId="77777777" w:rsidR="007D527B" w:rsidRDefault="007D527B" w:rsidP="00696E04">
      <w:pPr>
        <w:spacing w:after="0"/>
        <w:jc w:val="center"/>
        <w:rPr>
          <w:rFonts w:ascii="Times New Roman" w:hAnsi="Times New Roman" w:cs="Times New Roman"/>
          <w:b/>
        </w:rPr>
      </w:pPr>
    </w:p>
    <w:p w14:paraId="6BD20F3D" w14:textId="77777777" w:rsidR="007D527B" w:rsidRDefault="007D527B" w:rsidP="00696E04">
      <w:pPr>
        <w:spacing w:after="0"/>
        <w:jc w:val="center"/>
        <w:rPr>
          <w:rFonts w:ascii="Times New Roman" w:hAnsi="Times New Roman" w:cs="Times New Roman"/>
          <w:b/>
        </w:rPr>
      </w:pPr>
    </w:p>
    <w:p w14:paraId="749F82D4" w14:textId="77777777" w:rsidR="007D527B" w:rsidRDefault="007D527B" w:rsidP="00696E04">
      <w:pPr>
        <w:spacing w:after="0"/>
        <w:jc w:val="center"/>
        <w:rPr>
          <w:rFonts w:ascii="Times New Roman" w:hAnsi="Times New Roman" w:cs="Times New Roman"/>
          <w:b/>
        </w:rPr>
      </w:pPr>
    </w:p>
    <w:p w14:paraId="266AFFF8" w14:textId="77777777" w:rsidR="007D527B" w:rsidRDefault="007D527B" w:rsidP="00696E04">
      <w:pPr>
        <w:spacing w:after="0"/>
        <w:jc w:val="center"/>
        <w:rPr>
          <w:rFonts w:ascii="Times New Roman" w:hAnsi="Times New Roman" w:cs="Times New Roman"/>
          <w:b/>
        </w:rPr>
      </w:pPr>
    </w:p>
    <w:p w14:paraId="71EA97CB" w14:textId="77777777" w:rsidR="007D527B" w:rsidRDefault="007D527B" w:rsidP="00696E04">
      <w:pPr>
        <w:spacing w:after="0"/>
        <w:jc w:val="center"/>
        <w:rPr>
          <w:rFonts w:ascii="Times New Roman" w:hAnsi="Times New Roman" w:cs="Times New Roman"/>
          <w:b/>
        </w:rPr>
      </w:pPr>
    </w:p>
    <w:p w14:paraId="4FCE4A9F" w14:textId="77777777" w:rsidR="007D527B" w:rsidRDefault="007D527B" w:rsidP="00696E04">
      <w:pPr>
        <w:spacing w:after="0"/>
        <w:jc w:val="center"/>
        <w:rPr>
          <w:rFonts w:ascii="Times New Roman" w:hAnsi="Times New Roman" w:cs="Times New Roman"/>
          <w:b/>
        </w:rPr>
      </w:pPr>
    </w:p>
    <w:p w14:paraId="3811839D" w14:textId="77777777" w:rsidR="007D527B" w:rsidRDefault="007D527B" w:rsidP="00696E04">
      <w:pPr>
        <w:spacing w:after="0"/>
        <w:jc w:val="center"/>
        <w:rPr>
          <w:rFonts w:ascii="Times New Roman" w:hAnsi="Times New Roman" w:cs="Times New Roman"/>
          <w:b/>
        </w:rPr>
      </w:pPr>
    </w:p>
    <w:p w14:paraId="12F2ED50" w14:textId="77777777" w:rsidR="007D527B" w:rsidRDefault="007D527B" w:rsidP="00696E04">
      <w:pPr>
        <w:spacing w:after="0"/>
        <w:jc w:val="center"/>
        <w:rPr>
          <w:rFonts w:ascii="Times New Roman" w:hAnsi="Times New Roman" w:cs="Times New Roman"/>
          <w:b/>
        </w:rPr>
      </w:pPr>
    </w:p>
    <w:p w14:paraId="0C86D049" w14:textId="77777777" w:rsidR="007D527B" w:rsidRDefault="007D527B" w:rsidP="00696E04">
      <w:pPr>
        <w:spacing w:after="0"/>
        <w:jc w:val="center"/>
        <w:rPr>
          <w:rFonts w:ascii="Times New Roman" w:hAnsi="Times New Roman" w:cs="Times New Roman"/>
          <w:b/>
        </w:rPr>
      </w:pPr>
    </w:p>
    <w:p w14:paraId="2AF1392B" w14:textId="77777777" w:rsidR="007D527B" w:rsidRDefault="007D527B" w:rsidP="00696E04">
      <w:pPr>
        <w:spacing w:after="0"/>
        <w:jc w:val="center"/>
        <w:rPr>
          <w:rFonts w:ascii="Times New Roman" w:hAnsi="Times New Roman" w:cs="Times New Roman"/>
          <w:b/>
        </w:rPr>
      </w:pPr>
    </w:p>
    <w:p w14:paraId="032AE664" w14:textId="77777777" w:rsidR="007D527B" w:rsidRDefault="007D527B" w:rsidP="00696E04">
      <w:pPr>
        <w:spacing w:after="0"/>
        <w:jc w:val="center"/>
        <w:rPr>
          <w:rFonts w:ascii="Times New Roman" w:hAnsi="Times New Roman" w:cs="Times New Roman"/>
          <w:b/>
        </w:rPr>
      </w:pPr>
    </w:p>
    <w:p w14:paraId="1FD52D8C" w14:textId="77777777" w:rsidR="007D527B" w:rsidRDefault="007D527B" w:rsidP="00696E04">
      <w:pPr>
        <w:spacing w:after="0"/>
        <w:jc w:val="center"/>
        <w:rPr>
          <w:rFonts w:ascii="Times New Roman" w:hAnsi="Times New Roman" w:cs="Times New Roman"/>
          <w:b/>
        </w:rPr>
      </w:pPr>
    </w:p>
    <w:p w14:paraId="50411593" w14:textId="77777777" w:rsidR="007D527B" w:rsidRDefault="007D527B" w:rsidP="00696E04">
      <w:pPr>
        <w:spacing w:after="0"/>
        <w:jc w:val="center"/>
        <w:rPr>
          <w:rFonts w:ascii="Times New Roman" w:hAnsi="Times New Roman" w:cs="Times New Roman"/>
          <w:b/>
        </w:rPr>
      </w:pPr>
    </w:p>
    <w:p w14:paraId="6BE57E58" w14:textId="77777777" w:rsidR="007D527B" w:rsidRDefault="007D527B" w:rsidP="00696E04">
      <w:pPr>
        <w:spacing w:after="0"/>
        <w:jc w:val="center"/>
        <w:rPr>
          <w:rFonts w:ascii="Times New Roman" w:hAnsi="Times New Roman" w:cs="Times New Roman"/>
          <w:b/>
        </w:rPr>
      </w:pPr>
    </w:p>
    <w:p w14:paraId="5E2CDCEB" w14:textId="77777777" w:rsidR="007D527B" w:rsidRDefault="007D527B" w:rsidP="00696E04">
      <w:pPr>
        <w:spacing w:after="0"/>
        <w:jc w:val="center"/>
        <w:rPr>
          <w:rFonts w:ascii="Times New Roman" w:hAnsi="Times New Roman" w:cs="Times New Roman"/>
          <w:b/>
        </w:rPr>
      </w:pPr>
    </w:p>
    <w:p w14:paraId="7A241363" w14:textId="77777777" w:rsidR="007D527B" w:rsidRDefault="007D527B" w:rsidP="00A055F0">
      <w:pPr>
        <w:spacing w:after="0"/>
        <w:rPr>
          <w:rFonts w:ascii="Times New Roman" w:hAnsi="Times New Roman" w:cs="Times New Roman"/>
          <w:b/>
        </w:rPr>
      </w:pPr>
    </w:p>
    <w:p w14:paraId="5508AC02" w14:textId="77777777" w:rsidR="00A055F0" w:rsidRDefault="00A055F0" w:rsidP="00A055F0">
      <w:pPr>
        <w:spacing w:after="0"/>
        <w:rPr>
          <w:rFonts w:ascii="Times New Roman" w:hAnsi="Times New Roman" w:cs="Times New Roman"/>
          <w:b/>
        </w:rPr>
      </w:pPr>
    </w:p>
    <w:p w14:paraId="48BBAA0F" w14:textId="77777777" w:rsidR="00A055F0" w:rsidRDefault="00A055F0" w:rsidP="00A055F0">
      <w:pPr>
        <w:spacing w:after="0"/>
        <w:rPr>
          <w:rFonts w:ascii="Times New Roman" w:hAnsi="Times New Roman" w:cs="Times New Roman"/>
          <w:b/>
        </w:rPr>
      </w:pPr>
    </w:p>
    <w:p w14:paraId="6277D96A" w14:textId="77777777" w:rsidR="00A5496D" w:rsidRDefault="00A5496D" w:rsidP="00A055F0">
      <w:pPr>
        <w:spacing w:after="0"/>
        <w:rPr>
          <w:rFonts w:ascii="Times New Roman" w:hAnsi="Times New Roman" w:cs="Times New Roman"/>
          <w:b/>
        </w:rPr>
      </w:pPr>
    </w:p>
    <w:p w14:paraId="2ADC9ACA" w14:textId="77777777" w:rsidR="00A5496D" w:rsidRDefault="00A5496D" w:rsidP="00A055F0">
      <w:pPr>
        <w:spacing w:after="0"/>
        <w:rPr>
          <w:rFonts w:ascii="Times New Roman" w:hAnsi="Times New Roman" w:cs="Times New Roman"/>
          <w:b/>
        </w:rPr>
      </w:pPr>
    </w:p>
    <w:p w14:paraId="6C2B04B5" w14:textId="77777777" w:rsidR="00A5496D" w:rsidRDefault="00A5496D" w:rsidP="00A055F0">
      <w:pPr>
        <w:spacing w:after="0"/>
        <w:rPr>
          <w:rFonts w:ascii="Times New Roman" w:hAnsi="Times New Roman" w:cs="Times New Roman"/>
          <w:b/>
        </w:rPr>
      </w:pPr>
    </w:p>
    <w:p w14:paraId="49607EFA" w14:textId="77777777" w:rsidR="00A5496D" w:rsidRDefault="00A5496D" w:rsidP="00A055F0">
      <w:pPr>
        <w:spacing w:after="0"/>
        <w:rPr>
          <w:rFonts w:ascii="Times New Roman" w:hAnsi="Times New Roman" w:cs="Times New Roman"/>
          <w:b/>
        </w:rPr>
      </w:pPr>
    </w:p>
    <w:p w14:paraId="15F413F7" w14:textId="77777777" w:rsidR="00A055F0" w:rsidRDefault="00A055F0" w:rsidP="00A055F0">
      <w:pPr>
        <w:spacing w:after="0"/>
        <w:rPr>
          <w:rFonts w:ascii="Times New Roman" w:hAnsi="Times New Roman" w:cs="Times New Roman"/>
          <w:b/>
        </w:rPr>
      </w:pPr>
    </w:p>
    <w:p w14:paraId="4FAEA7B9" w14:textId="77777777" w:rsidR="00A055F0" w:rsidRDefault="00A055F0" w:rsidP="00A055F0">
      <w:pPr>
        <w:spacing w:after="0"/>
        <w:rPr>
          <w:rFonts w:ascii="Times New Roman" w:hAnsi="Times New Roman" w:cs="Times New Roman"/>
          <w:b/>
        </w:rPr>
      </w:pPr>
    </w:p>
    <w:p w14:paraId="7A653880" w14:textId="77777777" w:rsidR="005F7825" w:rsidRDefault="005F7825" w:rsidP="00A055F0">
      <w:pPr>
        <w:spacing w:after="0"/>
        <w:rPr>
          <w:rFonts w:ascii="Times New Roman" w:hAnsi="Times New Roman" w:cs="Times New Roman"/>
          <w:b/>
        </w:rPr>
      </w:pPr>
    </w:p>
    <w:p w14:paraId="18356D9B" w14:textId="77777777" w:rsidR="004C47F5" w:rsidRDefault="004C47F5" w:rsidP="00A055F0">
      <w:pPr>
        <w:spacing w:after="0"/>
        <w:rPr>
          <w:rFonts w:ascii="Times New Roman" w:hAnsi="Times New Roman" w:cs="Times New Roman"/>
          <w:b/>
        </w:rPr>
      </w:pPr>
    </w:p>
    <w:p w14:paraId="54BA8463" w14:textId="77777777" w:rsidR="004C47F5" w:rsidRDefault="004C47F5" w:rsidP="00A055F0">
      <w:pPr>
        <w:spacing w:after="0"/>
        <w:rPr>
          <w:rFonts w:ascii="Times New Roman" w:hAnsi="Times New Roman" w:cs="Times New Roman"/>
          <w:b/>
        </w:rPr>
      </w:pPr>
    </w:p>
    <w:p w14:paraId="1275A2D5" w14:textId="77777777" w:rsidR="003B0EBB" w:rsidRDefault="003B0EBB" w:rsidP="00A055F0">
      <w:pPr>
        <w:spacing w:after="0"/>
        <w:rPr>
          <w:rFonts w:ascii="Times New Roman" w:hAnsi="Times New Roman" w:cs="Times New Roman"/>
          <w:b/>
        </w:rPr>
      </w:pPr>
    </w:p>
    <w:p w14:paraId="45F48930" w14:textId="77777777" w:rsidR="004C47F5" w:rsidRDefault="004C47F5" w:rsidP="00A055F0">
      <w:pPr>
        <w:spacing w:after="0"/>
        <w:rPr>
          <w:rFonts w:ascii="Times New Roman" w:hAnsi="Times New Roman" w:cs="Times New Roman"/>
          <w:b/>
        </w:rPr>
      </w:pPr>
    </w:p>
    <w:p w14:paraId="513FDF09" w14:textId="77777777" w:rsidR="008131CF" w:rsidRDefault="008131CF">
      <w:pPr>
        <w:rPr>
          <w:rFonts w:ascii="Times New Roman" w:hAnsi="Times New Roman" w:cs="Times New Roman"/>
          <w:b/>
          <w:color w:val="1F4E79" w:themeColor="accent1" w:themeShade="80"/>
          <w:sz w:val="36"/>
          <w:szCs w:val="36"/>
        </w:rPr>
      </w:pPr>
      <w:r>
        <w:rPr>
          <w:rFonts w:ascii="Times New Roman" w:hAnsi="Times New Roman" w:cs="Times New Roman"/>
          <w:bCs/>
          <w:color w:val="1F4E79" w:themeColor="accent1" w:themeShade="80"/>
          <w:sz w:val="36"/>
          <w:szCs w:val="36"/>
        </w:rPr>
        <w:br w:type="page"/>
      </w:r>
    </w:p>
    <w:p w14:paraId="1A5C4BFE" w14:textId="77777777" w:rsidR="0077324A" w:rsidRPr="009B22CF" w:rsidRDefault="00835A2A" w:rsidP="00FF5492">
      <w:pPr>
        <w:pStyle w:val="Ttulo1"/>
      </w:pPr>
      <w:bookmarkStart w:id="0" w:name="_Toc15275119"/>
      <w:r w:rsidRPr="00FF5492">
        <w:lastRenderedPageBreak/>
        <w:t>GLOSARIO</w:t>
      </w:r>
      <w:bookmarkEnd w:id="0"/>
    </w:p>
    <w:tbl>
      <w:tblPr>
        <w:tblW w:w="8660" w:type="dxa"/>
        <w:tblCellMar>
          <w:left w:w="70" w:type="dxa"/>
          <w:right w:w="70" w:type="dxa"/>
        </w:tblCellMar>
        <w:tblLook w:val="04A0" w:firstRow="1" w:lastRow="0" w:firstColumn="1" w:lastColumn="0" w:noHBand="0" w:noVBand="1"/>
      </w:tblPr>
      <w:tblGrid>
        <w:gridCol w:w="2680"/>
        <w:gridCol w:w="5980"/>
      </w:tblGrid>
      <w:tr w:rsidR="000A1B0B" w:rsidRPr="000A1B0B" w14:paraId="105FA55C" w14:textId="77777777" w:rsidTr="000A1B0B">
        <w:trPr>
          <w:trHeight w:val="300"/>
        </w:trPr>
        <w:tc>
          <w:tcPr>
            <w:tcW w:w="2680" w:type="dxa"/>
            <w:tcBorders>
              <w:top w:val="nil"/>
              <w:left w:val="nil"/>
              <w:bottom w:val="nil"/>
              <w:right w:val="nil"/>
            </w:tcBorders>
            <w:shd w:val="clear" w:color="auto" w:fill="auto"/>
            <w:vAlign w:val="center"/>
            <w:hideMark/>
          </w:tcPr>
          <w:p w14:paraId="61DBFC14"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CONASIDA</w:t>
            </w:r>
          </w:p>
        </w:tc>
        <w:tc>
          <w:tcPr>
            <w:tcW w:w="5980" w:type="dxa"/>
            <w:tcBorders>
              <w:top w:val="nil"/>
              <w:left w:val="nil"/>
              <w:bottom w:val="nil"/>
              <w:right w:val="nil"/>
            </w:tcBorders>
            <w:shd w:val="clear" w:color="auto" w:fill="auto"/>
            <w:vAlign w:val="center"/>
            <w:hideMark/>
          </w:tcPr>
          <w:p w14:paraId="4F627CEE"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color w:val="000000"/>
                <w:sz w:val="20"/>
                <w:szCs w:val="20"/>
                <w:lang w:val="es-ES" w:eastAsia="es-SV"/>
              </w:rPr>
              <w:t>Comisión Nacional de Sida</w:t>
            </w:r>
          </w:p>
        </w:tc>
      </w:tr>
      <w:tr w:rsidR="000A1B0B" w:rsidRPr="000A1B0B" w14:paraId="7B023E14" w14:textId="77777777" w:rsidTr="000A1B0B">
        <w:trPr>
          <w:trHeight w:val="300"/>
        </w:trPr>
        <w:tc>
          <w:tcPr>
            <w:tcW w:w="2680" w:type="dxa"/>
            <w:tcBorders>
              <w:top w:val="nil"/>
              <w:left w:val="nil"/>
              <w:bottom w:val="nil"/>
              <w:right w:val="nil"/>
            </w:tcBorders>
            <w:shd w:val="clear" w:color="auto" w:fill="auto"/>
            <w:vAlign w:val="center"/>
            <w:hideMark/>
          </w:tcPr>
          <w:p w14:paraId="4057674E"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CONAVIH</w:t>
            </w:r>
          </w:p>
        </w:tc>
        <w:tc>
          <w:tcPr>
            <w:tcW w:w="5980" w:type="dxa"/>
            <w:tcBorders>
              <w:top w:val="nil"/>
              <w:left w:val="nil"/>
              <w:bottom w:val="nil"/>
              <w:right w:val="nil"/>
            </w:tcBorders>
            <w:shd w:val="clear" w:color="auto" w:fill="auto"/>
            <w:vAlign w:val="center"/>
            <w:hideMark/>
          </w:tcPr>
          <w:p w14:paraId="7422ED9B"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color w:val="000000"/>
                <w:sz w:val="20"/>
                <w:szCs w:val="20"/>
                <w:lang w:val="es-ES" w:eastAsia="es-SV"/>
              </w:rPr>
              <w:t>Comisión Nacional de VIH</w:t>
            </w:r>
          </w:p>
        </w:tc>
      </w:tr>
      <w:tr w:rsidR="000A1B0B" w:rsidRPr="000A1B0B" w14:paraId="4677E4EE" w14:textId="77777777" w:rsidTr="000A1B0B">
        <w:trPr>
          <w:trHeight w:val="300"/>
        </w:trPr>
        <w:tc>
          <w:tcPr>
            <w:tcW w:w="2680" w:type="dxa"/>
            <w:tcBorders>
              <w:top w:val="nil"/>
              <w:left w:val="nil"/>
              <w:bottom w:val="nil"/>
              <w:right w:val="nil"/>
            </w:tcBorders>
            <w:shd w:val="clear" w:color="auto" w:fill="auto"/>
            <w:vAlign w:val="center"/>
            <w:hideMark/>
          </w:tcPr>
          <w:p w14:paraId="20147F53"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val="es-ES" w:eastAsia="es-SV"/>
              </w:rPr>
              <w:t>COMURES</w:t>
            </w:r>
          </w:p>
        </w:tc>
        <w:tc>
          <w:tcPr>
            <w:tcW w:w="5980" w:type="dxa"/>
            <w:tcBorders>
              <w:top w:val="nil"/>
              <w:left w:val="nil"/>
              <w:bottom w:val="nil"/>
              <w:right w:val="nil"/>
            </w:tcBorders>
            <w:shd w:val="clear" w:color="auto" w:fill="auto"/>
            <w:vAlign w:val="center"/>
            <w:hideMark/>
          </w:tcPr>
          <w:p w14:paraId="4D6568F2"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Corporación de Municipalidades de El Salvador</w:t>
            </w:r>
          </w:p>
        </w:tc>
      </w:tr>
      <w:tr w:rsidR="000A1B0B" w:rsidRPr="000A1B0B" w14:paraId="27CF0E24" w14:textId="77777777" w:rsidTr="000A1B0B">
        <w:trPr>
          <w:trHeight w:val="300"/>
        </w:trPr>
        <w:tc>
          <w:tcPr>
            <w:tcW w:w="2680" w:type="dxa"/>
            <w:tcBorders>
              <w:top w:val="nil"/>
              <w:left w:val="nil"/>
              <w:bottom w:val="nil"/>
              <w:right w:val="nil"/>
            </w:tcBorders>
            <w:shd w:val="clear" w:color="auto" w:fill="auto"/>
            <w:vAlign w:val="center"/>
            <w:hideMark/>
          </w:tcPr>
          <w:p w14:paraId="00965036"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val="es-ES" w:eastAsia="es-SV"/>
              </w:rPr>
              <w:t>CONNA</w:t>
            </w:r>
          </w:p>
        </w:tc>
        <w:tc>
          <w:tcPr>
            <w:tcW w:w="5980" w:type="dxa"/>
            <w:tcBorders>
              <w:top w:val="nil"/>
              <w:left w:val="nil"/>
              <w:bottom w:val="nil"/>
              <w:right w:val="nil"/>
            </w:tcBorders>
            <w:shd w:val="clear" w:color="auto" w:fill="auto"/>
            <w:vAlign w:val="center"/>
            <w:hideMark/>
          </w:tcPr>
          <w:p w14:paraId="218FE19D"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Comisión Nacional de Niñez y Adolescencia</w:t>
            </w:r>
          </w:p>
        </w:tc>
      </w:tr>
      <w:tr w:rsidR="000A1B0B" w:rsidRPr="000A1B0B" w14:paraId="76CE84A5" w14:textId="77777777" w:rsidTr="000A1B0B">
        <w:trPr>
          <w:trHeight w:val="300"/>
        </w:trPr>
        <w:tc>
          <w:tcPr>
            <w:tcW w:w="2680" w:type="dxa"/>
            <w:tcBorders>
              <w:top w:val="nil"/>
              <w:left w:val="nil"/>
              <w:bottom w:val="nil"/>
              <w:right w:val="nil"/>
            </w:tcBorders>
            <w:shd w:val="clear" w:color="auto" w:fill="auto"/>
            <w:vAlign w:val="center"/>
            <w:hideMark/>
          </w:tcPr>
          <w:p w14:paraId="4D5E52B5"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val="es-ES" w:eastAsia="es-SV"/>
              </w:rPr>
              <w:t>COSAM</w:t>
            </w:r>
          </w:p>
        </w:tc>
        <w:tc>
          <w:tcPr>
            <w:tcW w:w="5980" w:type="dxa"/>
            <w:tcBorders>
              <w:top w:val="nil"/>
              <w:left w:val="nil"/>
              <w:bottom w:val="nil"/>
              <w:right w:val="nil"/>
            </w:tcBorders>
            <w:shd w:val="clear" w:color="auto" w:fill="auto"/>
            <w:vAlign w:val="center"/>
            <w:hideMark/>
          </w:tcPr>
          <w:p w14:paraId="3697C0DC"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Comisión de Sanidad Militar</w:t>
            </w:r>
          </w:p>
        </w:tc>
      </w:tr>
      <w:tr w:rsidR="000A1B0B" w:rsidRPr="000A1B0B" w14:paraId="10A778E0" w14:textId="77777777" w:rsidTr="000A1B0B">
        <w:trPr>
          <w:trHeight w:val="300"/>
        </w:trPr>
        <w:tc>
          <w:tcPr>
            <w:tcW w:w="2680" w:type="dxa"/>
            <w:tcBorders>
              <w:top w:val="nil"/>
              <w:left w:val="nil"/>
              <w:bottom w:val="nil"/>
              <w:right w:val="nil"/>
            </w:tcBorders>
            <w:shd w:val="clear" w:color="auto" w:fill="auto"/>
            <w:vAlign w:val="center"/>
            <w:hideMark/>
          </w:tcPr>
          <w:p w14:paraId="6BC3AE24"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FM</w:t>
            </w:r>
          </w:p>
        </w:tc>
        <w:tc>
          <w:tcPr>
            <w:tcW w:w="5980" w:type="dxa"/>
            <w:tcBorders>
              <w:top w:val="nil"/>
              <w:left w:val="nil"/>
              <w:bottom w:val="nil"/>
              <w:right w:val="nil"/>
            </w:tcBorders>
            <w:shd w:val="clear" w:color="auto" w:fill="auto"/>
            <w:vAlign w:val="center"/>
            <w:hideMark/>
          </w:tcPr>
          <w:p w14:paraId="4CFC9330"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Fondo Mundial</w:t>
            </w:r>
          </w:p>
        </w:tc>
      </w:tr>
      <w:tr w:rsidR="000A1B0B" w:rsidRPr="000A1B0B" w14:paraId="217A80D5" w14:textId="77777777" w:rsidTr="000A1B0B">
        <w:trPr>
          <w:trHeight w:val="300"/>
        </w:trPr>
        <w:tc>
          <w:tcPr>
            <w:tcW w:w="2680" w:type="dxa"/>
            <w:tcBorders>
              <w:top w:val="nil"/>
              <w:left w:val="nil"/>
              <w:bottom w:val="nil"/>
              <w:right w:val="nil"/>
            </w:tcBorders>
            <w:shd w:val="clear" w:color="auto" w:fill="auto"/>
            <w:vAlign w:val="center"/>
            <w:hideMark/>
          </w:tcPr>
          <w:p w14:paraId="03D4D417"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FOP</w:t>
            </w:r>
          </w:p>
        </w:tc>
        <w:tc>
          <w:tcPr>
            <w:tcW w:w="5980" w:type="dxa"/>
            <w:tcBorders>
              <w:top w:val="nil"/>
              <w:left w:val="nil"/>
              <w:bottom w:val="nil"/>
              <w:right w:val="nil"/>
            </w:tcBorders>
            <w:shd w:val="clear" w:color="auto" w:fill="auto"/>
            <w:vAlign w:val="center"/>
            <w:hideMark/>
          </w:tcPr>
          <w:p w14:paraId="16D91800"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 xml:space="preserve">Fideicomiso de Obligaciones Previsionales </w:t>
            </w:r>
          </w:p>
        </w:tc>
      </w:tr>
      <w:tr w:rsidR="000A1B0B" w:rsidRPr="000A1B0B" w14:paraId="1B0BEEEC" w14:textId="77777777" w:rsidTr="000A1B0B">
        <w:trPr>
          <w:trHeight w:val="300"/>
        </w:trPr>
        <w:tc>
          <w:tcPr>
            <w:tcW w:w="2680" w:type="dxa"/>
            <w:tcBorders>
              <w:top w:val="nil"/>
              <w:left w:val="nil"/>
              <w:bottom w:val="nil"/>
              <w:right w:val="nil"/>
            </w:tcBorders>
            <w:shd w:val="clear" w:color="auto" w:fill="auto"/>
            <w:vAlign w:val="center"/>
            <w:hideMark/>
          </w:tcPr>
          <w:p w14:paraId="73AD3422"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FOVIAL</w:t>
            </w:r>
          </w:p>
        </w:tc>
        <w:tc>
          <w:tcPr>
            <w:tcW w:w="5980" w:type="dxa"/>
            <w:tcBorders>
              <w:top w:val="nil"/>
              <w:left w:val="nil"/>
              <w:bottom w:val="nil"/>
              <w:right w:val="nil"/>
            </w:tcBorders>
            <w:shd w:val="clear" w:color="auto" w:fill="auto"/>
            <w:vAlign w:val="center"/>
            <w:hideMark/>
          </w:tcPr>
          <w:p w14:paraId="56B5E480"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Fondo de Conservación Vial</w:t>
            </w:r>
          </w:p>
        </w:tc>
      </w:tr>
      <w:tr w:rsidR="000A1B0B" w:rsidRPr="000A1B0B" w14:paraId="032F3397" w14:textId="77777777" w:rsidTr="000A1B0B">
        <w:trPr>
          <w:trHeight w:val="300"/>
        </w:trPr>
        <w:tc>
          <w:tcPr>
            <w:tcW w:w="2680" w:type="dxa"/>
            <w:tcBorders>
              <w:top w:val="nil"/>
              <w:left w:val="nil"/>
              <w:bottom w:val="nil"/>
              <w:right w:val="nil"/>
            </w:tcBorders>
            <w:shd w:val="clear" w:color="auto" w:fill="auto"/>
            <w:vAlign w:val="center"/>
            <w:hideMark/>
          </w:tcPr>
          <w:p w14:paraId="33D9A735"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FOSALUD</w:t>
            </w:r>
          </w:p>
        </w:tc>
        <w:tc>
          <w:tcPr>
            <w:tcW w:w="5980" w:type="dxa"/>
            <w:tcBorders>
              <w:top w:val="nil"/>
              <w:left w:val="nil"/>
              <w:bottom w:val="nil"/>
              <w:right w:val="nil"/>
            </w:tcBorders>
            <w:shd w:val="clear" w:color="auto" w:fill="auto"/>
            <w:vAlign w:val="center"/>
            <w:hideMark/>
          </w:tcPr>
          <w:p w14:paraId="3FF05D11"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Fondo Solidario para la Salud</w:t>
            </w:r>
          </w:p>
        </w:tc>
      </w:tr>
      <w:tr w:rsidR="000A1B0B" w:rsidRPr="000A1B0B" w14:paraId="7C4F7A0C" w14:textId="77777777" w:rsidTr="000A1B0B">
        <w:trPr>
          <w:trHeight w:val="300"/>
        </w:trPr>
        <w:tc>
          <w:tcPr>
            <w:tcW w:w="2680" w:type="dxa"/>
            <w:tcBorders>
              <w:top w:val="nil"/>
              <w:left w:val="nil"/>
              <w:bottom w:val="nil"/>
              <w:right w:val="nil"/>
            </w:tcBorders>
            <w:shd w:val="clear" w:color="auto" w:fill="auto"/>
            <w:vAlign w:val="center"/>
            <w:hideMark/>
          </w:tcPr>
          <w:p w14:paraId="44DAD63C"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val="es-ES" w:eastAsia="es-SV"/>
              </w:rPr>
              <w:t>GOES</w:t>
            </w:r>
          </w:p>
        </w:tc>
        <w:tc>
          <w:tcPr>
            <w:tcW w:w="5980" w:type="dxa"/>
            <w:tcBorders>
              <w:top w:val="nil"/>
              <w:left w:val="nil"/>
              <w:bottom w:val="nil"/>
              <w:right w:val="nil"/>
            </w:tcBorders>
            <w:shd w:val="clear" w:color="auto" w:fill="auto"/>
            <w:vAlign w:val="center"/>
            <w:hideMark/>
          </w:tcPr>
          <w:p w14:paraId="1A59A65A"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Gobierno de El Salvador</w:t>
            </w:r>
          </w:p>
        </w:tc>
      </w:tr>
      <w:tr w:rsidR="000A1B0B" w:rsidRPr="000A1B0B" w14:paraId="372EB72E" w14:textId="77777777" w:rsidTr="000A1B0B">
        <w:trPr>
          <w:trHeight w:val="300"/>
        </w:trPr>
        <w:tc>
          <w:tcPr>
            <w:tcW w:w="2680" w:type="dxa"/>
            <w:tcBorders>
              <w:top w:val="nil"/>
              <w:left w:val="nil"/>
              <w:bottom w:val="nil"/>
              <w:right w:val="nil"/>
            </w:tcBorders>
            <w:shd w:val="clear" w:color="auto" w:fill="auto"/>
            <w:vAlign w:val="center"/>
            <w:hideMark/>
          </w:tcPr>
          <w:p w14:paraId="100A16C6"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val="es-ES" w:eastAsia="es-SV"/>
              </w:rPr>
              <w:t xml:space="preserve"> HSH</w:t>
            </w:r>
          </w:p>
        </w:tc>
        <w:tc>
          <w:tcPr>
            <w:tcW w:w="5980" w:type="dxa"/>
            <w:tcBorders>
              <w:top w:val="nil"/>
              <w:left w:val="nil"/>
              <w:bottom w:val="nil"/>
              <w:right w:val="nil"/>
            </w:tcBorders>
            <w:shd w:val="clear" w:color="auto" w:fill="auto"/>
            <w:vAlign w:val="center"/>
            <w:hideMark/>
          </w:tcPr>
          <w:p w14:paraId="6E185982"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Hombres que tienen sexo con otros hombres</w:t>
            </w:r>
          </w:p>
        </w:tc>
      </w:tr>
      <w:tr w:rsidR="000A1B0B" w:rsidRPr="000A1B0B" w14:paraId="74AE7D32" w14:textId="77777777" w:rsidTr="000A1B0B">
        <w:trPr>
          <w:trHeight w:val="300"/>
        </w:trPr>
        <w:tc>
          <w:tcPr>
            <w:tcW w:w="2680" w:type="dxa"/>
            <w:tcBorders>
              <w:top w:val="nil"/>
              <w:left w:val="nil"/>
              <w:bottom w:val="nil"/>
              <w:right w:val="nil"/>
            </w:tcBorders>
            <w:shd w:val="clear" w:color="auto" w:fill="auto"/>
            <w:vAlign w:val="center"/>
            <w:hideMark/>
          </w:tcPr>
          <w:p w14:paraId="1636295E"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val="es-ES" w:eastAsia="es-SV"/>
              </w:rPr>
              <w:t>ISDEM</w:t>
            </w:r>
          </w:p>
        </w:tc>
        <w:tc>
          <w:tcPr>
            <w:tcW w:w="5980" w:type="dxa"/>
            <w:tcBorders>
              <w:top w:val="nil"/>
              <w:left w:val="nil"/>
              <w:bottom w:val="nil"/>
              <w:right w:val="nil"/>
            </w:tcBorders>
            <w:shd w:val="clear" w:color="auto" w:fill="auto"/>
            <w:vAlign w:val="center"/>
            <w:hideMark/>
          </w:tcPr>
          <w:p w14:paraId="36DDC3D4"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Instituto de desarrollo municipal</w:t>
            </w:r>
          </w:p>
        </w:tc>
      </w:tr>
      <w:tr w:rsidR="000A1B0B" w:rsidRPr="000A1B0B" w14:paraId="146054C0" w14:textId="77777777" w:rsidTr="000A1B0B">
        <w:trPr>
          <w:trHeight w:val="300"/>
        </w:trPr>
        <w:tc>
          <w:tcPr>
            <w:tcW w:w="2680" w:type="dxa"/>
            <w:tcBorders>
              <w:top w:val="nil"/>
              <w:left w:val="nil"/>
              <w:bottom w:val="nil"/>
              <w:right w:val="nil"/>
            </w:tcBorders>
            <w:shd w:val="clear" w:color="auto" w:fill="auto"/>
            <w:vAlign w:val="center"/>
            <w:hideMark/>
          </w:tcPr>
          <w:p w14:paraId="6505D78E"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val="es-ES" w:eastAsia="es-SV"/>
              </w:rPr>
              <w:t>ISNA</w:t>
            </w:r>
          </w:p>
        </w:tc>
        <w:tc>
          <w:tcPr>
            <w:tcW w:w="5980" w:type="dxa"/>
            <w:tcBorders>
              <w:top w:val="nil"/>
              <w:left w:val="nil"/>
              <w:bottom w:val="nil"/>
              <w:right w:val="nil"/>
            </w:tcBorders>
            <w:shd w:val="clear" w:color="auto" w:fill="auto"/>
            <w:vAlign w:val="center"/>
            <w:hideMark/>
          </w:tcPr>
          <w:p w14:paraId="2C2B4E1C"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Instituto Salvadoreño para la Niñez y Adolescencia</w:t>
            </w:r>
          </w:p>
        </w:tc>
      </w:tr>
      <w:tr w:rsidR="000A1B0B" w:rsidRPr="000A1B0B" w14:paraId="2D5709C5" w14:textId="77777777" w:rsidTr="000A1B0B">
        <w:trPr>
          <w:trHeight w:val="300"/>
        </w:trPr>
        <w:tc>
          <w:tcPr>
            <w:tcW w:w="2680" w:type="dxa"/>
            <w:tcBorders>
              <w:top w:val="nil"/>
              <w:left w:val="nil"/>
              <w:bottom w:val="nil"/>
              <w:right w:val="nil"/>
            </w:tcBorders>
            <w:shd w:val="clear" w:color="auto" w:fill="auto"/>
            <w:vAlign w:val="center"/>
            <w:hideMark/>
          </w:tcPr>
          <w:p w14:paraId="4EA015A7"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val="es-ES" w:eastAsia="es-SV"/>
              </w:rPr>
              <w:t>ISSS</w:t>
            </w:r>
          </w:p>
        </w:tc>
        <w:tc>
          <w:tcPr>
            <w:tcW w:w="5980" w:type="dxa"/>
            <w:tcBorders>
              <w:top w:val="nil"/>
              <w:left w:val="nil"/>
              <w:bottom w:val="nil"/>
              <w:right w:val="nil"/>
            </w:tcBorders>
            <w:shd w:val="clear" w:color="auto" w:fill="auto"/>
            <w:vAlign w:val="center"/>
            <w:hideMark/>
          </w:tcPr>
          <w:p w14:paraId="6E6B8194"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Instituto Salvadoreño de Seguridad Social</w:t>
            </w:r>
          </w:p>
        </w:tc>
      </w:tr>
      <w:tr w:rsidR="000A1B0B" w:rsidRPr="000A1B0B" w14:paraId="1D5B993E" w14:textId="77777777" w:rsidTr="000A1B0B">
        <w:trPr>
          <w:trHeight w:val="300"/>
        </w:trPr>
        <w:tc>
          <w:tcPr>
            <w:tcW w:w="2680" w:type="dxa"/>
            <w:tcBorders>
              <w:top w:val="nil"/>
              <w:left w:val="nil"/>
              <w:bottom w:val="nil"/>
              <w:right w:val="nil"/>
            </w:tcBorders>
            <w:shd w:val="clear" w:color="auto" w:fill="auto"/>
            <w:vAlign w:val="center"/>
            <w:hideMark/>
          </w:tcPr>
          <w:p w14:paraId="7F1E9FE8"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val="es-ES" w:eastAsia="es-SV"/>
              </w:rPr>
              <w:t xml:space="preserve">ISBM </w:t>
            </w:r>
          </w:p>
        </w:tc>
        <w:tc>
          <w:tcPr>
            <w:tcW w:w="5980" w:type="dxa"/>
            <w:tcBorders>
              <w:top w:val="nil"/>
              <w:left w:val="nil"/>
              <w:bottom w:val="nil"/>
              <w:right w:val="nil"/>
            </w:tcBorders>
            <w:shd w:val="clear" w:color="auto" w:fill="auto"/>
            <w:vAlign w:val="center"/>
            <w:hideMark/>
          </w:tcPr>
          <w:p w14:paraId="54E98336"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 xml:space="preserve">Instituto Salvadoreño de Bienestar Magisterial </w:t>
            </w:r>
          </w:p>
        </w:tc>
      </w:tr>
      <w:tr w:rsidR="000A1B0B" w:rsidRPr="000A1B0B" w14:paraId="42C77B4E" w14:textId="77777777" w:rsidTr="000A1B0B">
        <w:trPr>
          <w:trHeight w:val="300"/>
        </w:trPr>
        <w:tc>
          <w:tcPr>
            <w:tcW w:w="2680" w:type="dxa"/>
            <w:tcBorders>
              <w:top w:val="nil"/>
              <w:left w:val="nil"/>
              <w:bottom w:val="nil"/>
              <w:right w:val="nil"/>
            </w:tcBorders>
            <w:shd w:val="clear" w:color="auto" w:fill="auto"/>
            <w:vAlign w:val="center"/>
            <w:hideMark/>
          </w:tcPr>
          <w:p w14:paraId="5E12A535"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val="es-ES" w:eastAsia="es-SV"/>
              </w:rPr>
              <w:t>ITS</w:t>
            </w:r>
          </w:p>
        </w:tc>
        <w:tc>
          <w:tcPr>
            <w:tcW w:w="5980" w:type="dxa"/>
            <w:tcBorders>
              <w:top w:val="nil"/>
              <w:left w:val="nil"/>
              <w:bottom w:val="nil"/>
              <w:right w:val="nil"/>
            </w:tcBorders>
            <w:shd w:val="clear" w:color="auto" w:fill="auto"/>
            <w:vAlign w:val="center"/>
            <w:hideMark/>
          </w:tcPr>
          <w:p w14:paraId="0C58B940"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Infecciones de transmisión Sexual</w:t>
            </w:r>
          </w:p>
        </w:tc>
      </w:tr>
      <w:tr w:rsidR="000A1B0B" w:rsidRPr="000A1B0B" w14:paraId="3B938E6C" w14:textId="77777777" w:rsidTr="000A1B0B">
        <w:trPr>
          <w:trHeight w:val="300"/>
        </w:trPr>
        <w:tc>
          <w:tcPr>
            <w:tcW w:w="2680" w:type="dxa"/>
            <w:tcBorders>
              <w:top w:val="nil"/>
              <w:left w:val="nil"/>
              <w:bottom w:val="nil"/>
              <w:right w:val="nil"/>
            </w:tcBorders>
            <w:shd w:val="clear" w:color="auto" w:fill="auto"/>
            <w:vAlign w:val="center"/>
            <w:hideMark/>
          </w:tcPr>
          <w:p w14:paraId="79D23BDF"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val="es-ES" w:eastAsia="es-SV"/>
              </w:rPr>
              <w:t>LB</w:t>
            </w:r>
          </w:p>
        </w:tc>
        <w:tc>
          <w:tcPr>
            <w:tcW w:w="5980" w:type="dxa"/>
            <w:tcBorders>
              <w:top w:val="nil"/>
              <w:left w:val="nil"/>
              <w:bottom w:val="nil"/>
              <w:right w:val="nil"/>
            </w:tcBorders>
            <w:shd w:val="clear" w:color="auto" w:fill="auto"/>
            <w:vAlign w:val="center"/>
            <w:hideMark/>
          </w:tcPr>
          <w:p w14:paraId="114FC05E"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Línea de  base</w:t>
            </w:r>
          </w:p>
        </w:tc>
      </w:tr>
      <w:tr w:rsidR="000A1B0B" w:rsidRPr="000A1B0B" w14:paraId="0587F8B5" w14:textId="77777777" w:rsidTr="000A1B0B">
        <w:trPr>
          <w:trHeight w:val="300"/>
        </w:trPr>
        <w:tc>
          <w:tcPr>
            <w:tcW w:w="2680" w:type="dxa"/>
            <w:tcBorders>
              <w:top w:val="nil"/>
              <w:left w:val="nil"/>
              <w:bottom w:val="nil"/>
              <w:right w:val="nil"/>
            </w:tcBorders>
            <w:shd w:val="clear" w:color="auto" w:fill="auto"/>
            <w:vAlign w:val="center"/>
            <w:hideMark/>
          </w:tcPr>
          <w:p w14:paraId="26CB8886"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val="es-ES" w:eastAsia="es-SV"/>
              </w:rPr>
              <w:t>MCP</w:t>
            </w:r>
          </w:p>
        </w:tc>
        <w:tc>
          <w:tcPr>
            <w:tcW w:w="5980" w:type="dxa"/>
            <w:tcBorders>
              <w:top w:val="nil"/>
              <w:left w:val="nil"/>
              <w:bottom w:val="nil"/>
              <w:right w:val="nil"/>
            </w:tcBorders>
            <w:shd w:val="clear" w:color="auto" w:fill="auto"/>
            <w:vAlign w:val="center"/>
            <w:hideMark/>
          </w:tcPr>
          <w:p w14:paraId="69413480"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Mecanismo de Coordinación de País</w:t>
            </w:r>
          </w:p>
        </w:tc>
      </w:tr>
      <w:tr w:rsidR="000A1B0B" w:rsidRPr="000A1B0B" w14:paraId="225D82C2" w14:textId="77777777" w:rsidTr="000A1B0B">
        <w:trPr>
          <w:trHeight w:val="300"/>
        </w:trPr>
        <w:tc>
          <w:tcPr>
            <w:tcW w:w="2680" w:type="dxa"/>
            <w:tcBorders>
              <w:top w:val="nil"/>
              <w:left w:val="nil"/>
              <w:bottom w:val="nil"/>
              <w:right w:val="nil"/>
            </w:tcBorders>
            <w:shd w:val="clear" w:color="auto" w:fill="auto"/>
            <w:vAlign w:val="center"/>
            <w:hideMark/>
          </w:tcPr>
          <w:p w14:paraId="4C5CE1F0"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M&amp;E</w:t>
            </w:r>
          </w:p>
        </w:tc>
        <w:tc>
          <w:tcPr>
            <w:tcW w:w="5980" w:type="dxa"/>
            <w:tcBorders>
              <w:top w:val="nil"/>
              <w:left w:val="nil"/>
              <w:bottom w:val="nil"/>
              <w:right w:val="nil"/>
            </w:tcBorders>
            <w:shd w:val="clear" w:color="auto" w:fill="auto"/>
            <w:vAlign w:val="center"/>
            <w:hideMark/>
          </w:tcPr>
          <w:p w14:paraId="22549825"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Monitoreo y Evaluación</w:t>
            </w:r>
          </w:p>
        </w:tc>
      </w:tr>
      <w:tr w:rsidR="000A1B0B" w:rsidRPr="000A1B0B" w14:paraId="17B2A64E" w14:textId="77777777" w:rsidTr="000A1B0B">
        <w:trPr>
          <w:trHeight w:val="300"/>
        </w:trPr>
        <w:tc>
          <w:tcPr>
            <w:tcW w:w="2680" w:type="dxa"/>
            <w:tcBorders>
              <w:top w:val="nil"/>
              <w:left w:val="nil"/>
              <w:bottom w:val="nil"/>
              <w:right w:val="nil"/>
            </w:tcBorders>
            <w:shd w:val="clear" w:color="auto" w:fill="auto"/>
            <w:vAlign w:val="center"/>
            <w:hideMark/>
          </w:tcPr>
          <w:p w14:paraId="786E129B" w14:textId="48A30B4D" w:rsidR="000A1B0B" w:rsidRPr="000A1B0B" w:rsidRDefault="009852E8" w:rsidP="000A1B0B">
            <w:pPr>
              <w:spacing w:after="0" w:line="240" w:lineRule="auto"/>
              <w:jc w:val="right"/>
              <w:rPr>
                <w:rFonts w:eastAsia="Times New Roman" w:cstheme="minorHAnsi"/>
                <w:color w:val="000000"/>
                <w:sz w:val="20"/>
                <w:szCs w:val="20"/>
                <w:lang w:val="es-SV" w:eastAsia="es-SV"/>
              </w:rPr>
            </w:pPr>
            <w:r>
              <w:rPr>
                <w:rFonts w:eastAsia="Times New Roman" w:cstheme="minorHAnsi"/>
                <w:color w:val="000000"/>
                <w:sz w:val="20"/>
                <w:szCs w:val="20"/>
                <w:lang w:eastAsia="es-SV"/>
              </w:rPr>
              <w:t>MINEDUCYT</w:t>
            </w:r>
          </w:p>
        </w:tc>
        <w:tc>
          <w:tcPr>
            <w:tcW w:w="5980" w:type="dxa"/>
            <w:tcBorders>
              <w:top w:val="nil"/>
              <w:left w:val="nil"/>
              <w:bottom w:val="nil"/>
              <w:right w:val="nil"/>
            </w:tcBorders>
            <w:shd w:val="clear" w:color="auto" w:fill="auto"/>
            <w:vAlign w:val="center"/>
            <w:hideMark/>
          </w:tcPr>
          <w:p w14:paraId="31CCC51D" w14:textId="2646FF49"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Ministerio de Educación</w:t>
            </w:r>
            <w:r w:rsidR="009852E8">
              <w:rPr>
                <w:rFonts w:eastAsia="Times New Roman" w:cstheme="minorHAnsi"/>
                <w:bCs/>
                <w:color w:val="000000"/>
                <w:sz w:val="20"/>
                <w:szCs w:val="20"/>
                <w:lang w:eastAsia="es-SV"/>
              </w:rPr>
              <w:t>, Ciencia y Tecnología</w:t>
            </w:r>
          </w:p>
        </w:tc>
      </w:tr>
      <w:tr w:rsidR="000A1B0B" w:rsidRPr="000A1B0B" w14:paraId="7DC47DCC" w14:textId="77777777" w:rsidTr="000A1B0B">
        <w:trPr>
          <w:trHeight w:val="300"/>
        </w:trPr>
        <w:tc>
          <w:tcPr>
            <w:tcW w:w="2680" w:type="dxa"/>
            <w:tcBorders>
              <w:top w:val="nil"/>
              <w:left w:val="nil"/>
              <w:bottom w:val="nil"/>
              <w:right w:val="nil"/>
            </w:tcBorders>
            <w:shd w:val="clear" w:color="auto" w:fill="auto"/>
            <w:vAlign w:val="center"/>
            <w:hideMark/>
          </w:tcPr>
          <w:p w14:paraId="3BA2BDBA"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MINSAL</w:t>
            </w:r>
          </w:p>
        </w:tc>
        <w:tc>
          <w:tcPr>
            <w:tcW w:w="5980" w:type="dxa"/>
            <w:tcBorders>
              <w:top w:val="nil"/>
              <w:left w:val="nil"/>
              <w:bottom w:val="nil"/>
              <w:right w:val="nil"/>
            </w:tcBorders>
            <w:shd w:val="clear" w:color="auto" w:fill="auto"/>
            <w:vAlign w:val="center"/>
            <w:hideMark/>
          </w:tcPr>
          <w:p w14:paraId="6D5555AB"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Ministerio de Salud</w:t>
            </w:r>
          </w:p>
        </w:tc>
      </w:tr>
      <w:tr w:rsidR="000A1B0B" w:rsidRPr="000A1B0B" w14:paraId="3075C0A3" w14:textId="77777777" w:rsidTr="000A1B0B">
        <w:trPr>
          <w:trHeight w:val="300"/>
        </w:trPr>
        <w:tc>
          <w:tcPr>
            <w:tcW w:w="2680" w:type="dxa"/>
            <w:tcBorders>
              <w:top w:val="nil"/>
              <w:left w:val="nil"/>
              <w:bottom w:val="nil"/>
              <w:right w:val="nil"/>
            </w:tcBorders>
            <w:shd w:val="clear" w:color="auto" w:fill="auto"/>
            <w:vAlign w:val="center"/>
            <w:hideMark/>
          </w:tcPr>
          <w:p w14:paraId="761B04E6"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MINTRAB</w:t>
            </w:r>
          </w:p>
        </w:tc>
        <w:tc>
          <w:tcPr>
            <w:tcW w:w="5980" w:type="dxa"/>
            <w:tcBorders>
              <w:top w:val="nil"/>
              <w:left w:val="nil"/>
              <w:bottom w:val="nil"/>
              <w:right w:val="nil"/>
            </w:tcBorders>
            <w:shd w:val="clear" w:color="auto" w:fill="auto"/>
            <w:vAlign w:val="center"/>
            <w:hideMark/>
          </w:tcPr>
          <w:p w14:paraId="0597ED42"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Ministerio de Trabajo</w:t>
            </w:r>
          </w:p>
        </w:tc>
      </w:tr>
      <w:tr w:rsidR="000A1B0B" w:rsidRPr="000A1B0B" w14:paraId="6253F9A9" w14:textId="77777777" w:rsidTr="000A1B0B">
        <w:trPr>
          <w:trHeight w:val="300"/>
        </w:trPr>
        <w:tc>
          <w:tcPr>
            <w:tcW w:w="2680" w:type="dxa"/>
            <w:tcBorders>
              <w:top w:val="nil"/>
              <w:left w:val="nil"/>
              <w:bottom w:val="nil"/>
              <w:right w:val="nil"/>
            </w:tcBorders>
            <w:shd w:val="clear" w:color="auto" w:fill="auto"/>
            <w:vAlign w:val="center"/>
            <w:hideMark/>
          </w:tcPr>
          <w:p w14:paraId="306C07E1"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val="es-ES" w:eastAsia="es-SV"/>
              </w:rPr>
              <w:t xml:space="preserve">MT </w:t>
            </w:r>
          </w:p>
        </w:tc>
        <w:tc>
          <w:tcPr>
            <w:tcW w:w="5980" w:type="dxa"/>
            <w:tcBorders>
              <w:top w:val="nil"/>
              <w:left w:val="nil"/>
              <w:bottom w:val="nil"/>
              <w:right w:val="nil"/>
            </w:tcBorders>
            <w:shd w:val="clear" w:color="auto" w:fill="auto"/>
            <w:vAlign w:val="center"/>
            <w:hideMark/>
          </w:tcPr>
          <w:p w14:paraId="3B771456"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Mujeres trans</w:t>
            </w:r>
          </w:p>
        </w:tc>
      </w:tr>
      <w:tr w:rsidR="000A1B0B" w:rsidRPr="000A1B0B" w14:paraId="7C75A4EF" w14:textId="77777777" w:rsidTr="000A1B0B">
        <w:trPr>
          <w:trHeight w:val="300"/>
        </w:trPr>
        <w:tc>
          <w:tcPr>
            <w:tcW w:w="2680" w:type="dxa"/>
            <w:tcBorders>
              <w:top w:val="nil"/>
              <w:left w:val="nil"/>
              <w:bottom w:val="nil"/>
              <w:right w:val="nil"/>
            </w:tcBorders>
            <w:shd w:val="clear" w:color="auto" w:fill="auto"/>
            <w:vAlign w:val="center"/>
            <w:hideMark/>
          </w:tcPr>
          <w:p w14:paraId="4A9DC11B"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OMS</w:t>
            </w:r>
          </w:p>
        </w:tc>
        <w:tc>
          <w:tcPr>
            <w:tcW w:w="5980" w:type="dxa"/>
            <w:tcBorders>
              <w:top w:val="nil"/>
              <w:left w:val="nil"/>
              <w:bottom w:val="nil"/>
              <w:right w:val="nil"/>
            </w:tcBorders>
            <w:shd w:val="clear" w:color="auto" w:fill="auto"/>
            <w:vAlign w:val="center"/>
            <w:hideMark/>
          </w:tcPr>
          <w:p w14:paraId="2105F430"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Organización Mundial de la Salud</w:t>
            </w:r>
          </w:p>
        </w:tc>
      </w:tr>
      <w:tr w:rsidR="000A1B0B" w:rsidRPr="000A1B0B" w14:paraId="39CAE401" w14:textId="77777777" w:rsidTr="000A1B0B">
        <w:trPr>
          <w:trHeight w:val="300"/>
        </w:trPr>
        <w:tc>
          <w:tcPr>
            <w:tcW w:w="2680" w:type="dxa"/>
            <w:tcBorders>
              <w:top w:val="nil"/>
              <w:left w:val="nil"/>
              <w:bottom w:val="nil"/>
              <w:right w:val="nil"/>
            </w:tcBorders>
            <w:shd w:val="clear" w:color="auto" w:fill="auto"/>
            <w:vAlign w:val="center"/>
            <w:hideMark/>
          </w:tcPr>
          <w:p w14:paraId="48455A50"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val="es-ES" w:eastAsia="es-SV"/>
              </w:rPr>
              <w:t>ONG</w:t>
            </w:r>
          </w:p>
        </w:tc>
        <w:tc>
          <w:tcPr>
            <w:tcW w:w="5980" w:type="dxa"/>
            <w:tcBorders>
              <w:top w:val="nil"/>
              <w:left w:val="nil"/>
              <w:bottom w:val="nil"/>
              <w:right w:val="nil"/>
            </w:tcBorders>
            <w:shd w:val="clear" w:color="auto" w:fill="auto"/>
            <w:vAlign w:val="center"/>
            <w:hideMark/>
          </w:tcPr>
          <w:p w14:paraId="27A681B6"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Organizaciones no gubernamentales</w:t>
            </w:r>
          </w:p>
        </w:tc>
      </w:tr>
      <w:tr w:rsidR="000A1B0B" w:rsidRPr="000A1B0B" w14:paraId="3C6E40DD" w14:textId="77777777" w:rsidTr="000A1B0B">
        <w:trPr>
          <w:trHeight w:val="300"/>
        </w:trPr>
        <w:tc>
          <w:tcPr>
            <w:tcW w:w="2680" w:type="dxa"/>
            <w:tcBorders>
              <w:top w:val="nil"/>
              <w:left w:val="nil"/>
              <w:bottom w:val="nil"/>
              <w:right w:val="nil"/>
            </w:tcBorders>
            <w:shd w:val="clear" w:color="auto" w:fill="auto"/>
            <w:vAlign w:val="center"/>
            <w:hideMark/>
          </w:tcPr>
          <w:p w14:paraId="3799DFBE"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ONUSIDA</w:t>
            </w:r>
          </w:p>
        </w:tc>
        <w:tc>
          <w:tcPr>
            <w:tcW w:w="5980" w:type="dxa"/>
            <w:tcBorders>
              <w:top w:val="nil"/>
              <w:left w:val="nil"/>
              <w:bottom w:val="nil"/>
              <w:right w:val="nil"/>
            </w:tcBorders>
            <w:shd w:val="clear" w:color="auto" w:fill="auto"/>
            <w:vAlign w:val="center"/>
            <w:hideMark/>
          </w:tcPr>
          <w:p w14:paraId="25294CA6"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Programa Conjunto de las Naciones Unidas sobre el VIH y Sida</w:t>
            </w:r>
          </w:p>
        </w:tc>
      </w:tr>
      <w:tr w:rsidR="000A1B0B" w:rsidRPr="000A1B0B" w14:paraId="4B77D8D0" w14:textId="77777777" w:rsidTr="000A1B0B">
        <w:trPr>
          <w:trHeight w:val="300"/>
        </w:trPr>
        <w:tc>
          <w:tcPr>
            <w:tcW w:w="2680" w:type="dxa"/>
            <w:tcBorders>
              <w:top w:val="nil"/>
              <w:left w:val="nil"/>
              <w:bottom w:val="nil"/>
              <w:right w:val="nil"/>
            </w:tcBorders>
            <w:shd w:val="clear" w:color="auto" w:fill="auto"/>
            <w:vAlign w:val="center"/>
            <w:hideMark/>
          </w:tcPr>
          <w:p w14:paraId="6CBB3FD7"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OPS</w:t>
            </w:r>
          </w:p>
        </w:tc>
        <w:tc>
          <w:tcPr>
            <w:tcW w:w="5980" w:type="dxa"/>
            <w:tcBorders>
              <w:top w:val="nil"/>
              <w:left w:val="nil"/>
              <w:bottom w:val="nil"/>
              <w:right w:val="nil"/>
            </w:tcBorders>
            <w:shd w:val="clear" w:color="auto" w:fill="auto"/>
            <w:vAlign w:val="center"/>
            <w:hideMark/>
          </w:tcPr>
          <w:p w14:paraId="668D07F9"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Organización Panamericana de la Salud</w:t>
            </w:r>
          </w:p>
        </w:tc>
      </w:tr>
      <w:tr w:rsidR="000A1B0B" w:rsidRPr="000A1B0B" w14:paraId="6E17A631" w14:textId="77777777" w:rsidTr="000A1B0B">
        <w:trPr>
          <w:trHeight w:val="300"/>
        </w:trPr>
        <w:tc>
          <w:tcPr>
            <w:tcW w:w="2680" w:type="dxa"/>
            <w:tcBorders>
              <w:top w:val="nil"/>
              <w:left w:val="nil"/>
              <w:bottom w:val="nil"/>
              <w:right w:val="nil"/>
            </w:tcBorders>
            <w:shd w:val="clear" w:color="auto" w:fill="auto"/>
            <w:vAlign w:val="center"/>
            <w:hideMark/>
          </w:tcPr>
          <w:p w14:paraId="4FC578FB"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PDDH</w:t>
            </w:r>
          </w:p>
        </w:tc>
        <w:tc>
          <w:tcPr>
            <w:tcW w:w="5980" w:type="dxa"/>
            <w:tcBorders>
              <w:top w:val="nil"/>
              <w:left w:val="nil"/>
              <w:bottom w:val="nil"/>
              <w:right w:val="nil"/>
            </w:tcBorders>
            <w:shd w:val="clear" w:color="auto" w:fill="auto"/>
            <w:vAlign w:val="center"/>
            <w:hideMark/>
          </w:tcPr>
          <w:p w14:paraId="65BF11B8"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Procuraduría para la Defensa de los Derechos Humanos</w:t>
            </w:r>
          </w:p>
        </w:tc>
      </w:tr>
      <w:tr w:rsidR="000A1B0B" w:rsidRPr="000A1B0B" w14:paraId="72BC25BF" w14:textId="77777777" w:rsidTr="000A1B0B">
        <w:trPr>
          <w:trHeight w:val="300"/>
        </w:trPr>
        <w:tc>
          <w:tcPr>
            <w:tcW w:w="2680" w:type="dxa"/>
            <w:tcBorders>
              <w:top w:val="nil"/>
              <w:left w:val="nil"/>
              <w:bottom w:val="nil"/>
              <w:right w:val="nil"/>
            </w:tcBorders>
            <w:shd w:val="clear" w:color="auto" w:fill="auto"/>
            <w:vAlign w:val="center"/>
            <w:hideMark/>
          </w:tcPr>
          <w:p w14:paraId="1C4FAAA7"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PENM</w:t>
            </w:r>
          </w:p>
        </w:tc>
        <w:tc>
          <w:tcPr>
            <w:tcW w:w="5980" w:type="dxa"/>
            <w:tcBorders>
              <w:top w:val="nil"/>
              <w:left w:val="nil"/>
              <w:bottom w:val="nil"/>
              <w:right w:val="nil"/>
            </w:tcBorders>
            <w:shd w:val="clear" w:color="auto" w:fill="auto"/>
            <w:vAlign w:val="center"/>
            <w:hideMark/>
          </w:tcPr>
          <w:p w14:paraId="37527E18"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Plan Estratégico Nacional Multisectorial</w:t>
            </w:r>
          </w:p>
        </w:tc>
      </w:tr>
      <w:tr w:rsidR="000A1B0B" w:rsidRPr="000A1B0B" w14:paraId="36174B5F" w14:textId="77777777" w:rsidTr="000A1B0B">
        <w:trPr>
          <w:trHeight w:val="300"/>
        </w:trPr>
        <w:tc>
          <w:tcPr>
            <w:tcW w:w="2680" w:type="dxa"/>
            <w:tcBorders>
              <w:top w:val="nil"/>
              <w:left w:val="nil"/>
              <w:bottom w:val="nil"/>
              <w:right w:val="nil"/>
            </w:tcBorders>
            <w:shd w:val="clear" w:color="auto" w:fill="auto"/>
            <w:vAlign w:val="center"/>
            <w:hideMark/>
          </w:tcPr>
          <w:p w14:paraId="37011815"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PIB</w:t>
            </w:r>
          </w:p>
        </w:tc>
        <w:tc>
          <w:tcPr>
            <w:tcW w:w="5980" w:type="dxa"/>
            <w:tcBorders>
              <w:top w:val="nil"/>
              <w:left w:val="nil"/>
              <w:bottom w:val="nil"/>
              <w:right w:val="nil"/>
            </w:tcBorders>
            <w:shd w:val="clear" w:color="auto" w:fill="auto"/>
            <w:vAlign w:val="center"/>
            <w:hideMark/>
          </w:tcPr>
          <w:p w14:paraId="4005B5AC"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Producto Interno Bruto</w:t>
            </w:r>
          </w:p>
        </w:tc>
      </w:tr>
      <w:tr w:rsidR="000A1B0B" w:rsidRPr="000A1B0B" w14:paraId="7DBC2ECF" w14:textId="77777777" w:rsidTr="000A1B0B">
        <w:trPr>
          <w:trHeight w:val="300"/>
        </w:trPr>
        <w:tc>
          <w:tcPr>
            <w:tcW w:w="2680" w:type="dxa"/>
            <w:tcBorders>
              <w:top w:val="nil"/>
              <w:left w:val="nil"/>
              <w:bottom w:val="nil"/>
              <w:right w:val="nil"/>
            </w:tcBorders>
            <w:shd w:val="clear" w:color="auto" w:fill="auto"/>
            <w:vAlign w:val="center"/>
            <w:hideMark/>
          </w:tcPr>
          <w:p w14:paraId="36B344B8"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PEPFAR</w:t>
            </w:r>
          </w:p>
        </w:tc>
        <w:tc>
          <w:tcPr>
            <w:tcW w:w="5980" w:type="dxa"/>
            <w:tcBorders>
              <w:top w:val="nil"/>
              <w:left w:val="nil"/>
              <w:bottom w:val="nil"/>
              <w:right w:val="nil"/>
            </w:tcBorders>
            <w:shd w:val="clear" w:color="auto" w:fill="auto"/>
            <w:vAlign w:val="center"/>
            <w:hideMark/>
          </w:tcPr>
          <w:p w14:paraId="16600C15"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Programa Presidencial de Emergencia de Asistencia para el Sida</w:t>
            </w:r>
          </w:p>
        </w:tc>
      </w:tr>
      <w:tr w:rsidR="000A1B0B" w:rsidRPr="000A1B0B" w14:paraId="4893CBD6" w14:textId="77777777" w:rsidTr="000A1B0B">
        <w:trPr>
          <w:trHeight w:val="300"/>
        </w:trPr>
        <w:tc>
          <w:tcPr>
            <w:tcW w:w="2680" w:type="dxa"/>
            <w:tcBorders>
              <w:top w:val="nil"/>
              <w:left w:val="nil"/>
              <w:bottom w:val="nil"/>
              <w:right w:val="nil"/>
            </w:tcBorders>
            <w:shd w:val="clear" w:color="auto" w:fill="auto"/>
            <w:vAlign w:val="center"/>
            <w:hideMark/>
          </w:tcPr>
          <w:p w14:paraId="375CA958"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val="es-ES" w:eastAsia="es-SV"/>
              </w:rPr>
              <w:t>PNC</w:t>
            </w:r>
          </w:p>
        </w:tc>
        <w:tc>
          <w:tcPr>
            <w:tcW w:w="5980" w:type="dxa"/>
            <w:tcBorders>
              <w:top w:val="nil"/>
              <w:left w:val="nil"/>
              <w:bottom w:val="nil"/>
              <w:right w:val="nil"/>
            </w:tcBorders>
            <w:shd w:val="clear" w:color="auto" w:fill="auto"/>
            <w:vAlign w:val="center"/>
            <w:hideMark/>
          </w:tcPr>
          <w:p w14:paraId="78D96F67"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Policía Nacional Civil</w:t>
            </w:r>
          </w:p>
        </w:tc>
      </w:tr>
      <w:tr w:rsidR="000A1B0B" w:rsidRPr="000A1B0B" w14:paraId="00609D6E" w14:textId="77777777" w:rsidTr="000A1B0B">
        <w:trPr>
          <w:trHeight w:val="300"/>
        </w:trPr>
        <w:tc>
          <w:tcPr>
            <w:tcW w:w="2680" w:type="dxa"/>
            <w:tcBorders>
              <w:top w:val="nil"/>
              <w:left w:val="nil"/>
              <w:bottom w:val="nil"/>
              <w:right w:val="nil"/>
            </w:tcBorders>
            <w:shd w:val="clear" w:color="auto" w:fill="auto"/>
            <w:vAlign w:val="center"/>
            <w:hideMark/>
          </w:tcPr>
          <w:p w14:paraId="68FFAFAD"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val="es-ES" w:eastAsia="es-SV"/>
              </w:rPr>
              <w:t>REDCA</w:t>
            </w:r>
          </w:p>
        </w:tc>
        <w:tc>
          <w:tcPr>
            <w:tcW w:w="5980" w:type="dxa"/>
            <w:tcBorders>
              <w:top w:val="nil"/>
              <w:left w:val="nil"/>
              <w:bottom w:val="nil"/>
              <w:right w:val="nil"/>
            </w:tcBorders>
            <w:shd w:val="clear" w:color="auto" w:fill="auto"/>
            <w:vAlign w:val="center"/>
            <w:hideMark/>
          </w:tcPr>
          <w:p w14:paraId="34035F02"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Red Centroamericana de personas viviendo con VIH</w:t>
            </w:r>
          </w:p>
        </w:tc>
      </w:tr>
      <w:tr w:rsidR="000A1B0B" w:rsidRPr="000A1B0B" w14:paraId="54C220F3" w14:textId="77777777" w:rsidTr="000A1B0B">
        <w:trPr>
          <w:trHeight w:val="300"/>
        </w:trPr>
        <w:tc>
          <w:tcPr>
            <w:tcW w:w="2680" w:type="dxa"/>
            <w:tcBorders>
              <w:top w:val="nil"/>
              <w:left w:val="nil"/>
              <w:bottom w:val="nil"/>
              <w:right w:val="nil"/>
            </w:tcBorders>
            <w:shd w:val="clear" w:color="auto" w:fill="auto"/>
            <w:vAlign w:val="center"/>
            <w:hideMark/>
          </w:tcPr>
          <w:p w14:paraId="1584464D"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val="es-ES" w:eastAsia="es-SV"/>
              </w:rPr>
              <w:t>SUMEVE</w:t>
            </w:r>
          </w:p>
        </w:tc>
        <w:tc>
          <w:tcPr>
            <w:tcW w:w="5980" w:type="dxa"/>
            <w:tcBorders>
              <w:top w:val="nil"/>
              <w:left w:val="nil"/>
              <w:bottom w:val="nil"/>
              <w:right w:val="nil"/>
            </w:tcBorders>
            <w:shd w:val="clear" w:color="auto" w:fill="auto"/>
            <w:vAlign w:val="center"/>
            <w:hideMark/>
          </w:tcPr>
          <w:p w14:paraId="0E89BA70"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Sistema Único de Monitoreo, Evaluación y vigilancia epidemiológica</w:t>
            </w:r>
          </w:p>
        </w:tc>
      </w:tr>
      <w:tr w:rsidR="000A1B0B" w:rsidRPr="000A1B0B" w14:paraId="58A6993B" w14:textId="77777777" w:rsidTr="000A1B0B">
        <w:trPr>
          <w:trHeight w:val="300"/>
        </w:trPr>
        <w:tc>
          <w:tcPr>
            <w:tcW w:w="2680" w:type="dxa"/>
            <w:tcBorders>
              <w:top w:val="nil"/>
              <w:left w:val="nil"/>
              <w:bottom w:val="nil"/>
              <w:right w:val="nil"/>
            </w:tcBorders>
            <w:shd w:val="clear" w:color="auto" w:fill="auto"/>
            <w:vAlign w:val="center"/>
            <w:hideMark/>
          </w:tcPr>
          <w:p w14:paraId="3676FA81"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val="es-ES" w:eastAsia="es-SV"/>
              </w:rPr>
              <w:t>SSR</w:t>
            </w:r>
          </w:p>
        </w:tc>
        <w:tc>
          <w:tcPr>
            <w:tcW w:w="5980" w:type="dxa"/>
            <w:tcBorders>
              <w:top w:val="nil"/>
              <w:left w:val="nil"/>
              <w:bottom w:val="nil"/>
              <w:right w:val="nil"/>
            </w:tcBorders>
            <w:shd w:val="clear" w:color="auto" w:fill="auto"/>
            <w:vAlign w:val="center"/>
            <w:hideMark/>
          </w:tcPr>
          <w:p w14:paraId="0D74E5F5"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Salud sexual reproductiva</w:t>
            </w:r>
          </w:p>
        </w:tc>
      </w:tr>
      <w:tr w:rsidR="000A1B0B" w:rsidRPr="000A1B0B" w14:paraId="4255F6EB" w14:textId="77777777" w:rsidTr="000A1B0B">
        <w:trPr>
          <w:trHeight w:val="300"/>
        </w:trPr>
        <w:tc>
          <w:tcPr>
            <w:tcW w:w="2680" w:type="dxa"/>
            <w:tcBorders>
              <w:top w:val="nil"/>
              <w:left w:val="nil"/>
              <w:bottom w:val="nil"/>
              <w:right w:val="nil"/>
            </w:tcBorders>
            <w:shd w:val="clear" w:color="auto" w:fill="auto"/>
            <w:vAlign w:val="center"/>
            <w:hideMark/>
          </w:tcPr>
          <w:p w14:paraId="0A51533D"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TAR</w:t>
            </w:r>
          </w:p>
        </w:tc>
        <w:tc>
          <w:tcPr>
            <w:tcW w:w="5980" w:type="dxa"/>
            <w:tcBorders>
              <w:top w:val="nil"/>
              <w:left w:val="nil"/>
              <w:bottom w:val="nil"/>
              <w:right w:val="nil"/>
            </w:tcBorders>
            <w:shd w:val="clear" w:color="auto" w:fill="auto"/>
            <w:vAlign w:val="center"/>
            <w:hideMark/>
          </w:tcPr>
          <w:p w14:paraId="6CF306BA"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Terapia antiretroviral</w:t>
            </w:r>
          </w:p>
        </w:tc>
      </w:tr>
      <w:tr w:rsidR="000A1B0B" w:rsidRPr="000A1B0B" w14:paraId="6D71768D" w14:textId="77777777" w:rsidTr="000A1B0B">
        <w:trPr>
          <w:trHeight w:val="300"/>
        </w:trPr>
        <w:tc>
          <w:tcPr>
            <w:tcW w:w="2680" w:type="dxa"/>
            <w:tcBorders>
              <w:top w:val="nil"/>
              <w:left w:val="nil"/>
              <w:bottom w:val="nil"/>
              <w:right w:val="nil"/>
            </w:tcBorders>
            <w:shd w:val="clear" w:color="auto" w:fill="auto"/>
            <w:vAlign w:val="center"/>
            <w:hideMark/>
          </w:tcPr>
          <w:p w14:paraId="76EE7E31"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TB</w:t>
            </w:r>
          </w:p>
        </w:tc>
        <w:tc>
          <w:tcPr>
            <w:tcW w:w="5980" w:type="dxa"/>
            <w:tcBorders>
              <w:top w:val="nil"/>
              <w:left w:val="nil"/>
              <w:bottom w:val="nil"/>
              <w:right w:val="nil"/>
            </w:tcBorders>
            <w:shd w:val="clear" w:color="auto" w:fill="auto"/>
            <w:vAlign w:val="center"/>
            <w:hideMark/>
          </w:tcPr>
          <w:p w14:paraId="366C226D"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Tuberculosis</w:t>
            </w:r>
          </w:p>
        </w:tc>
      </w:tr>
      <w:tr w:rsidR="000A1B0B" w:rsidRPr="000A1B0B" w14:paraId="74FB376E" w14:textId="77777777" w:rsidTr="000A1B0B">
        <w:trPr>
          <w:trHeight w:val="300"/>
        </w:trPr>
        <w:tc>
          <w:tcPr>
            <w:tcW w:w="2680" w:type="dxa"/>
            <w:tcBorders>
              <w:top w:val="nil"/>
              <w:left w:val="nil"/>
              <w:bottom w:val="nil"/>
              <w:right w:val="nil"/>
            </w:tcBorders>
            <w:shd w:val="clear" w:color="auto" w:fill="auto"/>
            <w:vAlign w:val="center"/>
            <w:hideMark/>
          </w:tcPr>
          <w:p w14:paraId="34DDFFF3"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val="es-ES" w:eastAsia="es-SV"/>
              </w:rPr>
              <w:t>TS</w:t>
            </w:r>
          </w:p>
        </w:tc>
        <w:tc>
          <w:tcPr>
            <w:tcW w:w="5980" w:type="dxa"/>
            <w:tcBorders>
              <w:top w:val="nil"/>
              <w:left w:val="nil"/>
              <w:bottom w:val="nil"/>
              <w:right w:val="nil"/>
            </w:tcBorders>
            <w:shd w:val="clear" w:color="auto" w:fill="auto"/>
            <w:vAlign w:val="center"/>
            <w:hideMark/>
          </w:tcPr>
          <w:p w14:paraId="43B0E984"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Trabajador/a sexual</w:t>
            </w:r>
          </w:p>
        </w:tc>
      </w:tr>
      <w:tr w:rsidR="000A1B0B" w:rsidRPr="000A1B0B" w14:paraId="279BDBDF" w14:textId="77777777" w:rsidTr="000A1B0B">
        <w:trPr>
          <w:trHeight w:val="300"/>
        </w:trPr>
        <w:tc>
          <w:tcPr>
            <w:tcW w:w="2680" w:type="dxa"/>
            <w:tcBorders>
              <w:top w:val="nil"/>
              <w:left w:val="nil"/>
              <w:bottom w:val="nil"/>
              <w:right w:val="nil"/>
            </w:tcBorders>
            <w:shd w:val="clear" w:color="auto" w:fill="auto"/>
            <w:vAlign w:val="center"/>
            <w:hideMark/>
          </w:tcPr>
          <w:p w14:paraId="648A65EE"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val="es-ES" w:eastAsia="es-SV"/>
              </w:rPr>
              <w:t>USAID</w:t>
            </w:r>
          </w:p>
        </w:tc>
        <w:tc>
          <w:tcPr>
            <w:tcW w:w="5980" w:type="dxa"/>
            <w:tcBorders>
              <w:top w:val="nil"/>
              <w:left w:val="nil"/>
              <w:bottom w:val="nil"/>
              <w:right w:val="nil"/>
            </w:tcBorders>
            <w:shd w:val="clear" w:color="auto" w:fill="auto"/>
            <w:vAlign w:val="center"/>
            <w:hideMark/>
          </w:tcPr>
          <w:p w14:paraId="2C7535C0"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Agencia de los Estados Unidos para el Desarrollo Internacional</w:t>
            </w:r>
          </w:p>
        </w:tc>
      </w:tr>
      <w:tr w:rsidR="000A1B0B" w:rsidRPr="000A1B0B" w14:paraId="445BD9C6" w14:textId="77777777" w:rsidTr="000A1B0B">
        <w:trPr>
          <w:trHeight w:val="300"/>
        </w:trPr>
        <w:tc>
          <w:tcPr>
            <w:tcW w:w="2680" w:type="dxa"/>
            <w:tcBorders>
              <w:top w:val="nil"/>
              <w:left w:val="nil"/>
              <w:bottom w:val="nil"/>
              <w:right w:val="nil"/>
            </w:tcBorders>
            <w:shd w:val="clear" w:color="auto" w:fill="auto"/>
            <w:vAlign w:val="center"/>
            <w:hideMark/>
          </w:tcPr>
          <w:p w14:paraId="214EBAAD"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VICITS</w:t>
            </w:r>
          </w:p>
        </w:tc>
        <w:tc>
          <w:tcPr>
            <w:tcW w:w="5980" w:type="dxa"/>
            <w:tcBorders>
              <w:top w:val="nil"/>
              <w:left w:val="nil"/>
              <w:bottom w:val="nil"/>
              <w:right w:val="nil"/>
            </w:tcBorders>
            <w:shd w:val="clear" w:color="auto" w:fill="auto"/>
            <w:vAlign w:val="center"/>
            <w:hideMark/>
          </w:tcPr>
          <w:p w14:paraId="645C4F52"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bCs/>
                <w:color w:val="000000"/>
                <w:sz w:val="20"/>
                <w:szCs w:val="20"/>
                <w:lang w:eastAsia="es-SV"/>
              </w:rPr>
              <w:t>Vigilancia Centinela de Infecciones de Transmisión Sexual</w:t>
            </w:r>
          </w:p>
        </w:tc>
      </w:tr>
      <w:tr w:rsidR="000A1B0B" w:rsidRPr="000A1B0B" w14:paraId="68DE5D42" w14:textId="77777777" w:rsidTr="000A1B0B">
        <w:trPr>
          <w:trHeight w:val="300"/>
        </w:trPr>
        <w:tc>
          <w:tcPr>
            <w:tcW w:w="2680" w:type="dxa"/>
            <w:tcBorders>
              <w:top w:val="nil"/>
              <w:left w:val="nil"/>
              <w:bottom w:val="nil"/>
              <w:right w:val="nil"/>
            </w:tcBorders>
            <w:shd w:val="clear" w:color="auto" w:fill="auto"/>
            <w:vAlign w:val="center"/>
            <w:hideMark/>
          </w:tcPr>
          <w:p w14:paraId="12BE6ABB" w14:textId="77777777" w:rsidR="000A1B0B" w:rsidRPr="000A1B0B" w:rsidRDefault="000A1B0B" w:rsidP="000A1B0B">
            <w:pPr>
              <w:spacing w:after="0" w:line="240" w:lineRule="auto"/>
              <w:jc w:val="right"/>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VIH</w:t>
            </w:r>
          </w:p>
        </w:tc>
        <w:tc>
          <w:tcPr>
            <w:tcW w:w="5980" w:type="dxa"/>
            <w:tcBorders>
              <w:top w:val="nil"/>
              <w:left w:val="nil"/>
              <w:bottom w:val="nil"/>
              <w:right w:val="nil"/>
            </w:tcBorders>
            <w:shd w:val="clear" w:color="auto" w:fill="auto"/>
            <w:vAlign w:val="center"/>
            <w:hideMark/>
          </w:tcPr>
          <w:p w14:paraId="2E114DB1" w14:textId="77777777" w:rsidR="000A1B0B" w:rsidRPr="000A1B0B" w:rsidRDefault="000A1B0B" w:rsidP="000A1B0B">
            <w:pPr>
              <w:spacing w:after="0" w:line="240" w:lineRule="auto"/>
              <w:rPr>
                <w:rFonts w:eastAsia="Times New Roman" w:cstheme="minorHAnsi"/>
                <w:color w:val="000000"/>
                <w:sz w:val="20"/>
                <w:szCs w:val="20"/>
                <w:lang w:val="es-SV" w:eastAsia="es-SV"/>
              </w:rPr>
            </w:pPr>
            <w:r w:rsidRPr="000A1B0B">
              <w:rPr>
                <w:rFonts w:eastAsia="Times New Roman" w:cstheme="minorHAnsi"/>
                <w:color w:val="000000"/>
                <w:sz w:val="20"/>
                <w:szCs w:val="20"/>
                <w:lang w:eastAsia="es-SV"/>
              </w:rPr>
              <w:t xml:space="preserve">Virus de Inmunodeficiencia Humana </w:t>
            </w:r>
          </w:p>
        </w:tc>
      </w:tr>
    </w:tbl>
    <w:p w14:paraId="35ACA4A3" w14:textId="77777777" w:rsidR="00617CE5" w:rsidRPr="009B22CF" w:rsidRDefault="00835A2A" w:rsidP="002E37AF">
      <w:pPr>
        <w:pStyle w:val="Ttulo1"/>
        <w:shd w:val="clear" w:color="auto" w:fill="D9E2F3" w:themeFill="accent5" w:themeFillTint="33"/>
        <w:rPr>
          <w:lang w:val="es-MX"/>
        </w:rPr>
      </w:pPr>
      <w:bookmarkStart w:id="1" w:name="_Toc15275120"/>
      <w:r w:rsidRPr="00B24C9A">
        <w:lastRenderedPageBreak/>
        <w:t>INTRODUCCIÓN</w:t>
      </w:r>
      <w:bookmarkEnd w:id="1"/>
    </w:p>
    <w:p w14:paraId="3B34DE20" w14:textId="77777777" w:rsidR="00617CE5" w:rsidRDefault="00617CE5" w:rsidP="00617CE5">
      <w:pPr>
        <w:rPr>
          <w:lang w:val="es-MX"/>
        </w:rPr>
      </w:pPr>
    </w:p>
    <w:p w14:paraId="763A5474" w14:textId="77777777" w:rsidR="00065E22" w:rsidRPr="00F075FA" w:rsidRDefault="00065E22" w:rsidP="00211FE5">
      <w:pPr>
        <w:jc w:val="both"/>
        <w:rPr>
          <w:rFonts w:cstheme="minorHAnsi"/>
          <w:sz w:val="24"/>
          <w:szCs w:val="24"/>
        </w:rPr>
      </w:pPr>
      <w:r w:rsidRPr="0094366F">
        <w:rPr>
          <w:rFonts w:cstheme="minorHAnsi"/>
          <w:sz w:val="24"/>
          <w:szCs w:val="24"/>
        </w:rPr>
        <w:t>El presente documento tiene como propósito proporcionar los elementos clave para para alcanzar la sostenibilidad de la respuesta al VIH, con énfasis en poblaciones clave, utilizando estrategias para la erradicación de la epidemia al 2030</w:t>
      </w:r>
      <w:r w:rsidR="00F075FA">
        <w:rPr>
          <w:rFonts w:cstheme="minorHAnsi"/>
          <w:sz w:val="24"/>
          <w:szCs w:val="24"/>
        </w:rPr>
        <w:t xml:space="preserve"> y</w:t>
      </w:r>
      <w:r w:rsidRPr="0094366F">
        <w:rPr>
          <w:rFonts w:cstheme="minorHAnsi"/>
          <w:sz w:val="24"/>
          <w:szCs w:val="24"/>
        </w:rPr>
        <w:t xml:space="preserve"> tomando como punto de partida los lineamientos regionales y globales. En este contexto, se entiende como sostenibilidad a la respuesta al VIH </w:t>
      </w:r>
      <w:r w:rsidRPr="00F075FA">
        <w:rPr>
          <w:rFonts w:cstheme="minorHAnsi"/>
          <w:sz w:val="24"/>
          <w:szCs w:val="24"/>
        </w:rPr>
        <w:t xml:space="preserve">el garantizar que los programas puedan mantener su continuidad </w:t>
      </w:r>
      <w:r w:rsidR="00F075FA" w:rsidRPr="00F075FA">
        <w:rPr>
          <w:rFonts w:cstheme="minorHAnsi"/>
          <w:sz w:val="24"/>
          <w:szCs w:val="24"/>
        </w:rPr>
        <w:t xml:space="preserve">para lograr el control de la epidemia, </w:t>
      </w:r>
      <w:r w:rsidRPr="00F075FA">
        <w:rPr>
          <w:rFonts w:cstheme="minorHAnsi"/>
          <w:sz w:val="24"/>
          <w:szCs w:val="24"/>
        </w:rPr>
        <w:t>con el financiamiento y los recursos humanos adecuados, sin cambios en calidad y cobertura, ni amenazados los derechos humanos, incluyendo a todos los actores.</w:t>
      </w:r>
      <w:r w:rsidR="00B24C9A" w:rsidRPr="00F075FA">
        <w:rPr>
          <w:rFonts w:cstheme="minorHAnsi"/>
          <w:sz w:val="24"/>
          <w:szCs w:val="24"/>
        </w:rPr>
        <w:t xml:space="preserve"> La </w:t>
      </w:r>
      <w:r w:rsidR="00F075FA" w:rsidRPr="00F075FA">
        <w:rPr>
          <w:rFonts w:cstheme="minorHAnsi"/>
          <w:sz w:val="24"/>
          <w:szCs w:val="24"/>
        </w:rPr>
        <w:t>estrategia se</w:t>
      </w:r>
      <w:r w:rsidR="00B24C9A" w:rsidRPr="00F075FA">
        <w:rPr>
          <w:rFonts w:cstheme="minorHAnsi"/>
          <w:sz w:val="24"/>
          <w:szCs w:val="24"/>
        </w:rPr>
        <w:t xml:space="preserve"> establece para un período de 5 años</w:t>
      </w:r>
      <w:r w:rsidR="00F075FA" w:rsidRPr="00F075FA">
        <w:rPr>
          <w:rFonts w:cstheme="minorHAnsi"/>
          <w:sz w:val="24"/>
          <w:szCs w:val="24"/>
        </w:rPr>
        <w:t>.</w:t>
      </w:r>
    </w:p>
    <w:p w14:paraId="36C6D662" w14:textId="77777777" w:rsidR="00065E22" w:rsidRPr="0094366F" w:rsidRDefault="000B1070" w:rsidP="001E2912">
      <w:pPr>
        <w:spacing w:line="276" w:lineRule="auto"/>
        <w:jc w:val="both"/>
        <w:rPr>
          <w:rFonts w:cstheme="minorHAnsi"/>
          <w:sz w:val="24"/>
          <w:szCs w:val="24"/>
        </w:rPr>
      </w:pPr>
      <w:r w:rsidRPr="00F075FA">
        <w:rPr>
          <w:rFonts w:cstheme="minorHAnsi"/>
          <w:sz w:val="24"/>
          <w:szCs w:val="24"/>
        </w:rPr>
        <w:t>La Estrategia f</w:t>
      </w:r>
      <w:r w:rsidR="00065E22" w:rsidRPr="00F075FA">
        <w:rPr>
          <w:rFonts w:cstheme="minorHAnsi"/>
          <w:sz w:val="24"/>
          <w:szCs w:val="24"/>
        </w:rPr>
        <w:t>ue elaborad</w:t>
      </w:r>
      <w:r w:rsidRPr="00F075FA">
        <w:rPr>
          <w:rFonts w:cstheme="minorHAnsi"/>
          <w:sz w:val="24"/>
          <w:szCs w:val="24"/>
        </w:rPr>
        <w:t>a</w:t>
      </w:r>
      <w:r w:rsidR="00065E22" w:rsidRPr="0094366F">
        <w:rPr>
          <w:rFonts w:cstheme="minorHAnsi"/>
          <w:sz w:val="24"/>
          <w:szCs w:val="24"/>
        </w:rPr>
        <w:t xml:space="preserve"> tomando en consideración una amplia gama de estudios, análisis financieros y proyecciones, además de</w:t>
      </w:r>
      <w:r>
        <w:rPr>
          <w:rFonts w:cstheme="minorHAnsi"/>
          <w:sz w:val="24"/>
          <w:szCs w:val="24"/>
        </w:rPr>
        <w:t xml:space="preserve">l análisis </w:t>
      </w:r>
      <w:r w:rsidR="00065E22" w:rsidRPr="0094366F">
        <w:rPr>
          <w:rFonts w:cstheme="minorHAnsi"/>
          <w:sz w:val="24"/>
          <w:szCs w:val="24"/>
        </w:rPr>
        <w:t>de la situación de VIH, el contexto de salud, de financiamiento, los posibles espacios de actuación, los diagnósticos de la situación de sostenibilidad y el análisis de la Evaluación del Eje 1 de Sostenibilidad del Plan Estratégico Nacional Multisectorial y el análisis de brechas financieras en VIH.</w:t>
      </w:r>
    </w:p>
    <w:p w14:paraId="051B4B57" w14:textId="77777777" w:rsidR="00F075FA" w:rsidRDefault="00B24C9A" w:rsidP="00B24C9A">
      <w:pPr>
        <w:jc w:val="both"/>
        <w:rPr>
          <w:rFonts w:cstheme="minorHAnsi"/>
          <w:sz w:val="24"/>
          <w:szCs w:val="24"/>
        </w:rPr>
      </w:pPr>
      <w:r w:rsidRPr="00B24C9A">
        <w:rPr>
          <w:rFonts w:cstheme="minorHAnsi"/>
          <w:sz w:val="24"/>
          <w:szCs w:val="24"/>
        </w:rPr>
        <w:t>El</w:t>
      </w:r>
      <w:r w:rsidR="00F075FA">
        <w:rPr>
          <w:rFonts w:cstheme="minorHAnsi"/>
          <w:sz w:val="24"/>
          <w:szCs w:val="24"/>
        </w:rPr>
        <w:t xml:space="preserve"> contenido del</w:t>
      </w:r>
      <w:r w:rsidRPr="00B24C9A">
        <w:rPr>
          <w:rFonts w:cstheme="minorHAnsi"/>
          <w:sz w:val="24"/>
          <w:szCs w:val="24"/>
        </w:rPr>
        <w:t xml:space="preserve"> presente documento está </w:t>
      </w:r>
      <w:r w:rsidR="00F075FA">
        <w:rPr>
          <w:rFonts w:cstheme="minorHAnsi"/>
          <w:sz w:val="24"/>
          <w:szCs w:val="24"/>
        </w:rPr>
        <w:t xml:space="preserve">estructurado de la </w:t>
      </w:r>
      <w:r w:rsidRPr="00B24C9A">
        <w:rPr>
          <w:rFonts w:cstheme="minorHAnsi"/>
          <w:sz w:val="24"/>
          <w:szCs w:val="24"/>
        </w:rPr>
        <w:t>siguiente manera:  a)la primera sección introduce y caracteriza la naturaleza de la Estrategia Nacional de Sostenibilidad; b)la segunda sección presenta el análisis de situación de las condiciones de país en preparación para la sostenibilidad;</w:t>
      </w:r>
      <w:r w:rsidR="00F075FA">
        <w:rPr>
          <w:rFonts w:cstheme="minorHAnsi"/>
          <w:sz w:val="24"/>
          <w:szCs w:val="24"/>
        </w:rPr>
        <w:t xml:space="preserve"> c)la tercera sección presenta los lineamientos estratégicos y plan de acción para la sostenibilidad; </w:t>
      </w:r>
      <w:r w:rsidRPr="00B24C9A">
        <w:rPr>
          <w:rFonts w:cstheme="minorHAnsi"/>
          <w:sz w:val="24"/>
          <w:szCs w:val="24"/>
        </w:rPr>
        <w:t>d) la cuarta sección establece recomendaciones generales para el monitoreo de la sostenibilidad</w:t>
      </w:r>
      <w:r w:rsidR="00F075FA">
        <w:rPr>
          <w:rFonts w:cstheme="minorHAnsi"/>
          <w:sz w:val="24"/>
          <w:szCs w:val="24"/>
        </w:rPr>
        <w:t>.</w:t>
      </w:r>
      <w:r w:rsidRPr="00B24C9A">
        <w:rPr>
          <w:rFonts w:cstheme="minorHAnsi"/>
          <w:sz w:val="24"/>
          <w:szCs w:val="24"/>
        </w:rPr>
        <w:t xml:space="preserve"> </w:t>
      </w:r>
    </w:p>
    <w:p w14:paraId="03260500" w14:textId="29F63D6E" w:rsidR="00B24C9A" w:rsidRDefault="00B24C9A" w:rsidP="00B24C9A">
      <w:pPr>
        <w:jc w:val="both"/>
        <w:rPr>
          <w:rFonts w:cstheme="minorHAnsi"/>
          <w:sz w:val="24"/>
          <w:szCs w:val="24"/>
        </w:rPr>
      </w:pPr>
      <w:r w:rsidRPr="00B24C9A">
        <w:rPr>
          <w:rFonts w:cstheme="minorHAnsi"/>
          <w:sz w:val="24"/>
          <w:szCs w:val="24"/>
        </w:rPr>
        <w:t xml:space="preserve">Es importante destacar que la Estrategia Nacional de Sostenibilidad de la Respuesta al VIH/sida de </w:t>
      </w:r>
      <w:r>
        <w:rPr>
          <w:rFonts w:cstheme="minorHAnsi"/>
          <w:sz w:val="24"/>
          <w:szCs w:val="24"/>
        </w:rPr>
        <w:t>El Salvador</w:t>
      </w:r>
      <w:r w:rsidRPr="00B24C9A">
        <w:rPr>
          <w:rFonts w:cstheme="minorHAnsi"/>
          <w:sz w:val="24"/>
          <w:szCs w:val="24"/>
        </w:rPr>
        <w:t xml:space="preserve">, </w:t>
      </w:r>
      <w:r w:rsidR="00F075FA">
        <w:rPr>
          <w:rFonts w:cstheme="minorHAnsi"/>
          <w:sz w:val="24"/>
          <w:szCs w:val="24"/>
        </w:rPr>
        <w:t xml:space="preserve">contó con la participación multisectorial, </w:t>
      </w:r>
      <w:r w:rsidR="00F075FA" w:rsidRPr="0094366F">
        <w:rPr>
          <w:rFonts w:cstheme="minorHAnsi"/>
          <w:sz w:val="24"/>
          <w:szCs w:val="24"/>
        </w:rPr>
        <w:t xml:space="preserve"> la coordinación </w:t>
      </w:r>
      <w:r w:rsidR="00F075FA" w:rsidRPr="001E2912">
        <w:rPr>
          <w:rFonts w:cstheme="minorHAnsi"/>
          <w:sz w:val="24"/>
          <w:szCs w:val="24"/>
        </w:rPr>
        <w:t>del Programa Nacional de ITS y VIH</w:t>
      </w:r>
      <w:r w:rsidR="00F075FA">
        <w:rPr>
          <w:rFonts w:cstheme="minorHAnsi"/>
          <w:sz w:val="24"/>
          <w:szCs w:val="24"/>
        </w:rPr>
        <w:t>/Sida</w:t>
      </w:r>
      <w:r w:rsidR="00F075FA" w:rsidRPr="001E2912">
        <w:rPr>
          <w:rFonts w:cstheme="minorHAnsi"/>
          <w:sz w:val="24"/>
          <w:szCs w:val="24"/>
        </w:rPr>
        <w:t xml:space="preserve"> del MINSAL, </w:t>
      </w:r>
      <w:r w:rsidR="00F075FA">
        <w:rPr>
          <w:rFonts w:cstheme="minorHAnsi"/>
          <w:sz w:val="24"/>
          <w:szCs w:val="24"/>
        </w:rPr>
        <w:t>los r</w:t>
      </w:r>
      <w:r w:rsidR="00F075FA" w:rsidRPr="001E2912">
        <w:rPr>
          <w:rFonts w:cstheme="minorHAnsi"/>
          <w:sz w:val="24"/>
          <w:szCs w:val="24"/>
        </w:rPr>
        <w:t xml:space="preserve">eceptores </w:t>
      </w:r>
      <w:r w:rsidR="00F075FA">
        <w:rPr>
          <w:rFonts w:cstheme="minorHAnsi"/>
          <w:sz w:val="24"/>
          <w:szCs w:val="24"/>
        </w:rPr>
        <w:t>p</w:t>
      </w:r>
      <w:r w:rsidR="00F075FA" w:rsidRPr="001E2912">
        <w:rPr>
          <w:rFonts w:cstheme="minorHAnsi"/>
          <w:sz w:val="24"/>
          <w:szCs w:val="24"/>
        </w:rPr>
        <w:t xml:space="preserve">rincipales del Fondo Mundial </w:t>
      </w:r>
      <w:r w:rsidR="00F075FA">
        <w:rPr>
          <w:rFonts w:cstheme="minorHAnsi"/>
          <w:sz w:val="24"/>
          <w:szCs w:val="24"/>
        </w:rPr>
        <w:t>(</w:t>
      </w:r>
      <w:r w:rsidR="00F075FA" w:rsidRPr="001E2912">
        <w:rPr>
          <w:rFonts w:cstheme="minorHAnsi"/>
          <w:sz w:val="24"/>
          <w:szCs w:val="24"/>
        </w:rPr>
        <w:t>Plan Internacional y MINSAL</w:t>
      </w:r>
      <w:r w:rsidR="00F075FA">
        <w:rPr>
          <w:rFonts w:cstheme="minorHAnsi"/>
          <w:sz w:val="24"/>
          <w:szCs w:val="24"/>
        </w:rPr>
        <w:t>)</w:t>
      </w:r>
      <w:r w:rsidR="00F075FA" w:rsidRPr="001E2912">
        <w:rPr>
          <w:rFonts w:cstheme="minorHAnsi"/>
          <w:sz w:val="24"/>
          <w:szCs w:val="24"/>
        </w:rPr>
        <w:t xml:space="preserve">, </w:t>
      </w:r>
      <w:r w:rsidR="00F075FA">
        <w:rPr>
          <w:rFonts w:cstheme="minorHAnsi"/>
          <w:sz w:val="24"/>
          <w:szCs w:val="24"/>
        </w:rPr>
        <w:t xml:space="preserve">el </w:t>
      </w:r>
      <w:r w:rsidR="00F075FA" w:rsidRPr="001E2912">
        <w:rPr>
          <w:rFonts w:cstheme="minorHAnsi"/>
          <w:sz w:val="24"/>
          <w:szCs w:val="24"/>
        </w:rPr>
        <w:t xml:space="preserve">Instituto Salvadoreño del Seguro Social, </w:t>
      </w:r>
      <w:r w:rsidR="00F075FA">
        <w:rPr>
          <w:rFonts w:cstheme="minorHAnsi"/>
          <w:sz w:val="24"/>
          <w:szCs w:val="24"/>
        </w:rPr>
        <w:t xml:space="preserve">la </w:t>
      </w:r>
      <w:r w:rsidR="00F075FA" w:rsidRPr="001E2912">
        <w:rPr>
          <w:rFonts w:cstheme="minorHAnsi"/>
          <w:sz w:val="24"/>
          <w:szCs w:val="24"/>
        </w:rPr>
        <w:t>Unidad Financiera</w:t>
      </w:r>
      <w:r w:rsidR="00F075FA">
        <w:rPr>
          <w:rFonts w:cstheme="minorHAnsi"/>
          <w:sz w:val="24"/>
          <w:szCs w:val="24"/>
        </w:rPr>
        <w:t xml:space="preserve"> Institucional</w:t>
      </w:r>
      <w:r w:rsidR="00F075FA" w:rsidRPr="001E2912">
        <w:rPr>
          <w:rFonts w:cstheme="minorHAnsi"/>
          <w:sz w:val="24"/>
          <w:szCs w:val="24"/>
        </w:rPr>
        <w:t xml:space="preserve"> del MINSAL, empresa privada, MCP-ES, CONAVIH, organizaciones de sociedad civil y agendas de cooperación, SICA </w:t>
      </w:r>
      <w:r w:rsidR="00F075FA" w:rsidRPr="00F075FA">
        <w:rPr>
          <w:rFonts w:cstheme="minorHAnsi"/>
          <w:sz w:val="24"/>
          <w:szCs w:val="24"/>
        </w:rPr>
        <w:t xml:space="preserve">y personal del Ministerio de Hacienda, </w:t>
      </w:r>
      <w:r w:rsidR="00F075FA">
        <w:rPr>
          <w:rFonts w:cstheme="minorHAnsi"/>
          <w:sz w:val="24"/>
          <w:szCs w:val="24"/>
        </w:rPr>
        <w:t xml:space="preserve"> el </w:t>
      </w:r>
      <w:r w:rsidR="00F075FA" w:rsidRPr="00F075FA">
        <w:rPr>
          <w:rFonts w:cstheme="minorHAnsi"/>
          <w:sz w:val="24"/>
          <w:szCs w:val="24"/>
        </w:rPr>
        <w:t>Proyecto de USAID de Sostenibilidad y Derechos Humanos</w:t>
      </w:r>
      <w:r w:rsidR="00E47863">
        <w:rPr>
          <w:rFonts w:cstheme="minorHAnsi"/>
          <w:sz w:val="24"/>
          <w:szCs w:val="24"/>
        </w:rPr>
        <w:t xml:space="preserve"> en VIH para Centroamérica</w:t>
      </w:r>
      <w:r w:rsidR="00F075FA" w:rsidRPr="00F075FA">
        <w:rPr>
          <w:rFonts w:cstheme="minorHAnsi"/>
          <w:sz w:val="24"/>
          <w:szCs w:val="24"/>
        </w:rPr>
        <w:t>, implementado bajo acuerdo cooperativo con Plan International</w:t>
      </w:r>
      <w:r w:rsidR="00E47863">
        <w:rPr>
          <w:rFonts w:cstheme="minorHAnsi"/>
          <w:sz w:val="24"/>
          <w:szCs w:val="24"/>
        </w:rPr>
        <w:t xml:space="preserve"> y otros socios de</w:t>
      </w:r>
      <w:r w:rsidR="002B7EE6">
        <w:rPr>
          <w:rFonts w:cstheme="minorHAnsi"/>
          <w:sz w:val="24"/>
          <w:szCs w:val="24"/>
        </w:rPr>
        <w:t xml:space="preserve"> </w:t>
      </w:r>
      <w:r w:rsidR="00E47863">
        <w:rPr>
          <w:rFonts w:cstheme="minorHAnsi"/>
          <w:sz w:val="24"/>
          <w:szCs w:val="24"/>
        </w:rPr>
        <w:t>PEPFAR.</w:t>
      </w:r>
      <w:r w:rsidR="00F075FA">
        <w:rPr>
          <w:rFonts w:cstheme="minorHAnsi"/>
          <w:sz w:val="24"/>
          <w:szCs w:val="24"/>
        </w:rPr>
        <w:t xml:space="preserve"> </w:t>
      </w:r>
      <w:r w:rsidRPr="00B24C9A">
        <w:rPr>
          <w:rFonts w:cstheme="minorHAnsi"/>
          <w:sz w:val="24"/>
          <w:szCs w:val="24"/>
        </w:rPr>
        <w:t xml:space="preserve"> La participación de</w:t>
      </w:r>
      <w:r w:rsidR="00F075FA">
        <w:rPr>
          <w:rFonts w:cstheme="minorHAnsi"/>
          <w:sz w:val="24"/>
          <w:szCs w:val="24"/>
        </w:rPr>
        <w:t xml:space="preserve">l conjunto de </w:t>
      </w:r>
      <w:r w:rsidR="00056010">
        <w:rPr>
          <w:rFonts w:cstheme="minorHAnsi"/>
          <w:sz w:val="24"/>
          <w:szCs w:val="24"/>
        </w:rPr>
        <w:t xml:space="preserve">actores, </w:t>
      </w:r>
      <w:r w:rsidR="00056010" w:rsidRPr="00B24C9A">
        <w:rPr>
          <w:rFonts w:cstheme="minorHAnsi"/>
          <w:sz w:val="24"/>
          <w:szCs w:val="24"/>
        </w:rPr>
        <w:t>expertos</w:t>
      </w:r>
      <w:r w:rsidRPr="00B24C9A">
        <w:rPr>
          <w:rFonts w:cstheme="minorHAnsi"/>
          <w:sz w:val="24"/>
          <w:szCs w:val="24"/>
        </w:rPr>
        <w:t xml:space="preserve"> y equipos nacionales </w:t>
      </w:r>
      <w:r w:rsidR="00F075FA">
        <w:rPr>
          <w:rFonts w:cstheme="minorHAnsi"/>
          <w:sz w:val="24"/>
          <w:szCs w:val="24"/>
        </w:rPr>
        <w:t xml:space="preserve">fue </w:t>
      </w:r>
      <w:r w:rsidR="00056010">
        <w:rPr>
          <w:rFonts w:cstheme="minorHAnsi"/>
          <w:sz w:val="24"/>
          <w:szCs w:val="24"/>
        </w:rPr>
        <w:t>fundamental en el proceso.</w:t>
      </w:r>
      <w:r w:rsidRPr="00B24C9A">
        <w:rPr>
          <w:rFonts w:cstheme="minorHAnsi"/>
          <w:sz w:val="24"/>
          <w:szCs w:val="24"/>
        </w:rPr>
        <w:t xml:space="preserve"> </w:t>
      </w:r>
    </w:p>
    <w:p w14:paraId="649A93E9" w14:textId="77777777" w:rsidR="00F075FA" w:rsidRDefault="00F075FA">
      <w:pPr>
        <w:rPr>
          <w:rFonts w:cstheme="minorHAnsi"/>
          <w:sz w:val="24"/>
          <w:szCs w:val="24"/>
        </w:rPr>
      </w:pPr>
      <w:r>
        <w:rPr>
          <w:rFonts w:cstheme="minorHAnsi"/>
          <w:sz w:val="24"/>
          <w:szCs w:val="24"/>
        </w:rPr>
        <w:br w:type="page"/>
      </w:r>
    </w:p>
    <w:p w14:paraId="1929335B" w14:textId="77777777" w:rsidR="000D1D01" w:rsidRPr="0054218B" w:rsidRDefault="002E37AF" w:rsidP="002E37AF">
      <w:pPr>
        <w:pStyle w:val="Ttulo1"/>
        <w:shd w:val="clear" w:color="auto" w:fill="D9E2F3" w:themeFill="accent5" w:themeFillTint="33"/>
      </w:pPr>
      <w:bookmarkStart w:id="2" w:name="_Toc15275121"/>
      <w:r w:rsidRPr="0054218B">
        <w:lastRenderedPageBreak/>
        <w:t xml:space="preserve">I. </w:t>
      </w:r>
      <w:r w:rsidR="009B0941" w:rsidRPr="0054218B">
        <w:t>MARCO GENERAL PARA LA ESTRATEGIA NACIONAL DE SOSTENIBILIDAD</w:t>
      </w:r>
      <w:bookmarkEnd w:id="2"/>
      <w:r w:rsidR="009B0941" w:rsidRPr="0054218B">
        <w:t xml:space="preserve"> </w:t>
      </w:r>
    </w:p>
    <w:p w14:paraId="5CA3EF24" w14:textId="77777777" w:rsidR="00B24C9A" w:rsidRDefault="00B24C9A" w:rsidP="00B24C9A"/>
    <w:p w14:paraId="181A240D" w14:textId="77777777" w:rsidR="003A34EE" w:rsidRDefault="003A34EE" w:rsidP="00056010">
      <w:pPr>
        <w:jc w:val="both"/>
      </w:pPr>
      <w:r>
        <w:t xml:space="preserve">La Estrategia de Sostenibilidad responde a la necesidad de contar con un marco político que delimite y visualice las áreas prioritarias a ser abordadas por el país para avanzar con mayor rapidez, hacia el logro de las metas mundiales definidas para controlar la epidemia de VIH y acabar con el sida.    </w:t>
      </w:r>
    </w:p>
    <w:p w14:paraId="3DE5D6BF" w14:textId="04D0C7DD" w:rsidR="003A34EE" w:rsidRDefault="003A34EE" w:rsidP="00056010">
      <w:pPr>
        <w:jc w:val="both"/>
      </w:pPr>
      <w:r>
        <w:t xml:space="preserve">Las metas son ambiciosas y requieren redoblar esfuerzos y/o ser más eficientes; entre lo que cobra relevancia,  acciones dirigidas a aumentar la cobertura de intervenciones programáticas para diagnosticar a un mayor número de personas con el VIH; el inicio rápido del tratamiento antirretroviral (TAR) e independiente del conteo de CD4, así como mantener adherentes al medicamento a las personas en TAR para ayudarlas a vivir una vida más saludable  y reducir la probabilidad de transmisión del VIH. Estas metas se traducen en que para el 2030, se haya logrado que el 95% de las personas con VIH conozcan su diagnóstico; el 95% de las personas que conocen su diagnóstico reciban TAR, y que el 95% de las personas en TAR, reporten carga viral indetectable.  Actualmente para El </w:t>
      </w:r>
      <w:r w:rsidR="002B7EE6">
        <w:t>Salvador, estas</w:t>
      </w:r>
      <w:r>
        <w:t xml:space="preserve"> coberturas alcanzan en promedio</w:t>
      </w:r>
      <w:r w:rsidRPr="00582EFD">
        <w:t>, el 7</w:t>
      </w:r>
      <w:r w:rsidR="00AB3F63" w:rsidRPr="00582EFD">
        <w:t>8</w:t>
      </w:r>
      <w:r w:rsidRPr="00582EFD">
        <w:t xml:space="preserve">%, </w:t>
      </w:r>
      <w:r w:rsidR="00AB3F63" w:rsidRPr="00582EFD">
        <w:t>37</w:t>
      </w:r>
      <w:r w:rsidRPr="00582EFD">
        <w:t>% y 3</w:t>
      </w:r>
      <w:r w:rsidR="00AB3F63" w:rsidRPr="00582EFD">
        <w:t>1</w:t>
      </w:r>
      <w:r w:rsidR="002B7EE6" w:rsidRPr="00582EFD">
        <w:t>%</w:t>
      </w:r>
      <w:r w:rsidR="002B7EE6">
        <w:t xml:space="preserve"> respectivamente</w:t>
      </w:r>
      <w:r>
        <w:t>.  Para cumplir estas metas, es necesario mejorar la efectividad de la prevención, ampliar el acceso a tratamiento, enfocar las acciones en los grupos de mayor riesgo y garantizar el seguimiento a las personas en tratamiento, acorde con las directrices de la Organización Mundial de la Salud (OMS).</w:t>
      </w:r>
    </w:p>
    <w:p w14:paraId="356C36ED" w14:textId="77777777" w:rsidR="003A34EE" w:rsidRDefault="003A34EE" w:rsidP="00056010">
      <w:pPr>
        <w:jc w:val="both"/>
      </w:pPr>
      <w:r>
        <w:t xml:space="preserve">La Estrategia no sustituye al Plan Estratégico Nacional Multisectorial de VIH, sino por el contrario, establece las bases políticas, técnicas  y de planificación financiera para garantizar su implementación sostenida en el tiempo;  ofrece lineamientos,  acorde con las recomendaciones de la OMS acerca de las intervenciones  esenciales en el nivel de prestación de servicios para reducir el número de nuevas infecciones, que es vital para el control de la epidemia así como también en contextos de recursos limitados; y establece las necesidades de  políticas prioritarias  para lograr la sostenibilidad.  </w:t>
      </w:r>
    </w:p>
    <w:p w14:paraId="1383FE43" w14:textId="77777777" w:rsidR="003A34EE" w:rsidRDefault="003A34EE" w:rsidP="00056010">
      <w:pPr>
        <w:jc w:val="both"/>
      </w:pPr>
      <w:r>
        <w:t xml:space="preserve">La sostenibilidad depende tanto de contar con los recursos financieros necesarios y utilizarlos de la manera más eficiente posible, como también de asegurar que toda persona con VIH se encuentra en tratamiento y es adherente al mismo, para así reducir la probabilidad de transmisión del VIH y consecuentemente reducir el número de nuevas infecciones. </w:t>
      </w:r>
    </w:p>
    <w:p w14:paraId="49BE13DA" w14:textId="5D75E911" w:rsidR="003A34EE" w:rsidRDefault="003A34EE" w:rsidP="00056010">
      <w:pPr>
        <w:jc w:val="both"/>
      </w:pPr>
      <w:r>
        <w:t xml:space="preserve">En el marco de compromisos regionales para lograr la sostenibilidad de la respuesta al VIH en los países del SICA, y basados en los resultados del Índice de Sostenibilidad en </w:t>
      </w:r>
      <w:r w:rsidR="002B7EE6">
        <w:t>VIH aplicado</w:t>
      </w:r>
      <w:r>
        <w:t xml:space="preserve"> en los países de la región en </w:t>
      </w:r>
      <w:r w:rsidR="002B7EE6">
        <w:t>2018,</w:t>
      </w:r>
      <w:r>
        <w:t xml:space="preserve"> se identificaron tres áreas críticas o ámbitos para responder a las principales vulnerabilidades y tomar ventaja de las oportunidades que representa el contexto frente a las prioridades para lograr la sostenibilidad.  Estas áreas se definieron en base a las características de los procesos </w:t>
      </w:r>
      <w:r w:rsidR="002B7EE6">
        <w:t>de política</w:t>
      </w:r>
      <w:r>
        <w:t xml:space="preserve"> pública a nivel nacional y la gestión de programas públicos en los países, el cual, aunque con características propias, presenta características similares entre los países de la región. En este contexto, se delimitaron tres ámbitos de acción como los pilares de la sostenibilidad de la respuesta al VIH (económico-financiero; técnico-programático; y político-normativo), los cuales se caracterizan a continuación:  </w:t>
      </w:r>
    </w:p>
    <w:p w14:paraId="1C0C5EED" w14:textId="77777777" w:rsidR="00056010" w:rsidRDefault="00056010" w:rsidP="00056010">
      <w:pPr>
        <w:jc w:val="both"/>
      </w:pPr>
    </w:p>
    <w:p w14:paraId="21A25D93" w14:textId="78FAB912" w:rsidR="003A34EE" w:rsidRDefault="003A34EE" w:rsidP="00056010">
      <w:pPr>
        <w:jc w:val="both"/>
      </w:pPr>
      <w:r w:rsidRPr="00056010">
        <w:rPr>
          <w:b/>
          <w:bCs/>
        </w:rPr>
        <w:lastRenderedPageBreak/>
        <w:t>Ámbito económico-financiero:</w:t>
      </w:r>
      <w:r>
        <w:t xml:space="preserve">  Acciones relacionadas con la aplicación de metodologías, técnicas de análisis, maximización de impacto y principios de economía y gestión de la salud,  para la administración estratégica de las finanzas relacionadas con el VIH/sida,  la movilización de recursos internos, búsqueda de eficiencias técnicas,  asignación oportuna de recursos, presupuesto basados en resultados, selección de intervenciones costo-efectivas, monitoreo del gasto, estrategias para la reducción de costos, entre otros,   para asegurar los recursos financieros necesarios y una estrategia de financiamiento de largo plazo para cumplir de manera eficaz y eficiente las metas y objetivos nacionales de prevención, atención y tratamiento del VIH/sida. Consideración implícita es el análisis y uso de datos epidemiológicos, de salud y económicos pertinentes sobre el VIH/sida para fundamentar las decisiones de inversión en VIH/sida </w:t>
      </w:r>
      <w:r w:rsidR="002B7EE6">
        <w:t>y asignar</w:t>
      </w:r>
      <w:r>
        <w:t xml:space="preserve"> estratégicamente los fondos para maximizar las inversiones. </w:t>
      </w:r>
    </w:p>
    <w:p w14:paraId="6CECA212" w14:textId="0345183F" w:rsidR="003A34EE" w:rsidRDefault="003A34EE" w:rsidP="00056010">
      <w:pPr>
        <w:jc w:val="both"/>
      </w:pPr>
      <w:r w:rsidRPr="00056010">
        <w:rPr>
          <w:b/>
          <w:bCs/>
        </w:rPr>
        <w:t>Ámbito técnico-programático:</w:t>
      </w:r>
      <w:r>
        <w:t xml:space="preserve"> Acciones relacionadas con la planificación, gestión y fortalecimiento de condiciones para la entrega de los servicios relacionados de VIH/sida en las instalaciones de salud y en el nivel local, para que produzcan impacto, sean eficientes e incorporen en la práctica,  innovaciones   para cerrar brechas en la cascada de atención en VIH/sida,  tanto en lo relacionado con las intervenciones preventivas, de atención y tratamiento, como también de la organización de los servicios para facilitar el acceso a intervenciones seleccionadas en el nivel local y reducir la carga innecesaria que podría generar  en el segundo y tercer nivel, la atención de pacientes estables que acuden por intervenciones no clínicas. Esto conlleva también el fortalecimiento de la cadena de suministros médicos y medicamentos, laboratorio, infraestructura de carga viral y disponibilidad de datos sobre la epidemia del VIH/Sida y sus efectos en los resultados de salud; </w:t>
      </w:r>
      <w:r w:rsidR="002B7EE6">
        <w:t>estimaciones del</w:t>
      </w:r>
      <w:r>
        <w:t xml:space="preserve"> tamaño de las poblaciones clave, las PVVS, la incidencia del VIH, la prevalencia del VIH, la carga viral y las tasas de mortalidad relacionadas con el VIH.</w:t>
      </w:r>
      <w:r>
        <w:tab/>
      </w:r>
    </w:p>
    <w:p w14:paraId="4D128C4B" w14:textId="77777777" w:rsidR="003A34EE" w:rsidRDefault="003A34EE" w:rsidP="00056010">
      <w:pPr>
        <w:jc w:val="both"/>
      </w:pPr>
      <w:r w:rsidRPr="00056010">
        <w:rPr>
          <w:b/>
          <w:bCs/>
        </w:rPr>
        <w:t>Ámbito político-normativo:</w:t>
      </w:r>
      <w:r>
        <w:t xml:space="preserve"> Acciones relacionadas con el desarrollo, implementación y  supervisión de una amplia gama de políticas nacionales, planes, leyes, guías, reglamentos, protocolos  necesarios para lograr la cobertura de intervenciones de alto impacto,  la protección social,  jurídica y equidad de quienes acuden a los servicios de VIH/sida, así como los lineamientos para la normalización de intervenciones entre  los diferentes actores público-privado involucrados en la prestación de servicios de VIH/sida; para asegurar el financiamiento y la  eliminación de obstáculos estructurales, incluyendo el estigma y la discriminación por VIH/sida y asuntos de género; garantizar el acceso público a la información oportuna y confiable sobre la aplicación de las políticas y los programas relativos al VIH/sida, incluidos los objetivos, avances, gastos  y  desafíos para alcanzar las metas relativas al VIH/sida, como parte de la rendición de cuentas. Implícito está el apoyo político y la   coordinación en todos los niveles del gobierno y entre los principales actores del sector público, privado, y sociedad civil. </w:t>
      </w:r>
    </w:p>
    <w:p w14:paraId="5B9CE78B" w14:textId="77777777" w:rsidR="00B24C9A" w:rsidRDefault="003A34EE" w:rsidP="003A34EE">
      <w:r>
        <w:t>La estrategia de sostenibilidad implica la planificación de una serie de acciones meditadas y deliberadas para responder a las metas planteadas y lograr la armonización entre los ámbitos económico-financiero, técnico-programático y político-normativo. Si falla alguno de los elementos, la respuesta al VIH está en riesgo de no ser sostenible</w:t>
      </w:r>
      <w:r w:rsidR="00056010">
        <w:t>.</w:t>
      </w:r>
    </w:p>
    <w:p w14:paraId="2D6BB895" w14:textId="77777777" w:rsidR="00056010" w:rsidRDefault="00056010" w:rsidP="003A34EE"/>
    <w:p w14:paraId="1894F3FD" w14:textId="77777777" w:rsidR="00B24C9A" w:rsidRPr="00B24C9A" w:rsidRDefault="002E37AF" w:rsidP="002E37AF">
      <w:pPr>
        <w:pStyle w:val="Ttulo1"/>
        <w:shd w:val="clear" w:color="auto" w:fill="D9E2F3" w:themeFill="accent5" w:themeFillTint="33"/>
      </w:pPr>
      <w:bookmarkStart w:id="3" w:name="_Toc15275122"/>
      <w:r>
        <w:lastRenderedPageBreak/>
        <w:t xml:space="preserve">II. </w:t>
      </w:r>
      <w:r w:rsidR="00B24C9A">
        <w:t>ANÁLISIS DE SITUACIÓN</w:t>
      </w:r>
      <w:bookmarkEnd w:id="3"/>
      <w:r w:rsidR="00B24C9A">
        <w:t xml:space="preserve"> </w:t>
      </w:r>
    </w:p>
    <w:p w14:paraId="2560EBCE" w14:textId="77777777" w:rsidR="000D1D01" w:rsidRDefault="000D1D01" w:rsidP="00211FE5">
      <w:pPr>
        <w:jc w:val="both"/>
        <w:rPr>
          <w:rFonts w:cstheme="minorHAnsi"/>
          <w:sz w:val="24"/>
          <w:szCs w:val="24"/>
        </w:rPr>
      </w:pPr>
    </w:p>
    <w:p w14:paraId="12430ED6" w14:textId="77777777" w:rsidR="006A473B" w:rsidRPr="0094366F" w:rsidRDefault="00FA25A6" w:rsidP="008131CF">
      <w:pPr>
        <w:pStyle w:val="Ttulo2"/>
        <w:rPr>
          <w:rFonts w:eastAsia="Times New Roman"/>
          <w:lang w:val="es-PA" w:eastAsia="es-PA"/>
        </w:rPr>
      </w:pPr>
      <w:bookmarkStart w:id="4" w:name="_Toc15275123"/>
      <w:r>
        <w:rPr>
          <w:rFonts w:eastAsia="Times New Roman"/>
          <w:lang w:val="es-PA" w:eastAsia="es-PA"/>
        </w:rPr>
        <w:t>3</w:t>
      </w:r>
      <w:r w:rsidR="00835A2A" w:rsidRPr="0094366F">
        <w:rPr>
          <w:rFonts w:eastAsia="Times New Roman"/>
          <w:lang w:val="es-PA" w:eastAsia="es-PA"/>
        </w:rPr>
        <w:t xml:space="preserve">.1 </w:t>
      </w:r>
      <w:r w:rsidR="006A473B" w:rsidRPr="0094366F">
        <w:rPr>
          <w:rFonts w:eastAsia="Times New Roman"/>
          <w:lang w:val="es-PA" w:eastAsia="es-PA"/>
        </w:rPr>
        <w:t xml:space="preserve">Marco de políticas y </w:t>
      </w:r>
      <w:r w:rsidR="006A473B" w:rsidRPr="008131CF">
        <w:t>compromisos</w:t>
      </w:r>
      <w:r w:rsidR="00835A2A" w:rsidRPr="0094366F">
        <w:rPr>
          <w:rFonts w:eastAsia="Times New Roman"/>
          <w:lang w:val="es-PA" w:eastAsia="es-PA"/>
        </w:rPr>
        <w:t xml:space="preserve"> relacionados con</w:t>
      </w:r>
      <w:r w:rsidR="004B56D4" w:rsidRPr="0094366F">
        <w:rPr>
          <w:rFonts w:eastAsia="Times New Roman"/>
          <w:lang w:val="es-PA" w:eastAsia="es-PA"/>
        </w:rPr>
        <w:t xml:space="preserve"> VIH</w:t>
      </w:r>
      <w:bookmarkEnd w:id="4"/>
    </w:p>
    <w:p w14:paraId="319CE8C8" w14:textId="77777777" w:rsidR="006A473B" w:rsidRPr="0094366F" w:rsidRDefault="006A473B" w:rsidP="009F0413">
      <w:pPr>
        <w:spacing w:after="0" w:line="240" w:lineRule="auto"/>
        <w:rPr>
          <w:rFonts w:eastAsia="Times New Roman" w:cstheme="minorHAnsi"/>
          <w:sz w:val="24"/>
          <w:szCs w:val="24"/>
          <w:lang w:val="es-PA" w:eastAsia="es-PA"/>
        </w:rPr>
      </w:pPr>
    </w:p>
    <w:p w14:paraId="6B9B0D9B" w14:textId="77777777" w:rsidR="00E26A32" w:rsidRPr="00056010" w:rsidRDefault="00FA25A6" w:rsidP="008131CF">
      <w:pPr>
        <w:rPr>
          <w:b/>
          <w:bCs/>
          <w:lang w:val="es-PA" w:eastAsia="es-PA"/>
        </w:rPr>
      </w:pPr>
      <w:r w:rsidRPr="00056010">
        <w:rPr>
          <w:b/>
          <w:bCs/>
          <w:lang w:val="es-PA" w:eastAsia="es-PA"/>
        </w:rPr>
        <w:t>3</w:t>
      </w:r>
      <w:r w:rsidR="00835A2A" w:rsidRPr="00056010">
        <w:rPr>
          <w:b/>
          <w:bCs/>
          <w:lang w:val="es-PA" w:eastAsia="es-PA"/>
        </w:rPr>
        <w:t xml:space="preserve">.1.1 </w:t>
      </w:r>
      <w:r w:rsidR="00E26A32" w:rsidRPr="00056010">
        <w:rPr>
          <w:b/>
          <w:bCs/>
          <w:lang w:val="es-PA" w:eastAsia="es-PA"/>
        </w:rPr>
        <w:t>Marco internacional</w:t>
      </w:r>
    </w:p>
    <w:p w14:paraId="3665E20E" w14:textId="77777777" w:rsidR="00E26A32" w:rsidRPr="0094366F" w:rsidRDefault="00E26A32" w:rsidP="009F0413">
      <w:pPr>
        <w:spacing w:after="0" w:line="240" w:lineRule="auto"/>
        <w:rPr>
          <w:rFonts w:eastAsia="Times New Roman" w:cstheme="minorHAnsi"/>
          <w:sz w:val="24"/>
          <w:szCs w:val="24"/>
          <w:lang w:val="es-PA" w:eastAsia="es-PA"/>
        </w:rPr>
      </w:pPr>
    </w:p>
    <w:p w14:paraId="7D9DF88B" w14:textId="77777777" w:rsidR="00030319" w:rsidRPr="0094366F" w:rsidRDefault="00030319" w:rsidP="009C435A">
      <w:pPr>
        <w:spacing w:after="0" w:line="240" w:lineRule="auto"/>
        <w:jc w:val="both"/>
        <w:rPr>
          <w:rFonts w:eastAsia="Times New Roman" w:cstheme="minorHAnsi"/>
          <w:sz w:val="24"/>
          <w:szCs w:val="24"/>
          <w:lang w:val="es-PA" w:eastAsia="es-PA"/>
        </w:rPr>
      </w:pPr>
      <w:r w:rsidRPr="0094366F">
        <w:rPr>
          <w:rFonts w:eastAsia="Times New Roman" w:cstheme="minorHAnsi"/>
          <w:sz w:val="24"/>
          <w:szCs w:val="24"/>
          <w:lang w:val="es-PA" w:eastAsia="es-PA"/>
        </w:rPr>
        <w:t>E</w:t>
      </w:r>
      <w:r w:rsidR="004B56D4" w:rsidRPr="0094366F">
        <w:rPr>
          <w:rFonts w:eastAsia="Times New Roman" w:cstheme="minorHAnsi"/>
          <w:sz w:val="24"/>
          <w:szCs w:val="24"/>
          <w:lang w:val="es-PA" w:eastAsia="es-PA"/>
        </w:rPr>
        <w:t>n materia de VIH, El Salvador se rige bajo una serie de políticas y compromisos nacionales e internacionales (regionales y mundiales)</w:t>
      </w:r>
      <w:r w:rsidR="004B35CE" w:rsidRPr="0094366F">
        <w:rPr>
          <w:rFonts w:eastAsia="Times New Roman" w:cstheme="minorHAnsi"/>
          <w:sz w:val="24"/>
          <w:szCs w:val="24"/>
          <w:lang w:val="es-PA" w:eastAsia="es-PA"/>
        </w:rPr>
        <w:t xml:space="preserve">. A </w:t>
      </w:r>
      <w:r w:rsidR="009B22CF" w:rsidRPr="0094366F">
        <w:rPr>
          <w:rFonts w:eastAsia="Times New Roman" w:cstheme="minorHAnsi"/>
          <w:sz w:val="24"/>
          <w:szCs w:val="24"/>
          <w:lang w:val="es-PA" w:eastAsia="es-PA"/>
        </w:rPr>
        <w:t>continuación,</w:t>
      </w:r>
      <w:r w:rsidR="004B35CE" w:rsidRPr="0094366F">
        <w:rPr>
          <w:rFonts w:eastAsia="Times New Roman" w:cstheme="minorHAnsi"/>
          <w:sz w:val="24"/>
          <w:szCs w:val="24"/>
          <w:lang w:val="es-PA" w:eastAsia="es-PA"/>
        </w:rPr>
        <w:t xml:space="preserve"> presentamos los principales elementos de cada uno de </w:t>
      </w:r>
      <w:r w:rsidR="00DE4FEE" w:rsidRPr="0094366F">
        <w:rPr>
          <w:rFonts w:eastAsia="Times New Roman" w:cstheme="minorHAnsi"/>
          <w:sz w:val="24"/>
          <w:szCs w:val="24"/>
          <w:lang w:val="es-PA" w:eastAsia="es-PA"/>
        </w:rPr>
        <w:t>ellos.</w:t>
      </w:r>
    </w:p>
    <w:p w14:paraId="3054D4F3" w14:textId="77777777" w:rsidR="005F29A1" w:rsidRPr="0094366F" w:rsidRDefault="005F29A1" w:rsidP="009C435A">
      <w:pPr>
        <w:spacing w:after="0" w:line="240" w:lineRule="auto"/>
        <w:jc w:val="both"/>
        <w:rPr>
          <w:rFonts w:eastAsia="Times New Roman" w:cstheme="minorHAnsi"/>
          <w:sz w:val="24"/>
          <w:szCs w:val="24"/>
          <w:lang w:val="es-PA" w:eastAsia="es-PA"/>
        </w:rPr>
      </w:pPr>
    </w:p>
    <w:p w14:paraId="417A29D8" w14:textId="77777777" w:rsidR="00DE4FEE" w:rsidRPr="0094366F" w:rsidRDefault="00DE4FEE" w:rsidP="00DE4FEE">
      <w:pPr>
        <w:spacing w:after="0" w:line="240" w:lineRule="auto"/>
        <w:jc w:val="both"/>
        <w:rPr>
          <w:rFonts w:eastAsia="Times New Roman" w:cstheme="minorHAnsi"/>
          <w:sz w:val="24"/>
          <w:szCs w:val="24"/>
          <w:lang w:val="es-CR" w:eastAsia="es-SV"/>
        </w:rPr>
      </w:pPr>
      <w:r w:rsidRPr="0094366F">
        <w:rPr>
          <w:rFonts w:eastAsia="Times New Roman" w:cstheme="minorHAnsi"/>
          <w:sz w:val="24"/>
          <w:szCs w:val="24"/>
          <w:lang w:val="es-PA" w:eastAsia="es-PA"/>
        </w:rPr>
        <w:t>En el plano internacional, en prime</w:t>
      </w:r>
      <w:r w:rsidR="00672672">
        <w:rPr>
          <w:rFonts w:eastAsia="Times New Roman" w:cstheme="minorHAnsi"/>
          <w:sz w:val="24"/>
          <w:szCs w:val="24"/>
          <w:lang w:val="es-PA" w:eastAsia="es-PA"/>
        </w:rPr>
        <w:t>r lugar, se encuentra el</w:t>
      </w:r>
      <w:r w:rsidRPr="0094366F">
        <w:rPr>
          <w:rFonts w:eastAsia="Times New Roman" w:cstheme="minorHAnsi"/>
          <w:sz w:val="24"/>
          <w:szCs w:val="24"/>
          <w:lang w:val="es-PA" w:eastAsia="es-PA"/>
        </w:rPr>
        <w:t xml:space="preserve"> </w:t>
      </w:r>
      <w:r w:rsidRPr="0094366F">
        <w:rPr>
          <w:rFonts w:eastAsia="Times New Roman" w:cstheme="minorHAnsi"/>
          <w:b/>
          <w:sz w:val="24"/>
          <w:szCs w:val="24"/>
          <w:lang w:val="es-PA" w:eastAsia="es-PA"/>
        </w:rPr>
        <w:t>Enfoque Conjunto</w:t>
      </w:r>
      <w:r w:rsidRPr="0094366F">
        <w:rPr>
          <w:rFonts w:eastAsia="Times New Roman" w:cstheme="minorHAnsi"/>
          <w:sz w:val="24"/>
          <w:szCs w:val="24"/>
          <w:lang w:val="es-PA" w:eastAsia="es-PA"/>
        </w:rPr>
        <w:t xml:space="preserve">, presentado por el </w:t>
      </w:r>
      <w:r w:rsidRPr="0094366F">
        <w:rPr>
          <w:rFonts w:eastAsia="Times New Roman" w:cstheme="minorHAnsi"/>
          <w:sz w:val="24"/>
          <w:szCs w:val="24"/>
          <w:lang w:eastAsia="es-SV"/>
        </w:rPr>
        <w:t xml:space="preserve">Fondo Mundial de Lucha contra el Sida, la Tuberculosis y la Malaria, el Programa Conjunto de Naciones Unidas sobre el VIH Sida, la Organización Panamericana de la Salud, el Programa de Emergencia del Presidente de los Estados Unidos para el Alivio del Sida, la Agencia de los Estados Unidos para el Desarrollo Internacional y el Centro para el Control y la Prevención de las Enfermedades. En términos generales, su propuesta es la de </w:t>
      </w:r>
      <w:r w:rsidRPr="0094366F">
        <w:rPr>
          <w:rFonts w:eastAsia="Times New Roman" w:cstheme="minorHAnsi"/>
          <w:sz w:val="24"/>
          <w:szCs w:val="24"/>
          <w:lang w:val="es-CR" w:eastAsia="es-SV"/>
        </w:rPr>
        <w:t>lograr de manera sostenible contener la epidemia del VIH, para poner fin a la epidemia del Sida para el 2030 y gozar de un mundo libre de la carga del sida, con una mejora de la salud para todos</w:t>
      </w:r>
      <w:r w:rsidR="00CA586A" w:rsidRPr="0094366F">
        <w:rPr>
          <w:rFonts w:eastAsia="Times New Roman" w:cstheme="minorHAnsi"/>
          <w:sz w:val="24"/>
          <w:szCs w:val="24"/>
          <w:lang w:val="es-CR" w:eastAsia="es-SV"/>
        </w:rPr>
        <w:t xml:space="preserve"> </w:t>
      </w:r>
      <w:sdt>
        <w:sdtPr>
          <w:rPr>
            <w:rFonts w:eastAsia="Times New Roman" w:cstheme="minorHAnsi"/>
            <w:sz w:val="24"/>
            <w:szCs w:val="24"/>
            <w:lang w:val="es-CR" w:eastAsia="es-SV"/>
          </w:rPr>
          <w:id w:val="-1649734953"/>
          <w:citation/>
        </w:sdtPr>
        <w:sdtContent>
          <w:r w:rsidR="00CA586A" w:rsidRPr="0094366F">
            <w:rPr>
              <w:rFonts w:eastAsia="Times New Roman" w:cstheme="minorHAnsi"/>
              <w:sz w:val="24"/>
              <w:szCs w:val="24"/>
              <w:lang w:val="es-CR" w:eastAsia="es-SV"/>
            </w:rPr>
            <w:fldChar w:fldCharType="begin"/>
          </w:r>
          <w:r w:rsidR="00CA586A" w:rsidRPr="0094366F">
            <w:rPr>
              <w:rFonts w:eastAsia="Times New Roman" w:cstheme="minorHAnsi"/>
              <w:sz w:val="24"/>
              <w:szCs w:val="24"/>
              <w:lang w:val="es-SV" w:eastAsia="es-SV"/>
            </w:rPr>
            <w:instrText xml:space="preserve"> CITATION Fon14 \l 17418 </w:instrText>
          </w:r>
          <w:r w:rsidR="00CA586A" w:rsidRPr="0094366F">
            <w:rPr>
              <w:rFonts w:eastAsia="Times New Roman" w:cstheme="minorHAnsi"/>
              <w:sz w:val="24"/>
              <w:szCs w:val="24"/>
              <w:lang w:val="es-CR" w:eastAsia="es-SV"/>
            </w:rPr>
            <w:fldChar w:fldCharType="separate"/>
          </w:r>
          <w:r w:rsidR="00156561" w:rsidRPr="0094366F">
            <w:rPr>
              <w:rFonts w:eastAsia="Times New Roman" w:cstheme="minorHAnsi"/>
              <w:noProof/>
              <w:sz w:val="24"/>
              <w:szCs w:val="24"/>
              <w:lang w:val="es-SV" w:eastAsia="es-SV"/>
            </w:rPr>
            <w:t>(Fondo Mundial de Lucha contra el Sida, la Tuberculosis y la Malaria, 2014)</w:t>
          </w:r>
          <w:r w:rsidR="00CA586A" w:rsidRPr="0094366F">
            <w:rPr>
              <w:rFonts w:eastAsia="Times New Roman" w:cstheme="minorHAnsi"/>
              <w:sz w:val="24"/>
              <w:szCs w:val="24"/>
              <w:lang w:val="es-CR" w:eastAsia="es-SV"/>
            </w:rPr>
            <w:fldChar w:fldCharType="end"/>
          </w:r>
        </w:sdtContent>
      </w:sdt>
      <w:r w:rsidRPr="0094366F">
        <w:rPr>
          <w:rFonts w:eastAsia="Times New Roman" w:cstheme="minorHAnsi"/>
          <w:sz w:val="24"/>
          <w:szCs w:val="24"/>
          <w:lang w:val="es-CR" w:eastAsia="es-SV"/>
        </w:rPr>
        <w:t xml:space="preserve">. </w:t>
      </w:r>
    </w:p>
    <w:p w14:paraId="06A42CD2" w14:textId="77777777" w:rsidR="00DE4FEE" w:rsidRPr="0094366F" w:rsidRDefault="00DE4FEE" w:rsidP="00DE4FEE">
      <w:pPr>
        <w:spacing w:after="0" w:line="240" w:lineRule="auto"/>
        <w:jc w:val="both"/>
        <w:rPr>
          <w:rFonts w:eastAsia="Times New Roman" w:cstheme="minorHAnsi"/>
          <w:sz w:val="24"/>
          <w:szCs w:val="24"/>
          <w:lang w:val="es-CR" w:eastAsia="es-SV"/>
        </w:rPr>
      </w:pPr>
    </w:p>
    <w:p w14:paraId="63583699" w14:textId="77777777" w:rsidR="00DE4FEE" w:rsidRPr="0094366F" w:rsidRDefault="00DE4FEE" w:rsidP="00DE4FEE">
      <w:pPr>
        <w:spacing w:after="0" w:line="240" w:lineRule="auto"/>
        <w:jc w:val="both"/>
        <w:rPr>
          <w:rFonts w:eastAsia="Times New Roman" w:cstheme="minorHAnsi"/>
          <w:sz w:val="24"/>
          <w:szCs w:val="24"/>
          <w:lang w:eastAsia="es-SV"/>
        </w:rPr>
      </w:pPr>
      <w:r w:rsidRPr="0094366F">
        <w:rPr>
          <w:rFonts w:eastAsia="Times New Roman" w:cstheme="minorHAnsi"/>
          <w:sz w:val="24"/>
          <w:szCs w:val="24"/>
          <w:lang w:val="es-CR" w:eastAsia="es-SV"/>
        </w:rPr>
        <w:t>Sus metas e impacto son:</w:t>
      </w:r>
      <w:r w:rsidRPr="0094366F">
        <w:rPr>
          <w:rFonts w:eastAsia="Times New Roman" w:cstheme="minorHAnsi"/>
          <w:sz w:val="24"/>
          <w:szCs w:val="24"/>
          <w:lang w:eastAsia="es-SV"/>
        </w:rPr>
        <w:t xml:space="preserve"> </w:t>
      </w:r>
      <w:r w:rsidRPr="0094366F">
        <w:rPr>
          <w:rFonts w:eastAsia="Times New Roman" w:cstheme="minorHAnsi"/>
          <w:sz w:val="24"/>
          <w:szCs w:val="24"/>
          <w:lang w:val="es-CR" w:eastAsia="es-SV"/>
        </w:rPr>
        <w:t>reducir en un 74% el número estimado de nuevas infecciones por VIH para el 2020 respecto a la línea de base (2014)</w:t>
      </w:r>
      <w:r w:rsidRPr="0094366F">
        <w:rPr>
          <w:rFonts w:eastAsia="Times New Roman" w:cstheme="minorHAnsi"/>
          <w:sz w:val="24"/>
          <w:szCs w:val="24"/>
          <w:lang w:eastAsia="es-SV"/>
        </w:rPr>
        <w:t>; y r</w:t>
      </w:r>
      <w:r w:rsidRPr="0094366F">
        <w:rPr>
          <w:rFonts w:eastAsia="Times New Roman" w:cstheme="minorHAnsi"/>
          <w:sz w:val="24"/>
          <w:szCs w:val="24"/>
          <w:lang w:val="es-CR" w:eastAsia="es-SV"/>
        </w:rPr>
        <w:t>educir en un 62% el número de muertes relacionadas con el SIDA para el 2020 respecto a la línea de base (2014). Por otra parte, sus estrategias son las siguientes:</w:t>
      </w:r>
      <w:r w:rsidRPr="0094366F">
        <w:rPr>
          <w:rFonts w:eastAsia="Times New Roman" w:cstheme="minorHAnsi"/>
          <w:sz w:val="24"/>
          <w:szCs w:val="24"/>
          <w:lang w:eastAsia="es-SV"/>
        </w:rPr>
        <w:t xml:space="preserve"> a</w:t>
      </w:r>
      <w:r w:rsidRPr="0094366F">
        <w:rPr>
          <w:rFonts w:eastAsia="Times New Roman" w:cstheme="minorHAnsi"/>
          <w:sz w:val="24"/>
          <w:szCs w:val="24"/>
          <w:lang w:val="es-CR" w:eastAsia="es-SV"/>
        </w:rPr>
        <w:t>umentar al 90% la proporción de personas que viven con el VIH y conocen su diagnóstico; aumentar al 90% la proporción de personas que conocen su diagnóstico y reciben TAR;</w:t>
      </w:r>
      <w:r w:rsidRPr="0094366F">
        <w:rPr>
          <w:rFonts w:eastAsia="Times New Roman" w:cstheme="minorHAnsi"/>
          <w:sz w:val="24"/>
          <w:szCs w:val="24"/>
          <w:lang w:eastAsia="es-SV"/>
        </w:rPr>
        <w:t xml:space="preserve"> a</w:t>
      </w:r>
      <w:r w:rsidRPr="0094366F">
        <w:rPr>
          <w:rFonts w:eastAsia="Times New Roman" w:cstheme="minorHAnsi"/>
          <w:sz w:val="24"/>
          <w:szCs w:val="24"/>
          <w:lang w:val="es-CR" w:eastAsia="es-SV"/>
        </w:rPr>
        <w:t>umentar al 90% la proporción de personas en TAR que poseen un nivel de carga vírica indetectable; y lograr que el 90% de las poblaciones clave tienen acceso a servicios de prevención combinada del VIH (conocidas como metas 90 90 90)</w:t>
      </w:r>
      <w:r w:rsidR="00CA586A" w:rsidRPr="0094366F">
        <w:rPr>
          <w:rFonts w:eastAsia="Times New Roman" w:cstheme="minorHAnsi"/>
          <w:sz w:val="24"/>
          <w:szCs w:val="24"/>
          <w:lang w:val="es-CR" w:eastAsia="es-SV"/>
        </w:rPr>
        <w:t xml:space="preserve"> </w:t>
      </w:r>
      <w:sdt>
        <w:sdtPr>
          <w:rPr>
            <w:rFonts w:eastAsia="Times New Roman" w:cstheme="minorHAnsi"/>
            <w:sz w:val="24"/>
            <w:szCs w:val="24"/>
            <w:lang w:val="es-CR" w:eastAsia="es-SV"/>
          </w:rPr>
          <w:id w:val="753320562"/>
          <w:citation/>
        </w:sdtPr>
        <w:sdtContent>
          <w:r w:rsidR="00CA586A" w:rsidRPr="0094366F">
            <w:rPr>
              <w:rFonts w:eastAsia="Times New Roman" w:cstheme="minorHAnsi"/>
              <w:sz w:val="24"/>
              <w:szCs w:val="24"/>
              <w:lang w:val="es-CR" w:eastAsia="es-SV"/>
            </w:rPr>
            <w:fldChar w:fldCharType="begin"/>
          </w:r>
          <w:r w:rsidR="00CA586A" w:rsidRPr="0094366F">
            <w:rPr>
              <w:rFonts w:eastAsia="Times New Roman" w:cstheme="minorHAnsi"/>
              <w:sz w:val="24"/>
              <w:szCs w:val="24"/>
              <w:lang w:val="es-SV" w:eastAsia="es-SV"/>
            </w:rPr>
            <w:instrText xml:space="preserve"> CITATION Fon14 \l 17418 </w:instrText>
          </w:r>
          <w:r w:rsidR="00CA586A" w:rsidRPr="0094366F">
            <w:rPr>
              <w:rFonts w:eastAsia="Times New Roman" w:cstheme="minorHAnsi"/>
              <w:sz w:val="24"/>
              <w:szCs w:val="24"/>
              <w:lang w:val="es-CR" w:eastAsia="es-SV"/>
            </w:rPr>
            <w:fldChar w:fldCharType="separate"/>
          </w:r>
          <w:r w:rsidR="00156561" w:rsidRPr="0094366F">
            <w:rPr>
              <w:rFonts w:eastAsia="Times New Roman" w:cstheme="minorHAnsi"/>
              <w:noProof/>
              <w:sz w:val="24"/>
              <w:szCs w:val="24"/>
              <w:lang w:val="es-SV" w:eastAsia="es-SV"/>
            </w:rPr>
            <w:t>(Fondo Mundial de Lucha contra el Sida, la Tuberculosis y la Malaria, 2014)</w:t>
          </w:r>
          <w:r w:rsidR="00CA586A" w:rsidRPr="0094366F">
            <w:rPr>
              <w:rFonts w:eastAsia="Times New Roman" w:cstheme="minorHAnsi"/>
              <w:sz w:val="24"/>
              <w:szCs w:val="24"/>
              <w:lang w:val="es-CR" w:eastAsia="es-SV"/>
            </w:rPr>
            <w:fldChar w:fldCharType="end"/>
          </w:r>
        </w:sdtContent>
      </w:sdt>
      <w:r w:rsidRPr="0094366F">
        <w:rPr>
          <w:rFonts w:eastAsia="Times New Roman" w:cstheme="minorHAnsi"/>
          <w:sz w:val="24"/>
          <w:szCs w:val="24"/>
          <w:lang w:val="es-CR" w:eastAsia="es-SV"/>
        </w:rPr>
        <w:t>.</w:t>
      </w:r>
    </w:p>
    <w:p w14:paraId="4A338245" w14:textId="77777777" w:rsidR="009C435A" w:rsidRPr="0094366F" w:rsidRDefault="009C435A" w:rsidP="009C435A">
      <w:pPr>
        <w:spacing w:after="0" w:line="240" w:lineRule="auto"/>
        <w:jc w:val="both"/>
        <w:rPr>
          <w:rFonts w:eastAsia="Times New Roman" w:cstheme="minorHAnsi"/>
          <w:sz w:val="24"/>
          <w:szCs w:val="24"/>
          <w:lang w:eastAsia="es-PA"/>
        </w:rPr>
      </w:pPr>
    </w:p>
    <w:p w14:paraId="3519601E" w14:textId="77777777" w:rsidR="009C435A" w:rsidRPr="0094366F" w:rsidRDefault="00DE4FEE" w:rsidP="009C435A">
      <w:pPr>
        <w:spacing w:after="0" w:line="240" w:lineRule="auto"/>
        <w:jc w:val="both"/>
        <w:rPr>
          <w:rFonts w:eastAsia="Times New Roman" w:cstheme="minorHAnsi"/>
          <w:sz w:val="24"/>
          <w:szCs w:val="24"/>
          <w:lang w:eastAsia="es-SV"/>
        </w:rPr>
      </w:pPr>
      <w:r w:rsidRPr="0094366F">
        <w:rPr>
          <w:rFonts w:eastAsia="Times New Roman" w:cstheme="minorHAnsi"/>
          <w:sz w:val="24"/>
          <w:szCs w:val="24"/>
          <w:lang w:val="es-PA" w:eastAsia="es-PA"/>
        </w:rPr>
        <w:t xml:space="preserve">En segundo lugar, se encuentran las </w:t>
      </w:r>
      <w:r w:rsidRPr="0094366F">
        <w:rPr>
          <w:rFonts w:eastAsia="Times New Roman" w:cstheme="minorHAnsi"/>
          <w:sz w:val="24"/>
          <w:szCs w:val="24"/>
          <w:lang w:eastAsia="es-SV"/>
        </w:rPr>
        <w:t xml:space="preserve">Directrices unificadas sobre el uso de los antirretrovirales en el tratamiento y la prevención de la infección por VIH, presentadas por la Organización Mundial de la Salud, conocidas como las </w:t>
      </w:r>
      <w:r w:rsidRPr="0094366F">
        <w:rPr>
          <w:rFonts w:eastAsia="Times New Roman" w:cstheme="minorHAnsi"/>
          <w:b/>
          <w:sz w:val="24"/>
          <w:szCs w:val="24"/>
          <w:lang w:eastAsia="es-SV"/>
        </w:rPr>
        <w:t>Guías OMS</w:t>
      </w:r>
      <w:r w:rsidRPr="0094366F">
        <w:rPr>
          <w:rFonts w:eastAsia="Times New Roman" w:cstheme="minorHAnsi"/>
          <w:sz w:val="24"/>
          <w:szCs w:val="24"/>
          <w:lang w:eastAsia="es-SV"/>
        </w:rPr>
        <w:t>. Ellas nacen como una respuesta de la institución a la petición de los diferentes países sobre orientaciones generales para el tratamiento del VIH en las diferentes etapas, además de algunas recomendaciones sobre la prestación de servicios que buscan dar una mayor cobertura al tratamiento del VIH.</w:t>
      </w:r>
    </w:p>
    <w:p w14:paraId="29892A94" w14:textId="77777777" w:rsidR="00DE4FEE" w:rsidRPr="0094366F" w:rsidRDefault="00DE4FEE" w:rsidP="009C435A">
      <w:pPr>
        <w:spacing w:after="0" w:line="240" w:lineRule="auto"/>
        <w:jc w:val="both"/>
        <w:rPr>
          <w:rFonts w:eastAsia="Times New Roman" w:cstheme="minorHAnsi"/>
          <w:sz w:val="24"/>
          <w:szCs w:val="24"/>
          <w:lang w:val="es-PA" w:eastAsia="es-PA"/>
        </w:rPr>
      </w:pPr>
    </w:p>
    <w:p w14:paraId="0E3334C7" w14:textId="77777777" w:rsidR="00CA25D6" w:rsidRPr="0094366F" w:rsidRDefault="00DE4FEE" w:rsidP="00CA25D6">
      <w:pPr>
        <w:spacing w:after="0" w:line="240" w:lineRule="auto"/>
        <w:jc w:val="both"/>
        <w:rPr>
          <w:rFonts w:eastAsia="Times New Roman" w:cstheme="minorHAnsi"/>
          <w:sz w:val="24"/>
          <w:szCs w:val="24"/>
          <w:lang w:eastAsia="es-SV"/>
        </w:rPr>
      </w:pPr>
      <w:r w:rsidRPr="0094366F">
        <w:rPr>
          <w:rFonts w:eastAsia="Times New Roman" w:cstheme="minorHAnsi"/>
          <w:sz w:val="24"/>
          <w:szCs w:val="24"/>
          <w:lang w:val="es-PA" w:eastAsia="es-PA"/>
        </w:rPr>
        <w:t xml:space="preserve">En términos generales, </w:t>
      </w:r>
      <w:r w:rsidR="00CA25D6" w:rsidRPr="0094366F">
        <w:rPr>
          <w:rFonts w:eastAsia="Times New Roman" w:cstheme="minorHAnsi"/>
          <w:sz w:val="24"/>
          <w:szCs w:val="24"/>
          <w:lang w:val="es-PA" w:eastAsia="es-PA"/>
        </w:rPr>
        <w:t xml:space="preserve">el principal aporte de su última actualización es </w:t>
      </w:r>
      <w:r w:rsidR="00CA25D6" w:rsidRPr="0094366F">
        <w:rPr>
          <w:rFonts w:eastAsia="Times New Roman" w:cstheme="minorHAnsi"/>
          <w:sz w:val="24"/>
          <w:szCs w:val="24"/>
          <w:lang w:eastAsia="es-SV"/>
        </w:rPr>
        <w:t xml:space="preserve">el acceso universal al tratamiento de la infección y su consiguiente erradicación como amenaza a la salud pública. En definitiva, la nueva recomendación es la de “tratar a todos”, renunciando a la previa elegibilidad para el tratamiento. Además, se muestran directrices generales para </w:t>
      </w:r>
      <w:r w:rsidR="00CA25D6" w:rsidRPr="0094366F">
        <w:rPr>
          <w:rFonts w:eastAsia="Times New Roman" w:cstheme="minorHAnsi"/>
          <w:sz w:val="24"/>
          <w:szCs w:val="24"/>
          <w:lang w:eastAsia="es-SV"/>
        </w:rPr>
        <w:lastRenderedPageBreak/>
        <w:t>lograr la ejecución de programas que tengan como meta servicios más cercanos a los hogares de las personas que viven con VIH, además de todo lo relacionado a aquellos aspectos administrativos y financieros que deben tomarse en cuenta para que estos programas sean de largo alcance</w:t>
      </w:r>
      <w:r w:rsidR="00CA586A" w:rsidRPr="0094366F">
        <w:rPr>
          <w:rFonts w:eastAsia="Times New Roman" w:cstheme="minorHAnsi"/>
          <w:sz w:val="24"/>
          <w:szCs w:val="24"/>
          <w:lang w:eastAsia="es-SV"/>
        </w:rPr>
        <w:t xml:space="preserve"> </w:t>
      </w:r>
      <w:sdt>
        <w:sdtPr>
          <w:rPr>
            <w:rFonts w:eastAsia="Times New Roman" w:cstheme="minorHAnsi"/>
            <w:sz w:val="24"/>
            <w:szCs w:val="24"/>
            <w:lang w:eastAsia="es-SV"/>
          </w:rPr>
          <w:id w:val="172925016"/>
          <w:citation/>
        </w:sdtPr>
        <w:sdtContent>
          <w:r w:rsidR="00CA586A" w:rsidRPr="0094366F">
            <w:rPr>
              <w:rFonts w:eastAsia="Times New Roman" w:cstheme="minorHAnsi"/>
              <w:sz w:val="24"/>
              <w:szCs w:val="24"/>
              <w:lang w:eastAsia="es-SV"/>
            </w:rPr>
            <w:fldChar w:fldCharType="begin"/>
          </w:r>
          <w:r w:rsidR="00CA586A" w:rsidRPr="0094366F">
            <w:rPr>
              <w:rFonts w:eastAsia="Times New Roman" w:cstheme="minorHAnsi"/>
              <w:sz w:val="24"/>
              <w:szCs w:val="24"/>
              <w:lang w:val="es-SV" w:eastAsia="es-SV"/>
            </w:rPr>
            <w:instrText xml:space="preserve"> CITATION OMS16 \l 17418 </w:instrText>
          </w:r>
          <w:r w:rsidR="00CA586A" w:rsidRPr="0094366F">
            <w:rPr>
              <w:rFonts w:eastAsia="Times New Roman" w:cstheme="minorHAnsi"/>
              <w:sz w:val="24"/>
              <w:szCs w:val="24"/>
              <w:lang w:eastAsia="es-SV"/>
            </w:rPr>
            <w:fldChar w:fldCharType="separate"/>
          </w:r>
          <w:r w:rsidR="00156561" w:rsidRPr="0094366F">
            <w:rPr>
              <w:rFonts w:eastAsia="Times New Roman" w:cstheme="minorHAnsi"/>
              <w:noProof/>
              <w:sz w:val="24"/>
              <w:szCs w:val="24"/>
              <w:lang w:val="es-SV" w:eastAsia="es-SV"/>
            </w:rPr>
            <w:t>(OMS, 2016)</w:t>
          </w:r>
          <w:r w:rsidR="00CA586A" w:rsidRPr="0094366F">
            <w:rPr>
              <w:rFonts w:eastAsia="Times New Roman" w:cstheme="minorHAnsi"/>
              <w:sz w:val="24"/>
              <w:szCs w:val="24"/>
              <w:lang w:eastAsia="es-SV"/>
            </w:rPr>
            <w:fldChar w:fldCharType="end"/>
          </w:r>
        </w:sdtContent>
      </w:sdt>
      <w:r w:rsidR="00CA25D6" w:rsidRPr="0094366F">
        <w:rPr>
          <w:rFonts w:eastAsia="Times New Roman" w:cstheme="minorHAnsi"/>
          <w:sz w:val="24"/>
          <w:szCs w:val="24"/>
          <w:lang w:eastAsia="es-SV"/>
        </w:rPr>
        <w:t>.</w:t>
      </w:r>
    </w:p>
    <w:p w14:paraId="5D7C74EE" w14:textId="77777777" w:rsidR="00CA25D6" w:rsidRPr="0094366F" w:rsidRDefault="00CA25D6" w:rsidP="00CA25D6">
      <w:pPr>
        <w:spacing w:after="0" w:line="240" w:lineRule="auto"/>
        <w:jc w:val="both"/>
        <w:rPr>
          <w:rFonts w:eastAsia="Times New Roman" w:cstheme="minorHAnsi"/>
          <w:sz w:val="24"/>
          <w:szCs w:val="24"/>
          <w:lang w:eastAsia="es-SV"/>
        </w:rPr>
      </w:pPr>
    </w:p>
    <w:p w14:paraId="0A9EC8F9" w14:textId="77777777" w:rsidR="00CA25D6" w:rsidRPr="0094366F" w:rsidRDefault="00CA25D6" w:rsidP="00CA25D6">
      <w:pPr>
        <w:spacing w:after="0" w:line="240" w:lineRule="auto"/>
        <w:jc w:val="both"/>
        <w:rPr>
          <w:rFonts w:eastAsia="Times New Roman" w:cstheme="minorHAnsi"/>
          <w:sz w:val="24"/>
          <w:szCs w:val="24"/>
          <w:lang w:eastAsia="es-SV"/>
        </w:rPr>
      </w:pPr>
    </w:p>
    <w:p w14:paraId="0890AB43" w14:textId="77777777" w:rsidR="00DE4FEE" w:rsidRPr="0094366F" w:rsidRDefault="00CA25D6" w:rsidP="009C435A">
      <w:p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PA"/>
        </w:rPr>
        <w:t xml:space="preserve">En tercer lugar, siempre en el plano internacional, se encuentra la estrategia de </w:t>
      </w:r>
      <w:r w:rsidRPr="0094366F">
        <w:rPr>
          <w:rFonts w:eastAsia="Times New Roman" w:cstheme="minorHAnsi"/>
          <w:b/>
          <w:sz w:val="24"/>
          <w:szCs w:val="24"/>
          <w:lang w:eastAsia="es-PA"/>
        </w:rPr>
        <w:t>Acción Acelerada</w:t>
      </w:r>
      <w:r w:rsidRPr="0094366F">
        <w:rPr>
          <w:rFonts w:eastAsia="Times New Roman" w:cstheme="minorHAnsi"/>
          <w:sz w:val="24"/>
          <w:szCs w:val="24"/>
          <w:lang w:eastAsia="es-PA"/>
        </w:rPr>
        <w:t xml:space="preserve">, que presentó ONUSIDA y cuyo objetivo principal es la erradicación de la epidemia de sida para el año 2030. </w:t>
      </w:r>
      <w:r w:rsidRPr="0094366F">
        <w:rPr>
          <w:rFonts w:eastAsia="Times New Roman" w:cstheme="minorHAnsi"/>
          <w:sz w:val="24"/>
          <w:szCs w:val="24"/>
          <w:lang w:eastAsia="es-SV"/>
        </w:rPr>
        <w:t>Para lograr este objetivo, se propone el “escalamiento rápido”, que consiste en establecer metas de gran escala en cuanto a los abordajes esenciales de prevención y tratamiento del VIH. En ese sentido, se adscriben a los objetivos 90 90 90, aunque apuntando todavía más adelante: la meta última sería la de cero infecciones nuevas, cero discriminaciones y cero muertes relacionadas con sida</w:t>
      </w:r>
      <w:r w:rsidR="00CA586A" w:rsidRPr="0094366F">
        <w:rPr>
          <w:rFonts w:eastAsia="Times New Roman" w:cstheme="minorHAnsi"/>
          <w:sz w:val="24"/>
          <w:szCs w:val="24"/>
          <w:lang w:eastAsia="es-SV"/>
        </w:rPr>
        <w:t xml:space="preserve"> </w:t>
      </w:r>
      <w:sdt>
        <w:sdtPr>
          <w:rPr>
            <w:rFonts w:eastAsia="Times New Roman" w:cstheme="minorHAnsi"/>
            <w:sz w:val="24"/>
            <w:szCs w:val="24"/>
            <w:lang w:eastAsia="es-SV"/>
          </w:rPr>
          <w:id w:val="1247305955"/>
          <w:citation/>
        </w:sdtPr>
        <w:sdtContent>
          <w:r w:rsidR="00CA586A" w:rsidRPr="0094366F">
            <w:rPr>
              <w:rFonts w:eastAsia="Times New Roman" w:cstheme="minorHAnsi"/>
              <w:sz w:val="24"/>
              <w:szCs w:val="24"/>
              <w:lang w:eastAsia="es-SV"/>
            </w:rPr>
            <w:fldChar w:fldCharType="begin"/>
          </w:r>
          <w:r w:rsidR="00CA586A" w:rsidRPr="0094366F">
            <w:rPr>
              <w:rFonts w:eastAsia="Times New Roman" w:cstheme="minorHAnsi"/>
              <w:sz w:val="24"/>
              <w:szCs w:val="24"/>
              <w:lang w:val="es-SV" w:eastAsia="es-SV"/>
            </w:rPr>
            <w:instrText xml:space="preserve"> CITATION ONU14 \l 17418 </w:instrText>
          </w:r>
          <w:r w:rsidR="00CA586A" w:rsidRPr="0094366F">
            <w:rPr>
              <w:rFonts w:eastAsia="Times New Roman" w:cstheme="minorHAnsi"/>
              <w:sz w:val="24"/>
              <w:szCs w:val="24"/>
              <w:lang w:eastAsia="es-SV"/>
            </w:rPr>
            <w:fldChar w:fldCharType="separate"/>
          </w:r>
          <w:r w:rsidR="00156561" w:rsidRPr="0094366F">
            <w:rPr>
              <w:rFonts w:eastAsia="Times New Roman" w:cstheme="minorHAnsi"/>
              <w:noProof/>
              <w:sz w:val="24"/>
              <w:szCs w:val="24"/>
              <w:lang w:val="es-SV" w:eastAsia="es-SV"/>
            </w:rPr>
            <w:t>(ONUSIDA, 2014)</w:t>
          </w:r>
          <w:r w:rsidR="00CA586A" w:rsidRPr="0094366F">
            <w:rPr>
              <w:rFonts w:eastAsia="Times New Roman" w:cstheme="minorHAnsi"/>
              <w:sz w:val="24"/>
              <w:szCs w:val="24"/>
              <w:lang w:eastAsia="es-SV"/>
            </w:rPr>
            <w:fldChar w:fldCharType="end"/>
          </w:r>
        </w:sdtContent>
      </w:sdt>
      <w:r w:rsidRPr="0094366F">
        <w:rPr>
          <w:rFonts w:eastAsia="Times New Roman" w:cstheme="minorHAnsi"/>
          <w:sz w:val="24"/>
          <w:szCs w:val="24"/>
          <w:lang w:eastAsia="es-SV"/>
        </w:rPr>
        <w:t>.</w:t>
      </w:r>
    </w:p>
    <w:p w14:paraId="3106E2A9" w14:textId="77777777" w:rsidR="00CA586A" w:rsidRPr="0094366F" w:rsidRDefault="00CA586A" w:rsidP="009C435A">
      <w:pPr>
        <w:spacing w:after="0" w:line="240" w:lineRule="auto"/>
        <w:jc w:val="both"/>
        <w:rPr>
          <w:rFonts w:eastAsia="Times New Roman" w:cstheme="minorHAnsi"/>
          <w:sz w:val="24"/>
          <w:szCs w:val="24"/>
          <w:lang w:eastAsia="es-PA"/>
        </w:rPr>
      </w:pPr>
    </w:p>
    <w:p w14:paraId="70324582" w14:textId="77777777" w:rsidR="00CA25D6" w:rsidRPr="0094366F" w:rsidRDefault="00CA25D6" w:rsidP="00CA25D6">
      <w:p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PA"/>
        </w:rPr>
        <w:t xml:space="preserve">Aunado a lo anterior, esta estrategia </w:t>
      </w:r>
      <w:r w:rsidRPr="0094366F">
        <w:rPr>
          <w:rFonts w:eastAsia="Times New Roman" w:cstheme="minorHAnsi"/>
          <w:sz w:val="24"/>
          <w:szCs w:val="24"/>
          <w:lang w:eastAsia="es-SV"/>
        </w:rPr>
        <w:t>se busca llegar a una mayor cobertura del acceso a programas para personas con VIH (siendo su objetivo principal llegar tanto como se pueda al punto de saturación), especialmente en grupos que son considerados de mayor riesgo de adquirir el virus, poniendo especial énfasis en el tratamiento de las personas de menores ingresos. Finalmente, en el aspecto financiero, apunta a que los países establezcan mayor financiamiento para la prevención y tratamiento de VIH, así como se insta a que se dé mayor ayuda internacional de los diferentes programas.</w:t>
      </w:r>
    </w:p>
    <w:p w14:paraId="53A17D71" w14:textId="77777777" w:rsidR="00CA25D6" w:rsidRPr="0094366F" w:rsidRDefault="00CA25D6" w:rsidP="00CA25D6">
      <w:pPr>
        <w:spacing w:after="0" w:line="240" w:lineRule="auto"/>
        <w:jc w:val="both"/>
        <w:rPr>
          <w:rFonts w:eastAsia="Times New Roman" w:cstheme="minorHAnsi"/>
          <w:sz w:val="24"/>
          <w:szCs w:val="24"/>
          <w:lang w:eastAsia="es-SV"/>
        </w:rPr>
      </w:pPr>
    </w:p>
    <w:p w14:paraId="75564392" w14:textId="77777777" w:rsidR="006B0734" w:rsidRPr="0094366F" w:rsidRDefault="007E7401" w:rsidP="006B0734">
      <w:p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 xml:space="preserve">En cuarto lugar, se presenta la herramienta conocida como </w:t>
      </w:r>
      <w:r w:rsidRPr="0094366F">
        <w:rPr>
          <w:rFonts w:eastAsia="Times New Roman" w:cstheme="minorHAnsi"/>
          <w:b/>
          <w:sz w:val="24"/>
          <w:szCs w:val="24"/>
          <w:lang w:eastAsia="es-SV"/>
        </w:rPr>
        <w:t>Cascada del continuo de la atención</w:t>
      </w:r>
      <w:r w:rsidRPr="0094366F">
        <w:rPr>
          <w:rFonts w:eastAsia="Times New Roman" w:cstheme="minorHAnsi"/>
          <w:sz w:val="24"/>
          <w:szCs w:val="24"/>
          <w:lang w:eastAsia="es-SV"/>
        </w:rPr>
        <w:t xml:space="preserve">, establecida por OMS/OPS y que tiene como principal objetivo el monitoreo del abordaje integral del VIH en diferentes regiones. Su principal ventaja </w:t>
      </w:r>
      <w:r w:rsidR="006B0734" w:rsidRPr="0094366F">
        <w:rPr>
          <w:rFonts w:eastAsia="Times New Roman" w:cstheme="minorHAnsi"/>
          <w:sz w:val="24"/>
          <w:szCs w:val="24"/>
          <w:lang w:eastAsia="es-SV"/>
        </w:rPr>
        <w:t>es la de poder ser representada mediante gráficos fácilmente identificados. Por lo mismo, es capaz de dar información estratégica clave para la ejecución de planes nacionales</w:t>
      </w:r>
      <w:r w:rsidR="00D76EB8" w:rsidRPr="0094366F">
        <w:rPr>
          <w:rFonts w:eastAsia="Times New Roman" w:cstheme="minorHAnsi"/>
          <w:sz w:val="24"/>
          <w:szCs w:val="24"/>
          <w:lang w:eastAsia="es-SV"/>
        </w:rPr>
        <w:t xml:space="preserve"> </w:t>
      </w:r>
      <w:sdt>
        <w:sdtPr>
          <w:rPr>
            <w:rFonts w:eastAsia="Times New Roman" w:cstheme="minorHAnsi"/>
            <w:sz w:val="24"/>
            <w:szCs w:val="24"/>
            <w:lang w:eastAsia="es-SV"/>
          </w:rPr>
          <w:id w:val="-992867462"/>
          <w:citation/>
        </w:sdtPr>
        <w:sdtContent>
          <w:r w:rsidR="00D76EB8" w:rsidRPr="0094366F">
            <w:rPr>
              <w:rFonts w:eastAsia="Times New Roman" w:cstheme="minorHAnsi"/>
              <w:sz w:val="24"/>
              <w:szCs w:val="24"/>
              <w:lang w:eastAsia="es-SV"/>
            </w:rPr>
            <w:fldChar w:fldCharType="begin"/>
          </w:r>
          <w:r w:rsidR="00D76EB8" w:rsidRPr="0094366F">
            <w:rPr>
              <w:rFonts w:eastAsia="Times New Roman" w:cstheme="minorHAnsi"/>
              <w:sz w:val="24"/>
              <w:szCs w:val="24"/>
              <w:lang w:val="es-SV" w:eastAsia="es-SV"/>
            </w:rPr>
            <w:instrText xml:space="preserve"> CITATION MIN16 \l 17418 </w:instrText>
          </w:r>
          <w:r w:rsidR="00D76EB8" w:rsidRPr="0094366F">
            <w:rPr>
              <w:rFonts w:eastAsia="Times New Roman" w:cstheme="minorHAnsi"/>
              <w:sz w:val="24"/>
              <w:szCs w:val="24"/>
              <w:lang w:eastAsia="es-SV"/>
            </w:rPr>
            <w:fldChar w:fldCharType="separate"/>
          </w:r>
          <w:r w:rsidR="00156561" w:rsidRPr="0094366F">
            <w:rPr>
              <w:rFonts w:eastAsia="Times New Roman" w:cstheme="minorHAnsi"/>
              <w:noProof/>
              <w:sz w:val="24"/>
              <w:szCs w:val="24"/>
              <w:lang w:val="es-SV" w:eastAsia="es-SV"/>
            </w:rPr>
            <w:t>(MINSAL &amp; USAID, 2016)</w:t>
          </w:r>
          <w:r w:rsidR="00D76EB8" w:rsidRPr="0094366F">
            <w:rPr>
              <w:rFonts w:eastAsia="Times New Roman" w:cstheme="minorHAnsi"/>
              <w:sz w:val="24"/>
              <w:szCs w:val="24"/>
              <w:lang w:eastAsia="es-SV"/>
            </w:rPr>
            <w:fldChar w:fldCharType="end"/>
          </w:r>
        </w:sdtContent>
      </w:sdt>
      <w:r w:rsidR="006B0734" w:rsidRPr="0094366F">
        <w:rPr>
          <w:rFonts w:eastAsia="Times New Roman" w:cstheme="minorHAnsi"/>
          <w:sz w:val="24"/>
          <w:szCs w:val="24"/>
          <w:lang w:eastAsia="es-SV"/>
        </w:rPr>
        <w:t>.</w:t>
      </w:r>
    </w:p>
    <w:p w14:paraId="096B2AFC" w14:textId="77777777" w:rsidR="00CA25D6" w:rsidRPr="0094366F" w:rsidRDefault="00CA25D6" w:rsidP="00CA25D6">
      <w:pPr>
        <w:spacing w:after="0" w:line="240" w:lineRule="auto"/>
        <w:jc w:val="both"/>
        <w:rPr>
          <w:rFonts w:eastAsia="Times New Roman" w:cstheme="minorHAnsi"/>
          <w:sz w:val="24"/>
          <w:szCs w:val="24"/>
          <w:lang w:eastAsia="es-SV"/>
        </w:rPr>
      </w:pPr>
    </w:p>
    <w:p w14:paraId="6F5CAB3C" w14:textId="77777777" w:rsidR="006B0734" w:rsidRPr="0094366F" w:rsidRDefault="006B0734" w:rsidP="006B0734">
      <w:p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La Cascada de Atención en VIH inicia con la estimación de Personas con VIH, realizado a través del Programa SPECTRUM de ONUSIDA. Continúa con las personas con VIH que se hicieron la prueba y conocieron su diagnóstico, las personas vinculadas a servicios de atención, las personas retenidas en los servicios, las personas que se encuentran en tratamiento antirretroviral (TAR) y las personas que tienen su Carga Viral (CV) suprimida, menor a 1,000 copias /ml. En el caso concreto de El Salvador, se obtienen los datos de cada uno de los pilares de la Cascada de atención de forma automatizada a través del Sistema Único de Monitoreo y Evaluación y Vigilancia Epidemiológica (SUMEVE) del MINSAL, siendo uno de los mayores logros para conocer la epidemia.</w:t>
      </w:r>
    </w:p>
    <w:p w14:paraId="512204A6" w14:textId="77777777" w:rsidR="00CA586A" w:rsidRPr="0094366F" w:rsidRDefault="00CA586A" w:rsidP="006B0734">
      <w:pPr>
        <w:spacing w:after="0" w:line="240" w:lineRule="auto"/>
        <w:jc w:val="both"/>
        <w:rPr>
          <w:rFonts w:eastAsia="Times New Roman" w:cstheme="minorHAnsi"/>
          <w:sz w:val="24"/>
          <w:szCs w:val="24"/>
          <w:lang w:eastAsia="es-SV"/>
        </w:rPr>
      </w:pPr>
    </w:p>
    <w:p w14:paraId="211924DB" w14:textId="77777777" w:rsidR="00D76EB8" w:rsidRPr="0094366F" w:rsidRDefault="006B0734" w:rsidP="006B0734">
      <w:p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 xml:space="preserve">El último de los elementos considerados en el plano internacional es el titulado </w:t>
      </w:r>
      <w:r w:rsidRPr="0094366F">
        <w:rPr>
          <w:rFonts w:eastAsia="Times New Roman" w:cstheme="minorHAnsi"/>
          <w:i/>
          <w:sz w:val="24"/>
          <w:szCs w:val="24"/>
          <w:lang w:eastAsia="es-SV"/>
        </w:rPr>
        <w:t>Acceso universal a la prevención, tratamiento, atención y apoyo relacionados con el VIH</w:t>
      </w:r>
      <w:r w:rsidRPr="0094366F">
        <w:rPr>
          <w:rFonts w:eastAsia="Times New Roman" w:cstheme="minorHAnsi"/>
          <w:sz w:val="24"/>
          <w:szCs w:val="24"/>
          <w:lang w:eastAsia="es-SV"/>
        </w:rPr>
        <w:t xml:space="preserve">, presentado por ONUSIDA y conocida en general como la estrategia de </w:t>
      </w:r>
      <w:r w:rsidRPr="0094366F">
        <w:rPr>
          <w:rFonts w:eastAsia="Times New Roman" w:cstheme="minorHAnsi"/>
          <w:b/>
          <w:sz w:val="24"/>
          <w:szCs w:val="24"/>
          <w:lang w:eastAsia="es-SV"/>
        </w:rPr>
        <w:t>Acceso Universal</w:t>
      </w:r>
      <w:r w:rsidRPr="0094366F">
        <w:rPr>
          <w:rFonts w:eastAsia="Times New Roman" w:cstheme="minorHAnsi"/>
          <w:sz w:val="24"/>
          <w:szCs w:val="24"/>
          <w:lang w:eastAsia="es-SV"/>
        </w:rPr>
        <w:t xml:space="preserve">. En él, se retoma el Objetivo de Desarrollo del Milenio de “detener y revertir la propagación del </w:t>
      </w:r>
      <w:r w:rsidRPr="0094366F">
        <w:rPr>
          <w:rFonts w:eastAsia="Times New Roman" w:cstheme="minorHAnsi"/>
          <w:sz w:val="24"/>
          <w:szCs w:val="24"/>
          <w:lang w:eastAsia="es-SV"/>
        </w:rPr>
        <w:lastRenderedPageBreak/>
        <w:t>VIH”. La estrategia de acceso universal es una respuesta para lograr esta meta. En este sentido, busca que los servicios relacionados con el VIH tengan las características de equitativos, asequibles e integrales, con la justicia social como un eje transversal</w:t>
      </w:r>
      <w:r w:rsidR="00D76EB8" w:rsidRPr="0094366F">
        <w:rPr>
          <w:rFonts w:eastAsia="Times New Roman" w:cstheme="minorHAnsi"/>
          <w:sz w:val="24"/>
          <w:szCs w:val="24"/>
          <w:lang w:eastAsia="es-SV"/>
        </w:rPr>
        <w:t xml:space="preserve"> </w:t>
      </w:r>
      <w:sdt>
        <w:sdtPr>
          <w:rPr>
            <w:rFonts w:eastAsia="Times New Roman" w:cstheme="minorHAnsi"/>
            <w:sz w:val="24"/>
            <w:szCs w:val="24"/>
            <w:lang w:eastAsia="es-SV"/>
          </w:rPr>
          <w:id w:val="-390502305"/>
          <w:citation/>
        </w:sdtPr>
        <w:sdtContent>
          <w:r w:rsidR="00D76EB8" w:rsidRPr="0094366F">
            <w:rPr>
              <w:rFonts w:eastAsia="Times New Roman" w:cstheme="minorHAnsi"/>
              <w:sz w:val="24"/>
              <w:szCs w:val="24"/>
              <w:lang w:eastAsia="es-SV"/>
            </w:rPr>
            <w:fldChar w:fldCharType="begin"/>
          </w:r>
          <w:r w:rsidR="00D76EB8" w:rsidRPr="0094366F">
            <w:rPr>
              <w:rFonts w:eastAsia="Times New Roman" w:cstheme="minorHAnsi"/>
              <w:sz w:val="24"/>
              <w:szCs w:val="24"/>
              <w:lang w:val="es-SV" w:eastAsia="es-SV"/>
            </w:rPr>
            <w:instrText xml:space="preserve"> CITATION ONU11 \l 17418 </w:instrText>
          </w:r>
          <w:r w:rsidR="00D76EB8" w:rsidRPr="0094366F">
            <w:rPr>
              <w:rFonts w:eastAsia="Times New Roman" w:cstheme="minorHAnsi"/>
              <w:sz w:val="24"/>
              <w:szCs w:val="24"/>
              <w:lang w:eastAsia="es-SV"/>
            </w:rPr>
            <w:fldChar w:fldCharType="separate"/>
          </w:r>
          <w:r w:rsidR="00156561" w:rsidRPr="0094366F">
            <w:rPr>
              <w:rFonts w:eastAsia="Times New Roman" w:cstheme="minorHAnsi"/>
              <w:noProof/>
              <w:sz w:val="24"/>
              <w:szCs w:val="24"/>
              <w:lang w:val="es-SV" w:eastAsia="es-SV"/>
            </w:rPr>
            <w:t>(ONUSIDA, 2011)</w:t>
          </w:r>
          <w:r w:rsidR="00D76EB8" w:rsidRPr="0094366F">
            <w:rPr>
              <w:rFonts w:eastAsia="Times New Roman" w:cstheme="minorHAnsi"/>
              <w:sz w:val="24"/>
              <w:szCs w:val="24"/>
              <w:lang w:eastAsia="es-SV"/>
            </w:rPr>
            <w:fldChar w:fldCharType="end"/>
          </w:r>
        </w:sdtContent>
      </w:sdt>
      <w:r w:rsidRPr="0094366F">
        <w:rPr>
          <w:rFonts w:eastAsia="Times New Roman" w:cstheme="minorHAnsi"/>
          <w:sz w:val="24"/>
          <w:szCs w:val="24"/>
          <w:lang w:eastAsia="es-SV"/>
        </w:rPr>
        <w:t>.</w:t>
      </w:r>
    </w:p>
    <w:p w14:paraId="5CA7A326" w14:textId="77777777" w:rsidR="006B0734" w:rsidRPr="0094366F" w:rsidRDefault="006B0734" w:rsidP="006B0734">
      <w:pPr>
        <w:spacing w:after="0" w:line="240" w:lineRule="auto"/>
        <w:jc w:val="both"/>
        <w:rPr>
          <w:rFonts w:eastAsia="Times New Roman" w:cstheme="minorHAnsi"/>
          <w:sz w:val="24"/>
          <w:szCs w:val="24"/>
          <w:lang w:eastAsia="es-SV"/>
        </w:rPr>
      </w:pPr>
    </w:p>
    <w:p w14:paraId="262ACE7C" w14:textId="77777777" w:rsidR="006B0734" w:rsidRPr="0094366F" w:rsidRDefault="006B0734" w:rsidP="006B0734">
      <w:p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Además, el documento muestra el proceso a través del cual es posible analizar el progreso en tema de VIH en tres diferentes niveles: en los países, en las regiones y en el mundo. En el primer nivel, cada uno de ellos ha de considerar, para dar cuenta de sus resultados, el análisis de los logros, enfoques (de prevención, tratamiento, etc.), poblaciones clave y estrategias nacionales a futuro. A nivel de regiones, se pone especial énfasis en el tema de los organismos políticos regionales, que tienen relevancia a nivel social y económico, para lograr un abordaje conjunto y organizado entre los diversos países. Se trata, pues, de unificar las estrategias de la región, tomando en cuenta las características comunes de la epidemia en una zona determinada. A nivel mundial, la figura preponderante es la de la Reunión de Alto Nivel (RAN), que tiene entre sus asignaciones el tema de las negociaciones en torno a la Declaración de Resultados, que es de carácter mundial, tomando en consideración las informaciones que proporcionan tanto los países como las regiones, así como el apoyo internacional o patrocinio necesario para cada uno de ellos.</w:t>
      </w:r>
    </w:p>
    <w:p w14:paraId="5340312E" w14:textId="77777777" w:rsidR="006B0734" w:rsidRDefault="006B0734" w:rsidP="006B0734">
      <w:pPr>
        <w:spacing w:after="0" w:line="240" w:lineRule="auto"/>
        <w:jc w:val="both"/>
        <w:rPr>
          <w:rFonts w:ascii="Times New Roman" w:eastAsia="Times New Roman" w:hAnsi="Times New Roman" w:cs="Times New Roman"/>
          <w:b/>
          <w:sz w:val="24"/>
          <w:szCs w:val="24"/>
          <w:lang w:eastAsia="es-SV"/>
        </w:rPr>
      </w:pPr>
    </w:p>
    <w:p w14:paraId="60AB8C26" w14:textId="77777777" w:rsidR="006B0734" w:rsidRDefault="006B0734" w:rsidP="006B0734">
      <w:pPr>
        <w:spacing w:after="0" w:line="240" w:lineRule="auto"/>
        <w:jc w:val="both"/>
        <w:rPr>
          <w:rFonts w:ascii="Times New Roman" w:eastAsia="Times New Roman" w:hAnsi="Times New Roman" w:cs="Times New Roman"/>
          <w:sz w:val="24"/>
          <w:szCs w:val="24"/>
          <w:lang w:eastAsia="es-SV"/>
        </w:rPr>
      </w:pPr>
    </w:p>
    <w:p w14:paraId="302C70DC" w14:textId="77777777" w:rsidR="006B0734" w:rsidRPr="00056010" w:rsidRDefault="00FA25A6" w:rsidP="008131CF">
      <w:pPr>
        <w:rPr>
          <w:b/>
          <w:bCs/>
          <w:lang w:eastAsia="es-SV"/>
        </w:rPr>
      </w:pPr>
      <w:r w:rsidRPr="00056010">
        <w:rPr>
          <w:b/>
          <w:bCs/>
          <w:lang w:eastAsia="es-SV"/>
        </w:rPr>
        <w:t>3</w:t>
      </w:r>
      <w:r w:rsidR="00835A2A" w:rsidRPr="00056010">
        <w:rPr>
          <w:b/>
          <w:bCs/>
          <w:lang w:eastAsia="es-SV"/>
        </w:rPr>
        <w:t xml:space="preserve">.1.2 </w:t>
      </w:r>
      <w:r w:rsidR="00E26A32" w:rsidRPr="00056010">
        <w:rPr>
          <w:b/>
          <w:bCs/>
          <w:lang w:eastAsia="es-SV"/>
        </w:rPr>
        <w:t>Marco regional</w:t>
      </w:r>
    </w:p>
    <w:p w14:paraId="33F286B5" w14:textId="77777777" w:rsidR="00E26A32" w:rsidRDefault="00E26A32" w:rsidP="006B0734">
      <w:pPr>
        <w:spacing w:after="0" w:line="240" w:lineRule="auto"/>
        <w:jc w:val="both"/>
        <w:rPr>
          <w:rFonts w:ascii="Times New Roman" w:eastAsia="Times New Roman" w:hAnsi="Times New Roman" w:cs="Times New Roman"/>
          <w:sz w:val="24"/>
          <w:szCs w:val="24"/>
          <w:lang w:eastAsia="es-SV"/>
        </w:rPr>
      </w:pPr>
    </w:p>
    <w:p w14:paraId="7A269EF9" w14:textId="77777777" w:rsidR="00D76EB8" w:rsidRPr="0094366F" w:rsidRDefault="006C01A1" w:rsidP="006C01A1">
      <w:p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 xml:space="preserve">En el plano de la región de Centroamérica y el Caribe, la </w:t>
      </w:r>
      <w:r w:rsidRPr="00056010">
        <w:rPr>
          <w:rFonts w:eastAsia="Times New Roman" w:cstheme="minorHAnsi"/>
          <w:bCs/>
          <w:sz w:val="24"/>
          <w:szCs w:val="24"/>
          <w:lang w:eastAsia="es-SV"/>
        </w:rPr>
        <w:t xml:space="preserve">Estrategia Regional de Sostenibilidad se presenta en el documento titulado </w:t>
      </w:r>
      <w:r w:rsidRPr="00056010">
        <w:rPr>
          <w:rFonts w:eastAsia="Times New Roman" w:cstheme="minorHAnsi"/>
          <w:bCs/>
          <w:i/>
          <w:sz w:val="24"/>
          <w:szCs w:val="24"/>
          <w:lang w:eastAsia="es-SV"/>
        </w:rPr>
        <w:t>Estrategi</w:t>
      </w:r>
      <w:r w:rsidRPr="0094366F">
        <w:rPr>
          <w:rFonts w:eastAsia="Times New Roman" w:cstheme="minorHAnsi"/>
          <w:i/>
          <w:sz w:val="24"/>
          <w:szCs w:val="24"/>
          <w:lang w:eastAsia="es-SV"/>
        </w:rPr>
        <w:t>a de Sostenibilidad de los avances de Centroamérica y República Dominicana hacia el Acceso Universal a la Prevención, la Atención, el Tratamiento, y el Apoyo relacionados con el VIH</w:t>
      </w:r>
      <w:r w:rsidRPr="0094366F">
        <w:rPr>
          <w:rFonts w:eastAsia="Times New Roman" w:cstheme="minorHAnsi"/>
          <w:sz w:val="24"/>
          <w:szCs w:val="24"/>
          <w:lang w:eastAsia="es-SV"/>
        </w:rPr>
        <w:t>, que tiene su origen en la declaración conjunta de los diferentes presidentes de los países de Centroamérica y República Dominicana (en el año 2005), en la que se reconoce la gravedad de la situación y se ratifican diferentes compromisos nacionales e internacionales adquiridos</w:t>
      </w:r>
      <w:r w:rsidR="00D76EB8" w:rsidRPr="0094366F">
        <w:rPr>
          <w:rFonts w:eastAsia="Times New Roman" w:cstheme="minorHAnsi"/>
          <w:sz w:val="24"/>
          <w:szCs w:val="24"/>
          <w:lang w:eastAsia="es-SV"/>
        </w:rPr>
        <w:t xml:space="preserve"> </w:t>
      </w:r>
      <w:sdt>
        <w:sdtPr>
          <w:rPr>
            <w:rFonts w:eastAsia="Times New Roman" w:cstheme="minorHAnsi"/>
            <w:sz w:val="24"/>
            <w:szCs w:val="24"/>
            <w:lang w:eastAsia="es-SV"/>
          </w:rPr>
          <w:id w:val="753022112"/>
          <w:citation/>
        </w:sdtPr>
        <w:sdtContent>
          <w:r w:rsidR="00D76EB8" w:rsidRPr="0094366F">
            <w:rPr>
              <w:rFonts w:eastAsia="Times New Roman" w:cstheme="minorHAnsi"/>
              <w:sz w:val="24"/>
              <w:szCs w:val="24"/>
              <w:lang w:eastAsia="es-SV"/>
            </w:rPr>
            <w:fldChar w:fldCharType="begin"/>
          </w:r>
          <w:r w:rsidR="00D76EB8" w:rsidRPr="0094366F">
            <w:rPr>
              <w:rFonts w:eastAsia="Times New Roman" w:cstheme="minorHAnsi"/>
              <w:sz w:val="24"/>
              <w:szCs w:val="24"/>
              <w:lang w:val="es-SV" w:eastAsia="es-SV"/>
            </w:rPr>
            <w:instrText xml:space="preserve"> CITATION COM17 \l 17418 </w:instrText>
          </w:r>
          <w:r w:rsidR="00D76EB8" w:rsidRPr="0094366F">
            <w:rPr>
              <w:rFonts w:eastAsia="Times New Roman" w:cstheme="minorHAnsi"/>
              <w:sz w:val="24"/>
              <w:szCs w:val="24"/>
              <w:lang w:eastAsia="es-SV"/>
            </w:rPr>
            <w:fldChar w:fldCharType="separate"/>
          </w:r>
          <w:r w:rsidR="00156561" w:rsidRPr="0094366F">
            <w:rPr>
              <w:rFonts w:eastAsia="Times New Roman" w:cstheme="minorHAnsi"/>
              <w:noProof/>
              <w:sz w:val="24"/>
              <w:szCs w:val="24"/>
              <w:lang w:val="es-SV" w:eastAsia="es-SV"/>
            </w:rPr>
            <w:t>(COMISCA, 2017)</w:t>
          </w:r>
          <w:r w:rsidR="00D76EB8" w:rsidRPr="0094366F">
            <w:rPr>
              <w:rFonts w:eastAsia="Times New Roman" w:cstheme="minorHAnsi"/>
              <w:sz w:val="24"/>
              <w:szCs w:val="24"/>
              <w:lang w:eastAsia="es-SV"/>
            </w:rPr>
            <w:fldChar w:fldCharType="end"/>
          </w:r>
        </w:sdtContent>
      </w:sdt>
      <w:r w:rsidRPr="0094366F">
        <w:rPr>
          <w:rFonts w:eastAsia="Times New Roman" w:cstheme="minorHAnsi"/>
          <w:sz w:val="24"/>
          <w:szCs w:val="24"/>
          <w:lang w:eastAsia="es-SV"/>
        </w:rPr>
        <w:t xml:space="preserve">. </w:t>
      </w:r>
    </w:p>
    <w:p w14:paraId="36ADB2C4" w14:textId="77777777" w:rsidR="00D76EB8" w:rsidRPr="0094366F" w:rsidRDefault="00D76EB8" w:rsidP="006C01A1">
      <w:pPr>
        <w:spacing w:after="0" w:line="240" w:lineRule="auto"/>
        <w:jc w:val="both"/>
        <w:rPr>
          <w:rFonts w:eastAsia="Times New Roman" w:cstheme="minorHAnsi"/>
          <w:sz w:val="24"/>
          <w:szCs w:val="24"/>
          <w:lang w:eastAsia="es-SV"/>
        </w:rPr>
      </w:pPr>
    </w:p>
    <w:p w14:paraId="40AFC9DE" w14:textId="77777777" w:rsidR="006C01A1" w:rsidRPr="0094366F" w:rsidRDefault="006C01A1" w:rsidP="006C01A1">
      <w:p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 xml:space="preserve">Esta estrategia regional ha sufrido varias modificaciones a lo largo del tiempo. A partir de ellas, sus objetivos para la región van quedando establecidos de la siguiente manera: aumentar la efectividad de los servicios e intervenciones del continuo de la prevención, diagnóstico, tratamiento y atención de VIH a quienes lo necesite en los países del SICA; mejorar el impacto y equidad en las poblaciones prioritarias y en los lugares donde hay mayor transmisión del VIH; fortalecer la conducción y el uso óptimo de recursos para la respuesta nacional al VIH para la movilización y la asignación de recursos según las prioridades regionales para la sostenibilidad, y fortalecer la información estratégica para la promoción, las inversiones y el fortalecimiento de los sistemas, las alianzas y los vínculos. </w:t>
      </w:r>
    </w:p>
    <w:p w14:paraId="32E01A1F" w14:textId="77777777" w:rsidR="006C01A1" w:rsidRPr="0094366F" w:rsidRDefault="006C01A1" w:rsidP="006C01A1">
      <w:pPr>
        <w:spacing w:after="0" w:line="240" w:lineRule="auto"/>
        <w:jc w:val="both"/>
        <w:rPr>
          <w:rFonts w:eastAsia="Times New Roman" w:cstheme="minorHAnsi"/>
          <w:sz w:val="24"/>
          <w:szCs w:val="24"/>
          <w:lang w:eastAsia="es-SV"/>
        </w:rPr>
      </w:pPr>
    </w:p>
    <w:p w14:paraId="5A56F43F" w14:textId="77777777" w:rsidR="006C01A1" w:rsidRPr="0094366F" w:rsidRDefault="006C01A1" w:rsidP="006C01A1">
      <w:p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 xml:space="preserve">A partir de estos objetivos, la Estrategia busca una respuesta a nivel regional que sea sostenible, tomando como criterios: la universalidad en salud, rectoría de los gobiernos, derechos humanos, alianzas y participación de personas con VIH. </w:t>
      </w:r>
    </w:p>
    <w:p w14:paraId="54E4FEAF" w14:textId="77777777" w:rsidR="006C01A1" w:rsidRPr="0094366F" w:rsidRDefault="006C01A1" w:rsidP="006C01A1">
      <w:pPr>
        <w:spacing w:after="0" w:line="240" w:lineRule="auto"/>
        <w:jc w:val="both"/>
        <w:rPr>
          <w:rFonts w:eastAsia="Times New Roman" w:cstheme="minorHAnsi"/>
          <w:sz w:val="24"/>
          <w:szCs w:val="24"/>
          <w:lang w:eastAsia="es-SV"/>
        </w:rPr>
      </w:pPr>
    </w:p>
    <w:p w14:paraId="700B6BB1" w14:textId="77777777" w:rsidR="006C01A1" w:rsidRPr="0094366F" w:rsidRDefault="006C01A1" w:rsidP="006C01A1">
      <w:p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Por otra parte, aunado a la Estrategia de Sostenibilidad, se propone en el documento un Plan de Acción y Monitoreo, cuyo propósito es el de mantener el ritmo de implementación de la Estrategia, para ser capaces de cumplir con las metas 90 90 90 en el periodo que se han propuesto. De esta forma, cualquier desviación del plan original que pueda ser un peligro para la región en términos de VIH puede ser controlada a partir de este Plan. Asimismo, los retos nuevos y actualizaciones que requiere la Estrategia con el paso del tiempo también son consideradas desde este órgano.</w:t>
      </w:r>
    </w:p>
    <w:p w14:paraId="012F69A1" w14:textId="77777777" w:rsidR="004333AB" w:rsidRPr="0094366F" w:rsidRDefault="004333AB" w:rsidP="006C01A1">
      <w:pPr>
        <w:spacing w:after="0" w:line="240" w:lineRule="auto"/>
        <w:jc w:val="both"/>
        <w:rPr>
          <w:rFonts w:eastAsia="Times New Roman" w:cstheme="minorHAnsi"/>
          <w:sz w:val="24"/>
          <w:szCs w:val="24"/>
          <w:lang w:eastAsia="es-SV"/>
        </w:rPr>
      </w:pPr>
    </w:p>
    <w:p w14:paraId="12F3F093" w14:textId="77777777" w:rsidR="004333AB" w:rsidRPr="0094366F" w:rsidRDefault="004333AB" w:rsidP="006C01A1">
      <w:pPr>
        <w:spacing w:after="0" w:line="240" w:lineRule="auto"/>
        <w:jc w:val="both"/>
        <w:rPr>
          <w:rFonts w:eastAsia="Times New Roman" w:cstheme="minorHAnsi"/>
          <w:sz w:val="24"/>
          <w:szCs w:val="24"/>
          <w:lang w:eastAsia="es-SV"/>
        </w:rPr>
      </w:pPr>
    </w:p>
    <w:p w14:paraId="3360FBE4" w14:textId="77777777" w:rsidR="00E26A32" w:rsidRPr="00056010" w:rsidRDefault="00FA25A6" w:rsidP="008131CF">
      <w:pPr>
        <w:rPr>
          <w:b/>
          <w:bCs/>
          <w:lang w:eastAsia="es-SV"/>
        </w:rPr>
      </w:pPr>
      <w:r w:rsidRPr="00056010">
        <w:rPr>
          <w:b/>
          <w:bCs/>
          <w:lang w:eastAsia="es-SV"/>
        </w:rPr>
        <w:t>3</w:t>
      </w:r>
      <w:r w:rsidR="00835A2A" w:rsidRPr="00056010">
        <w:rPr>
          <w:b/>
          <w:bCs/>
          <w:lang w:eastAsia="es-SV"/>
        </w:rPr>
        <w:t xml:space="preserve">.1.3 </w:t>
      </w:r>
      <w:r w:rsidR="006C01A1" w:rsidRPr="00056010">
        <w:rPr>
          <w:b/>
          <w:bCs/>
          <w:lang w:eastAsia="es-SV"/>
        </w:rPr>
        <w:t>Marco nacional</w:t>
      </w:r>
    </w:p>
    <w:p w14:paraId="2AAC198E" w14:textId="77777777" w:rsidR="006C01A1" w:rsidRPr="0094366F" w:rsidRDefault="006C01A1" w:rsidP="006B0734">
      <w:pPr>
        <w:spacing w:after="0" w:line="240" w:lineRule="auto"/>
        <w:jc w:val="both"/>
        <w:rPr>
          <w:rFonts w:eastAsia="Times New Roman" w:cstheme="minorHAnsi"/>
          <w:sz w:val="24"/>
          <w:szCs w:val="24"/>
          <w:lang w:eastAsia="es-SV"/>
        </w:rPr>
      </w:pPr>
    </w:p>
    <w:p w14:paraId="275D35DD" w14:textId="77777777" w:rsidR="00683570" w:rsidRPr="0094366F" w:rsidRDefault="00683570" w:rsidP="00683570">
      <w:p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El Plan Estratégico Nacional Multisectorial de VIH e ITS 2016-2020 constituye el documento que marca las pautas nacionales en lo referente a VIH e ITS a nivel nacional. Estas pautas son establecidas cada quinquenio, y buscan, en las nuevas actualizaciones, superar las limitantes de los quinquenios anteriores, además de apegarse a las nuevas normas internacionales que se van estableciendo. En ese sentido, pone énfasis en la búsqueda de cumplimiento de las metas 90 90 90, entre otras directrices globales. Su marco de referencia es la Cascada de Continuo de la Atención, para el fortalecimiento de la respuesta institucional a los problemas derivados del VIH e ITS</w:t>
      </w:r>
      <w:r w:rsidR="00D76EB8" w:rsidRPr="0094366F">
        <w:rPr>
          <w:rFonts w:eastAsia="Times New Roman" w:cstheme="minorHAnsi"/>
          <w:sz w:val="24"/>
          <w:szCs w:val="24"/>
          <w:lang w:eastAsia="es-SV"/>
        </w:rPr>
        <w:t xml:space="preserve"> </w:t>
      </w:r>
      <w:sdt>
        <w:sdtPr>
          <w:rPr>
            <w:rFonts w:eastAsia="Times New Roman" w:cstheme="minorHAnsi"/>
            <w:sz w:val="24"/>
            <w:szCs w:val="24"/>
            <w:lang w:eastAsia="es-SV"/>
          </w:rPr>
          <w:id w:val="-6675773"/>
          <w:citation/>
        </w:sdtPr>
        <w:sdtContent>
          <w:r w:rsidR="00D76EB8" w:rsidRPr="0094366F">
            <w:rPr>
              <w:rFonts w:eastAsia="Times New Roman" w:cstheme="minorHAnsi"/>
              <w:sz w:val="24"/>
              <w:szCs w:val="24"/>
              <w:lang w:eastAsia="es-SV"/>
            </w:rPr>
            <w:fldChar w:fldCharType="begin"/>
          </w:r>
          <w:r w:rsidR="00D76EB8" w:rsidRPr="0094366F">
            <w:rPr>
              <w:rFonts w:eastAsia="Times New Roman" w:cstheme="minorHAnsi"/>
              <w:sz w:val="24"/>
              <w:szCs w:val="24"/>
              <w:lang w:val="es-SV" w:eastAsia="es-SV"/>
            </w:rPr>
            <w:instrText xml:space="preserve"> CITATION CON16 \l 17418 </w:instrText>
          </w:r>
          <w:r w:rsidR="00D76EB8" w:rsidRPr="0094366F">
            <w:rPr>
              <w:rFonts w:eastAsia="Times New Roman" w:cstheme="minorHAnsi"/>
              <w:sz w:val="24"/>
              <w:szCs w:val="24"/>
              <w:lang w:eastAsia="es-SV"/>
            </w:rPr>
            <w:fldChar w:fldCharType="separate"/>
          </w:r>
          <w:r w:rsidR="00156561" w:rsidRPr="0094366F">
            <w:rPr>
              <w:rFonts w:eastAsia="Times New Roman" w:cstheme="minorHAnsi"/>
              <w:noProof/>
              <w:sz w:val="24"/>
              <w:szCs w:val="24"/>
              <w:lang w:val="es-SV" w:eastAsia="es-SV"/>
            </w:rPr>
            <w:t>(CONASIDA &amp; MINSAL, 2016)</w:t>
          </w:r>
          <w:r w:rsidR="00D76EB8" w:rsidRPr="0094366F">
            <w:rPr>
              <w:rFonts w:eastAsia="Times New Roman" w:cstheme="minorHAnsi"/>
              <w:sz w:val="24"/>
              <w:szCs w:val="24"/>
              <w:lang w:eastAsia="es-SV"/>
            </w:rPr>
            <w:fldChar w:fldCharType="end"/>
          </w:r>
        </w:sdtContent>
      </w:sdt>
      <w:r w:rsidRPr="0094366F">
        <w:rPr>
          <w:rFonts w:eastAsia="Times New Roman" w:cstheme="minorHAnsi"/>
          <w:sz w:val="24"/>
          <w:szCs w:val="24"/>
          <w:lang w:eastAsia="es-SV"/>
        </w:rPr>
        <w:t>.</w:t>
      </w:r>
    </w:p>
    <w:p w14:paraId="3DE8363D" w14:textId="77777777" w:rsidR="00D76EB8" w:rsidRPr="0094366F" w:rsidRDefault="00D76EB8" w:rsidP="00683570">
      <w:pPr>
        <w:spacing w:after="0" w:line="240" w:lineRule="auto"/>
        <w:jc w:val="both"/>
        <w:rPr>
          <w:rFonts w:eastAsia="Times New Roman" w:cstheme="minorHAnsi"/>
          <w:sz w:val="24"/>
          <w:szCs w:val="24"/>
          <w:lang w:eastAsia="es-SV"/>
        </w:rPr>
      </w:pPr>
    </w:p>
    <w:p w14:paraId="1075A747" w14:textId="77777777" w:rsidR="00683570" w:rsidRPr="0094366F" w:rsidRDefault="00683570" w:rsidP="00683570">
      <w:p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En el contexto institucional salvadoreño, el Plan Estratégico está enmarcado dentro del Plan Quinquenal de Desarrollo 2014-2019: “El Salvador productivo, educado y seguro”; y en el Plan Estratégico Institucional 2014-2019 que establece el Ministerio de Salud como su estrategia nacional en ese sector. Es esta misma institución la que regula y ejecuta la Política Nacional de Salud en El Salvador.</w:t>
      </w:r>
    </w:p>
    <w:p w14:paraId="0C9F1A2D" w14:textId="77777777" w:rsidR="00683570" w:rsidRPr="0094366F" w:rsidRDefault="00683570" w:rsidP="00683570">
      <w:pPr>
        <w:spacing w:after="0" w:line="240" w:lineRule="auto"/>
        <w:jc w:val="both"/>
        <w:rPr>
          <w:rFonts w:eastAsia="Times New Roman" w:cstheme="minorHAnsi"/>
          <w:sz w:val="24"/>
          <w:szCs w:val="24"/>
          <w:lang w:eastAsia="es-SV"/>
        </w:rPr>
      </w:pPr>
    </w:p>
    <w:p w14:paraId="4EBBD97C" w14:textId="77777777" w:rsidR="00C25E65" w:rsidRPr="0094366F" w:rsidRDefault="00683570" w:rsidP="00683570">
      <w:p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Con respecto al contenido, el Plan Estratégico incluye, además de un contexto general (institucional, nacional e internacional), un análisis la situación del VIH en el país, su epidemiología y respuesta por parte de las instituciones pertinentes; el proceso de la formulación del PENM, matriz, objetivos y ejes. Finalmente, aborda los aspectos financieros necesarios para la ejecución del Plan.</w:t>
      </w:r>
    </w:p>
    <w:p w14:paraId="1793392D" w14:textId="77777777" w:rsidR="00FF7FB4" w:rsidRPr="0094366F" w:rsidRDefault="00FF7FB4" w:rsidP="009F0413">
      <w:pPr>
        <w:spacing w:after="0" w:line="240" w:lineRule="auto"/>
        <w:rPr>
          <w:rFonts w:eastAsiaTheme="minorEastAsia" w:cstheme="minorHAnsi"/>
          <w:color w:val="000000" w:themeColor="text1"/>
          <w:kern w:val="24"/>
          <w:sz w:val="24"/>
          <w:szCs w:val="24"/>
          <w:lang w:val="es-SV" w:eastAsia="es-PA"/>
        </w:rPr>
      </w:pPr>
    </w:p>
    <w:p w14:paraId="06051FA2" w14:textId="77777777" w:rsidR="00FF7FB4" w:rsidRPr="0094366F" w:rsidRDefault="00FA25A6" w:rsidP="008131CF">
      <w:pPr>
        <w:pStyle w:val="Ttulo2"/>
        <w:rPr>
          <w:rFonts w:eastAsiaTheme="minorEastAsia"/>
          <w:lang w:val="es-PA" w:eastAsia="es-PA"/>
        </w:rPr>
      </w:pPr>
      <w:bookmarkStart w:id="5" w:name="_Toc15275124"/>
      <w:r>
        <w:rPr>
          <w:rFonts w:eastAsiaTheme="minorEastAsia"/>
          <w:lang w:val="es-PA" w:eastAsia="es-PA"/>
        </w:rPr>
        <w:t>3</w:t>
      </w:r>
      <w:r w:rsidR="002F40B9" w:rsidRPr="0094366F">
        <w:rPr>
          <w:rFonts w:eastAsiaTheme="minorEastAsia"/>
          <w:lang w:val="es-PA" w:eastAsia="es-PA"/>
        </w:rPr>
        <w:t>.</w:t>
      </w:r>
      <w:r>
        <w:rPr>
          <w:rFonts w:eastAsiaTheme="minorEastAsia"/>
          <w:lang w:val="es-PA" w:eastAsia="es-PA"/>
        </w:rPr>
        <w:t>2</w:t>
      </w:r>
      <w:r w:rsidR="002F40B9" w:rsidRPr="0094366F">
        <w:rPr>
          <w:rFonts w:eastAsiaTheme="minorEastAsia"/>
          <w:lang w:val="es-PA" w:eastAsia="es-PA"/>
        </w:rPr>
        <w:t xml:space="preserve"> </w:t>
      </w:r>
      <w:r w:rsidR="00FF7FB4" w:rsidRPr="0094366F">
        <w:rPr>
          <w:rFonts w:eastAsiaTheme="minorEastAsia"/>
          <w:lang w:val="es-PA" w:eastAsia="es-PA"/>
        </w:rPr>
        <w:t xml:space="preserve">Situación </w:t>
      </w:r>
      <w:r w:rsidR="00F12C1E" w:rsidRPr="008131CF">
        <w:t>d</w:t>
      </w:r>
      <w:r w:rsidR="00FF7FB4" w:rsidRPr="008131CF">
        <w:t>emográfica</w:t>
      </w:r>
      <w:bookmarkEnd w:id="5"/>
    </w:p>
    <w:p w14:paraId="0D9B4ABE" w14:textId="77777777" w:rsidR="00FF7FB4" w:rsidRPr="0094366F" w:rsidRDefault="00FF7FB4" w:rsidP="00E01055">
      <w:pPr>
        <w:spacing w:after="0" w:line="240" w:lineRule="auto"/>
        <w:jc w:val="both"/>
        <w:rPr>
          <w:rFonts w:eastAsiaTheme="minorEastAsia" w:cstheme="minorHAnsi"/>
          <w:color w:val="000000" w:themeColor="text1"/>
          <w:kern w:val="24"/>
          <w:sz w:val="24"/>
          <w:szCs w:val="24"/>
          <w:lang w:val="es-PA" w:eastAsia="es-PA"/>
        </w:rPr>
      </w:pPr>
    </w:p>
    <w:p w14:paraId="198F1A0A" w14:textId="77777777" w:rsidR="00FF7FB4" w:rsidRPr="0094366F" w:rsidRDefault="00F12C1E" w:rsidP="00E01055">
      <w:pPr>
        <w:spacing w:after="0" w:line="240" w:lineRule="auto"/>
        <w:jc w:val="both"/>
        <w:rPr>
          <w:rFonts w:eastAsiaTheme="minorEastAsia" w:cstheme="minorHAnsi"/>
          <w:color w:val="000000" w:themeColor="text1"/>
          <w:kern w:val="24"/>
          <w:sz w:val="24"/>
          <w:szCs w:val="24"/>
          <w:lang w:val="es-SV" w:eastAsia="es-PA"/>
        </w:rPr>
      </w:pPr>
      <w:r w:rsidRPr="0094366F">
        <w:rPr>
          <w:rFonts w:eastAsiaTheme="minorEastAsia" w:cstheme="minorHAnsi"/>
          <w:color w:val="000000" w:themeColor="text1"/>
          <w:kern w:val="24"/>
          <w:sz w:val="24"/>
          <w:szCs w:val="24"/>
          <w:lang w:val="es-SV" w:eastAsia="es-PA"/>
        </w:rPr>
        <w:t>La Encuesta de Hogares y Propósitos Múltiples (EHPM) del Ministerio de Economía, correspondiente a 2016, reportó que la población total del país fue de 6,522,419 personas, de las cuales 61.7% residen en el área urbana y 38.3% en la rural. En el Área Metropolitana de San Salvador (AMSS) se concentra el 27.2% del total de la población del país, es decir 1,773,557 habitantes. La población es mayoritariamente joven: el 54.0% de la población es menor de 30 años, mientras que el 12.4% tiene una edad de 60 años y más. Al diferenciar la población por sexo, las mujeres representan el 52.7% de la población total y los hombres el 47.3%; obteniéndose un índice de masculinidad de 0.90.</w:t>
      </w:r>
    </w:p>
    <w:p w14:paraId="21E6C242" w14:textId="77777777" w:rsidR="00FF7FB4" w:rsidRPr="0094366F" w:rsidRDefault="00FF7FB4" w:rsidP="00E01055">
      <w:pPr>
        <w:spacing w:after="0" w:line="240" w:lineRule="auto"/>
        <w:jc w:val="both"/>
        <w:rPr>
          <w:rFonts w:eastAsiaTheme="minorEastAsia" w:cstheme="minorHAnsi"/>
          <w:color w:val="000000" w:themeColor="text1"/>
          <w:kern w:val="24"/>
          <w:sz w:val="24"/>
          <w:szCs w:val="24"/>
          <w:lang w:val="es-PA" w:eastAsia="es-PA"/>
        </w:rPr>
      </w:pPr>
    </w:p>
    <w:p w14:paraId="2CB7228A" w14:textId="77777777" w:rsidR="00F12C1E" w:rsidRPr="0094366F" w:rsidRDefault="00F12C1E" w:rsidP="00F12C1E">
      <w:pPr>
        <w:spacing w:after="0" w:line="240" w:lineRule="auto"/>
        <w:jc w:val="both"/>
        <w:rPr>
          <w:rFonts w:eastAsiaTheme="minorEastAsia" w:cstheme="minorHAnsi"/>
          <w:color w:val="000000" w:themeColor="text1"/>
          <w:kern w:val="24"/>
          <w:sz w:val="24"/>
          <w:szCs w:val="24"/>
          <w:lang w:val="es-SV" w:eastAsia="es-PA"/>
        </w:rPr>
      </w:pPr>
      <w:r w:rsidRPr="0094366F">
        <w:rPr>
          <w:rFonts w:eastAsiaTheme="minorEastAsia" w:cstheme="minorHAnsi"/>
          <w:color w:val="000000" w:themeColor="text1"/>
          <w:kern w:val="24"/>
          <w:sz w:val="24"/>
          <w:szCs w:val="24"/>
          <w:lang w:val="es-SV" w:eastAsia="es-PA"/>
        </w:rPr>
        <w:t>La tasa de analfabetismo (calculada con la población mayor de 10 años) es del 10.8% a nivel nacional. Por sexo, la tasa de analfabetismo de la población femenina es de 12.5%, mientras que para la masculina es del 8.8%, registrando una brecha de 3.7 puntos porcentuales.</w:t>
      </w:r>
    </w:p>
    <w:p w14:paraId="08B4C354" w14:textId="77777777" w:rsidR="00F12C1E" w:rsidRPr="0094366F" w:rsidRDefault="00F12C1E" w:rsidP="00F12C1E">
      <w:pPr>
        <w:spacing w:after="0" w:line="240" w:lineRule="auto"/>
        <w:jc w:val="both"/>
        <w:rPr>
          <w:rFonts w:eastAsiaTheme="minorEastAsia" w:cstheme="minorHAnsi"/>
          <w:color w:val="000000" w:themeColor="text1"/>
          <w:kern w:val="24"/>
          <w:sz w:val="24"/>
          <w:szCs w:val="24"/>
          <w:lang w:val="es-SV" w:eastAsia="es-PA"/>
        </w:rPr>
      </w:pPr>
    </w:p>
    <w:p w14:paraId="19B63407" w14:textId="77777777" w:rsidR="00FF7FB4" w:rsidRPr="0094366F" w:rsidRDefault="00F12C1E" w:rsidP="00F12C1E">
      <w:pPr>
        <w:spacing w:after="0" w:line="240" w:lineRule="auto"/>
        <w:jc w:val="both"/>
        <w:rPr>
          <w:rFonts w:eastAsiaTheme="minorEastAsia" w:cstheme="minorHAnsi"/>
          <w:color w:val="000000" w:themeColor="text1"/>
          <w:kern w:val="24"/>
          <w:sz w:val="24"/>
          <w:szCs w:val="24"/>
          <w:lang w:val="es-SV" w:eastAsia="es-PA"/>
        </w:rPr>
      </w:pPr>
      <w:r w:rsidRPr="0094366F">
        <w:rPr>
          <w:rFonts w:eastAsiaTheme="minorEastAsia" w:cstheme="minorHAnsi"/>
          <w:color w:val="000000" w:themeColor="text1"/>
          <w:kern w:val="24"/>
          <w:sz w:val="24"/>
          <w:szCs w:val="24"/>
          <w:lang w:val="es-SV" w:eastAsia="es-PA"/>
        </w:rPr>
        <w:t>A nivel nacional, la escolaridad promedio por sexo es de 6.9 grados para los hombres y 6.7 para las mujeres. En el área urbana, la escolaridad promedio de los hombres es de 8.1 grados y de las mujeres de 7.7; en la zona rural, la de los hombres es de 5.1 grados y de las mujeres de 4.9 grados.</w:t>
      </w:r>
    </w:p>
    <w:p w14:paraId="7DF6A118" w14:textId="77777777" w:rsidR="00F12C1E" w:rsidRPr="0094366F" w:rsidRDefault="00F12C1E" w:rsidP="00F12C1E">
      <w:pPr>
        <w:spacing w:after="0" w:line="240" w:lineRule="auto"/>
        <w:jc w:val="both"/>
        <w:rPr>
          <w:rFonts w:eastAsiaTheme="minorEastAsia" w:cstheme="minorHAnsi"/>
          <w:color w:val="000000" w:themeColor="text1"/>
          <w:kern w:val="24"/>
          <w:sz w:val="24"/>
          <w:szCs w:val="24"/>
          <w:lang w:val="es-SV" w:eastAsia="es-PA"/>
        </w:rPr>
      </w:pPr>
    </w:p>
    <w:p w14:paraId="798F0A87" w14:textId="77777777" w:rsidR="00390F8A" w:rsidRPr="0094366F" w:rsidRDefault="00390F8A" w:rsidP="00390F8A">
      <w:pPr>
        <w:spacing w:after="0" w:line="240" w:lineRule="auto"/>
        <w:jc w:val="both"/>
        <w:rPr>
          <w:rFonts w:eastAsiaTheme="minorEastAsia" w:cstheme="minorHAnsi"/>
          <w:color w:val="000000" w:themeColor="text1"/>
          <w:kern w:val="24"/>
          <w:sz w:val="24"/>
          <w:szCs w:val="24"/>
          <w:lang w:val="es-SV" w:eastAsia="es-PA"/>
        </w:rPr>
      </w:pPr>
      <w:r w:rsidRPr="0094366F">
        <w:rPr>
          <w:rFonts w:eastAsiaTheme="minorEastAsia" w:cstheme="minorHAnsi"/>
          <w:color w:val="000000" w:themeColor="text1"/>
          <w:kern w:val="24"/>
          <w:sz w:val="24"/>
          <w:szCs w:val="24"/>
          <w:lang w:val="es-SV" w:eastAsia="es-PA"/>
        </w:rPr>
        <w:t>La situación de violencia en El Salvador afecta de manera negativa la calidad de vida de la ciudadanía. Se ha evidenciado que el número de homicidios anuales ha sufrido un incremento, ya que en el año 2014 fueron 3,921 homicidios, en el 2015 fueron 6,656 homicidios y en el 2016 fueron 5,269, en el 2017 se evidenció un descenso con 3,947 homicidios.  También se encuentran en alza otras expresiones de violencia como extorsiones, robos, personas desaparecidas, violencia intrafamiliar, entre otras. Según el Índice global de criminalidad de 2016, El Salvador se encuentra entre los países más violentos del mundo.</w:t>
      </w:r>
    </w:p>
    <w:p w14:paraId="7F93E423" w14:textId="77777777" w:rsidR="00390F8A" w:rsidRPr="0094366F" w:rsidRDefault="00390F8A" w:rsidP="00390F8A">
      <w:pPr>
        <w:spacing w:after="0" w:line="240" w:lineRule="auto"/>
        <w:jc w:val="both"/>
        <w:rPr>
          <w:rFonts w:eastAsiaTheme="minorEastAsia" w:cstheme="minorHAnsi"/>
          <w:color w:val="000000" w:themeColor="text1"/>
          <w:kern w:val="24"/>
          <w:sz w:val="24"/>
          <w:szCs w:val="24"/>
          <w:lang w:val="es-SV" w:eastAsia="es-PA"/>
        </w:rPr>
      </w:pPr>
    </w:p>
    <w:p w14:paraId="67A3FFBC" w14:textId="77777777" w:rsidR="00390F8A" w:rsidRPr="0094366F" w:rsidRDefault="00390F8A" w:rsidP="00390F8A">
      <w:pPr>
        <w:spacing w:after="0" w:line="240" w:lineRule="auto"/>
        <w:jc w:val="both"/>
        <w:rPr>
          <w:rFonts w:eastAsiaTheme="minorEastAsia" w:cstheme="minorHAnsi"/>
          <w:color w:val="000000" w:themeColor="text1"/>
          <w:kern w:val="24"/>
          <w:sz w:val="24"/>
          <w:szCs w:val="24"/>
          <w:lang w:val="es-SV" w:eastAsia="es-PA"/>
        </w:rPr>
      </w:pPr>
      <w:r w:rsidRPr="0094366F">
        <w:rPr>
          <w:rFonts w:eastAsiaTheme="minorEastAsia" w:cstheme="minorHAnsi"/>
          <w:color w:val="000000" w:themeColor="text1"/>
          <w:kern w:val="24"/>
          <w:sz w:val="24"/>
          <w:szCs w:val="24"/>
          <w:lang w:val="es-SV" w:eastAsia="es-PA"/>
        </w:rPr>
        <w:t>El cuanto a la medición del Índice de Desarrollo Humano, El Salvador logró un promedio de 0.68, y se coloca en la posición 117 de 188 economías del mundo, mientras que, en el informe de un año anterior, 2015, ocupó el eslabón 116, con una ponderación de 0.66. De acuerdo al PNUD el Índice de Desarrollo Humano ha crecido en 26 años en un 28%. El Salvador sigue siendo considerado como un país con un desarrollo humano medio.</w:t>
      </w:r>
    </w:p>
    <w:p w14:paraId="1996B43A" w14:textId="77777777" w:rsidR="00390F8A" w:rsidRPr="0094366F" w:rsidRDefault="00390F8A" w:rsidP="00F12C1E">
      <w:pPr>
        <w:spacing w:after="0" w:line="240" w:lineRule="auto"/>
        <w:jc w:val="both"/>
        <w:rPr>
          <w:rFonts w:eastAsiaTheme="minorEastAsia" w:cstheme="minorHAnsi"/>
          <w:color w:val="000000" w:themeColor="text1"/>
          <w:kern w:val="24"/>
          <w:sz w:val="24"/>
          <w:szCs w:val="24"/>
          <w:lang w:val="es-SV" w:eastAsia="es-PA"/>
        </w:rPr>
      </w:pPr>
    </w:p>
    <w:p w14:paraId="458CE23F" w14:textId="77777777" w:rsidR="00F12C1E" w:rsidRPr="0094366F" w:rsidRDefault="00FA25A6" w:rsidP="008131CF">
      <w:pPr>
        <w:pStyle w:val="Ttulo2"/>
        <w:rPr>
          <w:rFonts w:eastAsiaTheme="minorEastAsia"/>
          <w:lang w:val="es-SV" w:eastAsia="es-PA"/>
        </w:rPr>
      </w:pPr>
      <w:bookmarkStart w:id="6" w:name="_Toc15275125"/>
      <w:r>
        <w:rPr>
          <w:rFonts w:eastAsiaTheme="minorEastAsia"/>
          <w:lang w:val="es-SV" w:eastAsia="es-PA"/>
        </w:rPr>
        <w:t>3.3</w:t>
      </w:r>
      <w:r w:rsidR="002F40B9" w:rsidRPr="0094366F">
        <w:rPr>
          <w:rFonts w:eastAsiaTheme="minorEastAsia"/>
          <w:lang w:val="es-SV" w:eastAsia="es-PA"/>
        </w:rPr>
        <w:t xml:space="preserve"> </w:t>
      </w:r>
      <w:r w:rsidR="00F12C1E" w:rsidRPr="0094366F">
        <w:rPr>
          <w:rFonts w:eastAsiaTheme="minorEastAsia"/>
          <w:lang w:val="es-SV" w:eastAsia="es-PA"/>
        </w:rPr>
        <w:t xml:space="preserve">Panorama </w:t>
      </w:r>
      <w:r w:rsidR="00F12C1E" w:rsidRPr="008131CF">
        <w:t>macroeconómico</w:t>
      </w:r>
      <w:r w:rsidR="00F12C1E" w:rsidRPr="0094366F">
        <w:rPr>
          <w:rFonts w:eastAsiaTheme="minorEastAsia"/>
          <w:lang w:val="es-SV" w:eastAsia="es-PA"/>
        </w:rPr>
        <w:t xml:space="preserve"> y perspec</w:t>
      </w:r>
      <w:r w:rsidR="00390F8A" w:rsidRPr="0094366F">
        <w:rPr>
          <w:rFonts w:eastAsiaTheme="minorEastAsia"/>
          <w:lang w:val="es-SV" w:eastAsia="es-PA"/>
        </w:rPr>
        <w:t>tivas económicas</w:t>
      </w:r>
      <w:bookmarkEnd w:id="6"/>
    </w:p>
    <w:p w14:paraId="48D0682C" w14:textId="77777777" w:rsidR="00390F8A" w:rsidRPr="0094366F" w:rsidRDefault="00390F8A" w:rsidP="00F12C1E">
      <w:pPr>
        <w:spacing w:after="0" w:line="240" w:lineRule="auto"/>
        <w:jc w:val="both"/>
        <w:rPr>
          <w:rFonts w:eastAsiaTheme="minorEastAsia" w:cstheme="minorHAnsi"/>
          <w:b/>
          <w:color w:val="000000" w:themeColor="text1"/>
          <w:kern w:val="24"/>
          <w:sz w:val="24"/>
          <w:szCs w:val="24"/>
          <w:lang w:val="es-SV" w:eastAsia="es-PA"/>
        </w:rPr>
      </w:pPr>
    </w:p>
    <w:p w14:paraId="7E393F4A" w14:textId="77777777" w:rsidR="00F51C26" w:rsidRPr="0094366F" w:rsidRDefault="00F51C26" w:rsidP="00F51C26">
      <w:pPr>
        <w:spacing w:after="0" w:line="240" w:lineRule="auto"/>
        <w:jc w:val="both"/>
        <w:rPr>
          <w:rFonts w:eastAsiaTheme="minorEastAsia" w:cstheme="minorHAnsi"/>
          <w:color w:val="000000" w:themeColor="text1"/>
          <w:kern w:val="24"/>
          <w:sz w:val="24"/>
          <w:szCs w:val="24"/>
          <w:lang w:val="es-SV" w:eastAsia="es-PA"/>
        </w:rPr>
      </w:pPr>
      <w:r w:rsidRPr="0094366F">
        <w:rPr>
          <w:rFonts w:eastAsiaTheme="minorEastAsia" w:cstheme="minorHAnsi"/>
          <w:color w:val="000000" w:themeColor="text1"/>
          <w:kern w:val="24"/>
          <w:sz w:val="24"/>
          <w:szCs w:val="24"/>
          <w:lang w:val="es-SV" w:eastAsia="es-PA"/>
        </w:rPr>
        <w:t xml:space="preserve">El Presupuesto General del Estado comprende la estimación de los ingresos que recibirá el gobierno en concepto de impuestos, multas, arrendamientos de activos, donaciones, préstamos internos y externos, etc. los cuales financiarán los gastos para satisfacer las necesidades de la población. Ambas estimaciones se hacen para un ejercicio financiero fiscal que inicia el 01 de enero y finaliza el 31 de diciembre, y son expresadas en unidades monetarias, es decir en términos de dinero. </w:t>
      </w:r>
    </w:p>
    <w:p w14:paraId="753DFBE1" w14:textId="77777777" w:rsidR="00F51C26" w:rsidRPr="0094366F" w:rsidRDefault="00F51C26" w:rsidP="00F51C26">
      <w:pPr>
        <w:spacing w:after="0" w:line="240" w:lineRule="auto"/>
        <w:jc w:val="both"/>
        <w:rPr>
          <w:rFonts w:eastAsiaTheme="minorEastAsia" w:cstheme="minorHAnsi"/>
          <w:color w:val="000000" w:themeColor="text1"/>
          <w:kern w:val="24"/>
          <w:sz w:val="24"/>
          <w:szCs w:val="24"/>
          <w:lang w:val="es-SV" w:eastAsia="es-PA"/>
        </w:rPr>
      </w:pPr>
    </w:p>
    <w:p w14:paraId="65F4ECA2" w14:textId="77777777" w:rsidR="00390F8A" w:rsidRPr="0094366F" w:rsidRDefault="00F51C26" w:rsidP="00F51C26">
      <w:pPr>
        <w:spacing w:after="0" w:line="240" w:lineRule="auto"/>
        <w:jc w:val="both"/>
        <w:rPr>
          <w:rFonts w:eastAsiaTheme="minorEastAsia" w:cstheme="minorHAnsi"/>
          <w:color w:val="000000" w:themeColor="text1"/>
          <w:kern w:val="24"/>
          <w:sz w:val="24"/>
          <w:szCs w:val="24"/>
          <w:lang w:val="es-SV" w:eastAsia="es-PA"/>
        </w:rPr>
      </w:pPr>
      <w:r w:rsidRPr="0094366F">
        <w:rPr>
          <w:rFonts w:eastAsiaTheme="minorEastAsia" w:cstheme="minorHAnsi"/>
          <w:color w:val="000000" w:themeColor="text1"/>
          <w:kern w:val="24"/>
          <w:sz w:val="24"/>
          <w:szCs w:val="24"/>
          <w:lang w:val="es-SV" w:eastAsia="es-PA"/>
        </w:rPr>
        <w:t>En El Salvador existen los denominados Ingresos por Contribuciones Especiales, los cuales son los aportes que cierto sector de la población paga en concepto de contribuciones otorgadas por leyes especiales para el financiamiento de actividades de beneficio público, representando el 5.6% del total de ingresos estimados.</w:t>
      </w:r>
    </w:p>
    <w:p w14:paraId="0026F379" w14:textId="77777777" w:rsidR="00F51C26" w:rsidRPr="0094366F" w:rsidRDefault="00F51C26" w:rsidP="00F51C26">
      <w:pPr>
        <w:spacing w:after="0" w:line="240" w:lineRule="auto"/>
        <w:jc w:val="both"/>
        <w:rPr>
          <w:rFonts w:eastAsiaTheme="minorEastAsia" w:cstheme="minorHAnsi"/>
          <w:color w:val="000000" w:themeColor="text1"/>
          <w:kern w:val="24"/>
          <w:sz w:val="24"/>
          <w:szCs w:val="24"/>
          <w:lang w:val="es-SV" w:eastAsia="es-PA"/>
        </w:rPr>
      </w:pPr>
    </w:p>
    <w:p w14:paraId="71571CA8" w14:textId="77777777" w:rsidR="00F51C26" w:rsidRDefault="00F51C26" w:rsidP="00F51C26">
      <w:pPr>
        <w:spacing w:after="0" w:line="240" w:lineRule="auto"/>
        <w:jc w:val="both"/>
        <w:rPr>
          <w:rFonts w:eastAsiaTheme="minorEastAsia" w:cstheme="minorHAnsi"/>
          <w:color w:val="000000" w:themeColor="text1"/>
          <w:kern w:val="24"/>
          <w:sz w:val="24"/>
          <w:szCs w:val="24"/>
          <w:lang w:eastAsia="es-PA"/>
        </w:rPr>
      </w:pPr>
      <w:r w:rsidRPr="0094366F">
        <w:rPr>
          <w:rFonts w:eastAsiaTheme="minorEastAsia" w:cstheme="minorHAnsi"/>
          <w:color w:val="000000" w:themeColor="text1"/>
          <w:kern w:val="24"/>
          <w:sz w:val="24"/>
          <w:szCs w:val="24"/>
          <w:lang w:eastAsia="es-PA"/>
        </w:rPr>
        <w:t xml:space="preserve">Durante el período 2009-2016, los ingresos totales se incrementaron en 45.4%, al pasar de $3,626.4 millones a $5,343.7 millones. Ese crecimiento estuvo influido por la recuperación de la economía posterior a la recesión y se reflejó en altas tasas relativas de variación hasta 2013; los incrementos posteriores fueron moderados; para 2016 se registró un crecimiento de 4.3%. El moderado efecto de este crecimiento se refleja en su evolución en términos del </w:t>
      </w:r>
      <w:r w:rsidRPr="0094366F">
        <w:rPr>
          <w:rFonts w:eastAsiaTheme="minorEastAsia" w:cstheme="minorHAnsi"/>
          <w:color w:val="000000" w:themeColor="text1"/>
          <w:kern w:val="24"/>
          <w:sz w:val="24"/>
          <w:szCs w:val="24"/>
          <w:lang w:eastAsia="es-PA"/>
        </w:rPr>
        <w:lastRenderedPageBreak/>
        <w:t>Producto Interno Bruto (PIB): el avance de 2.5 puntos porcentuales (pp), se presentó entre 2010 y 2013; en los años siguientes se redujo en 0.5 pp, lo cual ubicaría los ingresos en 19.9% del PIB en 2016. Los ingresos totales a diciembre de 2017 preliminares alcanzaron un monto de millones, presentando un crecimiento de 6.6% con respecto al año anterior; dicho aumento se debe principalmente al efecto combinado entre un crecimiento en los Ingresos tributarios y no tributarios que en conjunto incrementaron $361.5 millones y a la reducción del Superávit de Operación de las Empresas Públicas y Donaciones no fueron significativas sumando ambas $7.3 millones. Como porcentaje del PIB los ingresos totales representaron un 23.0%, siendo mayor en 0.7 puntos porcentuales a la meta del programa 2017 y similar al resultado obtenido en el año 2016.</w:t>
      </w:r>
    </w:p>
    <w:p w14:paraId="35F33F9C" w14:textId="77777777" w:rsidR="00384EF8" w:rsidRDefault="00384EF8" w:rsidP="00F51C26">
      <w:pPr>
        <w:spacing w:after="0" w:line="240" w:lineRule="auto"/>
        <w:jc w:val="both"/>
        <w:rPr>
          <w:rFonts w:eastAsiaTheme="minorEastAsia" w:cstheme="minorHAnsi"/>
          <w:color w:val="000000" w:themeColor="text1"/>
          <w:kern w:val="24"/>
          <w:sz w:val="24"/>
          <w:szCs w:val="24"/>
          <w:lang w:eastAsia="es-PA"/>
        </w:rPr>
      </w:pPr>
    </w:p>
    <w:p w14:paraId="4FDC1F29" w14:textId="77777777" w:rsidR="00384EF8" w:rsidRPr="007E0133" w:rsidRDefault="00384EF8" w:rsidP="00384EF8">
      <w:pPr>
        <w:spacing w:after="0"/>
        <w:jc w:val="both"/>
        <w:rPr>
          <w:b/>
        </w:rPr>
      </w:pPr>
      <w:r w:rsidRPr="007E0133">
        <w:rPr>
          <w:b/>
        </w:rPr>
        <w:t xml:space="preserve">Gráfica 1. Producto Interno Bruto trimestral. </w:t>
      </w:r>
    </w:p>
    <w:p w14:paraId="4AA4396B" w14:textId="77777777" w:rsidR="00384EF8" w:rsidRPr="00384EF8" w:rsidRDefault="00384EF8" w:rsidP="00384EF8">
      <w:pPr>
        <w:spacing w:after="0"/>
        <w:jc w:val="both"/>
      </w:pPr>
      <w:r w:rsidRPr="00CC1D85">
        <w:rPr>
          <w:sz w:val="16"/>
        </w:rPr>
        <w:t>Tasas de crecimiento anual punto a punto.</w:t>
      </w:r>
    </w:p>
    <w:p w14:paraId="193B8954" w14:textId="77777777" w:rsidR="00384EF8" w:rsidRPr="00CC1D85" w:rsidRDefault="00384EF8" w:rsidP="00384EF8">
      <w:pPr>
        <w:spacing w:after="0"/>
        <w:jc w:val="both"/>
        <w:rPr>
          <w:sz w:val="16"/>
        </w:rPr>
      </w:pPr>
      <w:r w:rsidRPr="00CC1D85">
        <w:rPr>
          <w:sz w:val="16"/>
        </w:rPr>
        <w:t>Base 2005, año de referencia 2014.</w:t>
      </w:r>
    </w:p>
    <w:p w14:paraId="1C100B9F" w14:textId="77777777" w:rsidR="00384EF8" w:rsidRDefault="00056010" w:rsidP="00384EF8">
      <w:pPr>
        <w:spacing w:after="0"/>
        <w:jc w:val="both"/>
      </w:pPr>
      <w:r>
        <w:rPr>
          <w:noProof/>
          <w:lang w:val="es-SV" w:eastAsia="es-SV"/>
        </w:rPr>
        <w:drawing>
          <wp:anchor distT="0" distB="0" distL="114300" distR="114300" simplePos="0" relativeHeight="251664384" behindDoc="1" locked="0" layoutInCell="1" allowOverlap="1" wp14:anchorId="0C229751" wp14:editId="2613A970">
            <wp:simplePos x="0" y="0"/>
            <wp:positionH relativeFrom="column">
              <wp:posOffset>-127635</wp:posOffset>
            </wp:positionH>
            <wp:positionV relativeFrom="margin">
              <wp:posOffset>2661920</wp:posOffset>
            </wp:positionV>
            <wp:extent cx="6496685" cy="2773045"/>
            <wp:effectExtent l="0" t="0" r="0" b="825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34076" t="33907" r="8002" b="19861"/>
                    <a:stretch>
                      <a:fillRect/>
                    </a:stretch>
                  </pic:blipFill>
                  <pic:spPr bwMode="auto">
                    <a:xfrm>
                      <a:off x="0" y="0"/>
                      <a:ext cx="6496685" cy="2773045"/>
                    </a:xfrm>
                    <a:prstGeom prst="rect">
                      <a:avLst/>
                    </a:prstGeom>
                    <a:noFill/>
                    <a:ln w="9525">
                      <a:noFill/>
                      <a:miter lim="800000"/>
                      <a:headEnd/>
                      <a:tailEnd/>
                    </a:ln>
                  </pic:spPr>
                </pic:pic>
              </a:graphicData>
            </a:graphic>
            <wp14:sizeRelV relativeFrom="margin">
              <wp14:pctHeight>0</wp14:pctHeight>
            </wp14:sizeRelV>
          </wp:anchor>
        </w:drawing>
      </w:r>
    </w:p>
    <w:p w14:paraId="2E9A9DC4" w14:textId="77777777" w:rsidR="00384EF8" w:rsidRDefault="00384EF8" w:rsidP="00384EF8">
      <w:pPr>
        <w:jc w:val="both"/>
      </w:pPr>
    </w:p>
    <w:p w14:paraId="7CA33B38" w14:textId="77777777" w:rsidR="00384EF8" w:rsidRDefault="00384EF8" w:rsidP="00384EF8">
      <w:pPr>
        <w:jc w:val="both"/>
      </w:pPr>
    </w:p>
    <w:p w14:paraId="1D23DD70" w14:textId="77777777" w:rsidR="00384EF8" w:rsidRDefault="00384EF8" w:rsidP="00384EF8">
      <w:pPr>
        <w:jc w:val="both"/>
      </w:pPr>
    </w:p>
    <w:p w14:paraId="03F2E28A" w14:textId="77777777" w:rsidR="00384EF8" w:rsidRDefault="00384EF8" w:rsidP="00384EF8">
      <w:pPr>
        <w:jc w:val="both"/>
      </w:pPr>
    </w:p>
    <w:p w14:paraId="17E97B3D" w14:textId="77777777" w:rsidR="00384EF8" w:rsidRDefault="00384EF8" w:rsidP="00384EF8">
      <w:pPr>
        <w:jc w:val="both"/>
      </w:pPr>
    </w:p>
    <w:p w14:paraId="732981FD" w14:textId="77777777" w:rsidR="00384EF8" w:rsidRDefault="00384EF8" w:rsidP="00384EF8">
      <w:pPr>
        <w:jc w:val="both"/>
      </w:pPr>
    </w:p>
    <w:p w14:paraId="1A6CB4E8" w14:textId="77777777" w:rsidR="00384EF8" w:rsidRDefault="00384EF8" w:rsidP="00384EF8">
      <w:pPr>
        <w:jc w:val="both"/>
      </w:pPr>
    </w:p>
    <w:p w14:paraId="5764F4A2" w14:textId="77777777" w:rsidR="00384EF8" w:rsidRDefault="00384EF8" w:rsidP="00384EF8">
      <w:pPr>
        <w:jc w:val="both"/>
      </w:pPr>
    </w:p>
    <w:p w14:paraId="5709C836" w14:textId="77777777" w:rsidR="00384EF8" w:rsidRDefault="00384EF8" w:rsidP="00384EF8">
      <w:pPr>
        <w:jc w:val="both"/>
      </w:pPr>
    </w:p>
    <w:p w14:paraId="2D52A5E5" w14:textId="77777777" w:rsidR="00384EF8" w:rsidRDefault="00384EF8" w:rsidP="00384EF8">
      <w:pPr>
        <w:jc w:val="both"/>
      </w:pPr>
    </w:p>
    <w:p w14:paraId="56B319B5" w14:textId="77777777" w:rsidR="00384EF8" w:rsidRDefault="00384EF8" w:rsidP="00384EF8">
      <w:pPr>
        <w:jc w:val="both"/>
      </w:pPr>
      <w:r>
        <w:t>Fuente: Base de Datos Económica-Financiera del Banco Central de Reserva.</w:t>
      </w:r>
    </w:p>
    <w:p w14:paraId="2FEE1497" w14:textId="77777777" w:rsidR="00F51C26" w:rsidRDefault="00F51C26" w:rsidP="00F51C26">
      <w:pPr>
        <w:spacing w:after="0" w:line="240" w:lineRule="auto"/>
        <w:jc w:val="both"/>
        <w:rPr>
          <w:rFonts w:eastAsiaTheme="minorEastAsia" w:cstheme="minorHAnsi"/>
          <w:color w:val="000000" w:themeColor="text1"/>
          <w:kern w:val="24"/>
          <w:sz w:val="24"/>
          <w:szCs w:val="24"/>
          <w:lang w:eastAsia="es-PA"/>
        </w:rPr>
      </w:pPr>
      <w:r w:rsidRPr="0094366F">
        <w:rPr>
          <w:rFonts w:eastAsiaTheme="minorEastAsia" w:cstheme="minorHAnsi"/>
          <w:color w:val="000000" w:themeColor="text1"/>
          <w:kern w:val="24"/>
          <w:sz w:val="24"/>
          <w:szCs w:val="24"/>
          <w:lang w:eastAsia="es-PA"/>
        </w:rPr>
        <w:t>La recaudación tributaria alcanzó un monto de $4,488.2 millones, mostrando un crecimiento anual de 5.9%, superior en $ 250.2 millones a la cifra alcanzada en el año 2016 y fue equivalente a una carga tributaria de 18.1% con respecto al PIB, siendo mayor en 0.4 puntos porcentuales al nivel alcanzado en diciembre 2016. Dicho comportamiento se explica principalmente por los incrementos en las recaudaciones de Impuesto al Valor Agregado (IVA) por $ 93.1 millones, y en el Impuesto sobre la Renta en $83.4 millones en ambos impuestos incluye los efectos de la Ley transitoria para facilitar el cumplimiento voluntario de obligaciones tributarias y aduaneras (Amnistía). Asimismo, a las Contribuciones Especiales a la Seguridad Pública que registraron un incremento de $ 59.8 millones.</w:t>
      </w:r>
    </w:p>
    <w:p w14:paraId="5B98A48B" w14:textId="77777777" w:rsidR="00056010" w:rsidRDefault="00056010" w:rsidP="00F51C26">
      <w:pPr>
        <w:spacing w:after="0" w:line="240" w:lineRule="auto"/>
        <w:jc w:val="both"/>
        <w:rPr>
          <w:rFonts w:eastAsiaTheme="minorEastAsia" w:cstheme="minorHAnsi"/>
          <w:color w:val="000000" w:themeColor="text1"/>
          <w:kern w:val="24"/>
          <w:sz w:val="24"/>
          <w:szCs w:val="24"/>
          <w:lang w:eastAsia="es-PA"/>
        </w:rPr>
      </w:pPr>
    </w:p>
    <w:p w14:paraId="09ED5179" w14:textId="77777777" w:rsidR="00056010" w:rsidRPr="0094366F" w:rsidRDefault="00056010" w:rsidP="00F51C26">
      <w:pPr>
        <w:spacing w:after="0" w:line="240" w:lineRule="auto"/>
        <w:jc w:val="both"/>
        <w:rPr>
          <w:rFonts w:eastAsiaTheme="minorEastAsia" w:cstheme="minorHAnsi"/>
          <w:color w:val="000000" w:themeColor="text1"/>
          <w:kern w:val="24"/>
          <w:sz w:val="24"/>
          <w:szCs w:val="24"/>
          <w:lang w:eastAsia="es-PA"/>
        </w:rPr>
      </w:pPr>
    </w:p>
    <w:p w14:paraId="705B54CA" w14:textId="77777777" w:rsidR="00F51C26" w:rsidRPr="0094366F" w:rsidRDefault="00F51C26" w:rsidP="00F51C26">
      <w:pPr>
        <w:jc w:val="both"/>
        <w:rPr>
          <w:rFonts w:cstheme="minorHAnsi"/>
          <w:sz w:val="24"/>
          <w:szCs w:val="24"/>
        </w:rPr>
      </w:pPr>
      <w:r w:rsidRPr="0094366F">
        <w:rPr>
          <w:rFonts w:cstheme="minorHAnsi"/>
          <w:sz w:val="24"/>
          <w:szCs w:val="24"/>
        </w:rPr>
        <w:lastRenderedPageBreak/>
        <w:t>La ejecución del gasto total del</w:t>
      </w:r>
      <w:r w:rsidR="00B0167F">
        <w:rPr>
          <w:rFonts w:cstheme="minorHAnsi"/>
          <w:sz w:val="24"/>
          <w:szCs w:val="24"/>
        </w:rPr>
        <w:t xml:space="preserve"> Sector Público No Financiero</w:t>
      </w:r>
      <w:r w:rsidRPr="0094366F">
        <w:rPr>
          <w:rFonts w:cstheme="minorHAnsi"/>
          <w:sz w:val="24"/>
          <w:szCs w:val="24"/>
        </w:rPr>
        <w:t xml:space="preserve"> SPNF al mes de diciembre de 2017 ascendió a $5,769.8 millones, con un incremento de $ 195.6 millones, con respecto al mismo período del año anterior, como producto de un aumento del gasto corriente de $269.1 millones y una disminución de $ 73.6 millones en los gastos de capital. El Gasto total representó en términos del PIB, un 23.3%, menor en 0.1 punto al resultado obtenido al mismo mes del año anterior. Los gastos corrientes del SPNF ascendieron a $ 5,026.6 millones, mostrando un crecimiento de 5.7%, asociado por aumentos en los rubros de Intereses, transferencias corrientes y remuneraciones. Como porcentaje del PIB el gasto corriente representa un 20.3%.</w:t>
      </w:r>
    </w:p>
    <w:p w14:paraId="7AD0AE4F" w14:textId="77777777" w:rsidR="00F51C26" w:rsidRPr="0094366F" w:rsidRDefault="00F51C26" w:rsidP="00F51C26">
      <w:pPr>
        <w:jc w:val="both"/>
        <w:rPr>
          <w:rFonts w:cstheme="minorHAnsi"/>
          <w:sz w:val="24"/>
          <w:szCs w:val="24"/>
        </w:rPr>
      </w:pPr>
      <w:r w:rsidRPr="0094366F">
        <w:rPr>
          <w:rFonts w:cstheme="minorHAnsi"/>
          <w:sz w:val="24"/>
          <w:szCs w:val="24"/>
        </w:rPr>
        <w:t>Los gastos de capital del SPNF a diciembre de 2017 alcanzaron un monto de $743.5 millones, experimentando un descenso de $73.6 millones, equivalente a 9.0% con respecto al mismo período de 2016, ocasionado básicamente por la caída de la inversión pública, siendo contrarrestado parcialmente por el incremento observado en las transferencias de capital en $17.7 millones.</w:t>
      </w:r>
    </w:p>
    <w:p w14:paraId="32BC0051" w14:textId="77777777" w:rsidR="00F51C26" w:rsidRPr="0094366F" w:rsidRDefault="00F51C26" w:rsidP="00F51C26">
      <w:pPr>
        <w:spacing w:after="0" w:line="240" w:lineRule="auto"/>
        <w:jc w:val="both"/>
        <w:rPr>
          <w:rFonts w:cstheme="minorHAnsi"/>
          <w:sz w:val="24"/>
          <w:szCs w:val="24"/>
        </w:rPr>
      </w:pPr>
      <w:r w:rsidRPr="0094366F">
        <w:rPr>
          <w:rFonts w:cstheme="minorHAnsi"/>
          <w:sz w:val="24"/>
          <w:szCs w:val="24"/>
        </w:rPr>
        <w:t>La Inversión pública del SPNF alcanzó un valor de $666.4 millones, menor en $ 91.3 millones con respecto a la Inversión del año anterior; representando un 2.7% del PIB, este resultado se debe en parte, por atrasos en la ejecución de Proyectos de Inversión en las Instituciones de Gobierno Central, Resto del Gobierno General y Empresas Públicas, producto del tiempo que toman en los procesos en las licitaciones públicas, capacidad institucional, disponibilidad de recursos en las diferentes fuentes de financiamiento, principalmente de préstamos externos contratados. Correspondiéndole a salud el 10.5% de la inversión total.</w:t>
      </w:r>
    </w:p>
    <w:p w14:paraId="7164E164" w14:textId="77777777" w:rsidR="00A256B8" w:rsidRPr="0094366F" w:rsidRDefault="00A256B8" w:rsidP="00F51C26">
      <w:pPr>
        <w:spacing w:after="0" w:line="240" w:lineRule="auto"/>
        <w:jc w:val="both"/>
        <w:rPr>
          <w:rFonts w:eastAsiaTheme="minorEastAsia" w:cstheme="minorHAnsi"/>
          <w:color w:val="000000" w:themeColor="text1"/>
          <w:kern w:val="24"/>
          <w:sz w:val="24"/>
          <w:szCs w:val="24"/>
          <w:lang w:eastAsia="es-PA"/>
        </w:rPr>
      </w:pPr>
    </w:p>
    <w:p w14:paraId="46279B7C" w14:textId="77777777" w:rsidR="00A256B8" w:rsidRPr="0094366F" w:rsidRDefault="00A256B8" w:rsidP="00A256B8">
      <w:pPr>
        <w:spacing w:after="0" w:line="240" w:lineRule="auto"/>
        <w:jc w:val="both"/>
        <w:rPr>
          <w:rFonts w:eastAsiaTheme="minorEastAsia" w:cstheme="minorHAnsi"/>
          <w:color w:val="000000" w:themeColor="text1"/>
          <w:kern w:val="24"/>
          <w:sz w:val="24"/>
          <w:szCs w:val="24"/>
          <w:lang w:val="es-SV" w:eastAsia="es-PA"/>
        </w:rPr>
      </w:pPr>
      <w:r w:rsidRPr="0094366F">
        <w:rPr>
          <w:rFonts w:eastAsiaTheme="minorEastAsia" w:cstheme="minorHAnsi"/>
          <w:color w:val="000000" w:themeColor="text1"/>
          <w:kern w:val="24"/>
          <w:sz w:val="24"/>
          <w:szCs w:val="24"/>
          <w:lang w:val="es-SV" w:eastAsia="es-PA"/>
        </w:rPr>
        <w:t xml:space="preserve">La Población Económicamente Activa (población que realiza alguna actividad económica u ofrece su fuerza de trabajo al mercado laboral) es del 58.6% representado por los hombres y el 41.4% por las mujeres. </w:t>
      </w:r>
    </w:p>
    <w:p w14:paraId="7884BC16" w14:textId="77777777" w:rsidR="00A256B8" w:rsidRPr="0094366F" w:rsidRDefault="00A256B8" w:rsidP="00A256B8">
      <w:pPr>
        <w:spacing w:after="0" w:line="240" w:lineRule="auto"/>
        <w:jc w:val="both"/>
        <w:rPr>
          <w:rFonts w:eastAsiaTheme="minorEastAsia" w:cstheme="minorHAnsi"/>
          <w:color w:val="000000" w:themeColor="text1"/>
          <w:kern w:val="24"/>
          <w:sz w:val="24"/>
          <w:szCs w:val="24"/>
          <w:lang w:val="es-SV" w:eastAsia="es-PA"/>
        </w:rPr>
      </w:pPr>
    </w:p>
    <w:p w14:paraId="1730823E" w14:textId="77777777" w:rsidR="00A256B8" w:rsidRPr="0094366F" w:rsidRDefault="00A256B8" w:rsidP="00A256B8">
      <w:pPr>
        <w:spacing w:after="0" w:line="240" w:lineRule="auto"/>
        <w:jc w:val="both"/>
        <w:rPr>
          <w:rFonts w:eastAsiaTheme="minorEastAsia" w:cstheme="minorHAnsi"/>
          <w:color w:val="000000" w:themeColor="text1"/>
          <w:kern w:val="24"/>
          <w:sz w:val="24"/>
          <w:szCs w:val="24"/>
          <w:lang w:val="es-SV" w:eastAsia="es-PA"/>
        </w:rPr>
      </w:pPr>
      <w:r w:rsidRPr="0094366F">
        <w:rPr>
          <w:rFonts w:eastAsiaTheme="minorEastAsia" w:cstheme="minorHAnsi"/>
          <w:color w:val="000000" w:themeColor="text1"/>
          <w:kern w:val="24"/>
          <w:sz w:val="24"/>
          <w:szCs w:val="24"/>
          <w:lang w:val="es-SV" w:eastAsia="es-PA"/>
        </w:rPr>
        <w:t>Para 2016 la tasa de ocupación (población económicamente activa que tiene un trabajo del cual obtiene una remuneración o ganancia o trabajan sin pago en dinero en un establecimiento de tipo familiar) es de 93%. Respecto de los salarios promedios mensuales, la EHPM 2016 registra que a nivel nacional fue de $302.16, percibiendo los hombres en promedio $326.92 mensuales y las mujeres $270.58, registrando una diferencia salarial de $56.36 a favor de la población masculina.</w:t>
      </w:r>
    </w:p>
    <w:p w14:paraId="3B014DE1" w14:textId="77777777" w:rsidR="00A256B8" w:rsidRPr="0094366F" w:rsidRDefault="00A256B8" w:rsidP="00A256B8">
      <w:pPr>
        <w:spacing w:after="0" w:line="240" w:lineRule="auto"/>
        <w:jc w:val="both"/>
        <w:rPr>
          <w:rFonts w:eastAsiaTheme="minorEastAsia" w:cstheme="minorHAnsi"/>
          <w:color w:val="000000" w:themeColor="text1"/>
          <w:kern w:val="24"/>
          <w:sz w:val="24"/>
          <w:szCs w:val="24"/>
          <w:lang w:val="es-SV" w:eastAsia="es-PA"/>
        </w:rPr>
      </w:pPr>
    </w:p>
    <w:p w14:paraId="3C1583E9" w14:textId="77777777" w:rsidR="00A256B8" w:rsidRPr="0094366F" w:rsidRDefault="00A256B8" w:rsidP="00A256B8">
      <w:pPr>
        <w:spacing w:after="0" w:line="240" w:lineRule="auto"/>
        <w:jc w:val="both"/>
        <w:rPr>
          <w:rFonts w:eastAsiaTheme="minorEastAsia" w:cstheme="minorHAnsi"/>
          <w:color w:val="000000" w:themeColor="text1"/>
          <w:kern w:val="24"/>
          <w:sz w:val="24"/>
          <w:szCs w:val="24"/>
          <w:lang w:val="es-SV" w:eastAsia="es-PA"/>
        </w:rPr>
      </w:pPr>
      <w:r w:rsidRPr="0094366F">
        <w:rPr>
          <w:rFonts w:eastAsiaTheme="minorEastAsia" w:cstheme="minorHAnsi"/>
          <w:color w:val="000000" w:themeColor="text1"/>
          <w:kern w:val="24"/>
          <w:sz w:val="24"/>
          <w:szCs w:val="24"/>
          <w:lang w:val="es-SV" w:eastAsia="es-PA"/>
        </w:rPr>
        <w:t>El ingreso promedio mensual de los hogares a nivel nacional es de $545.93; por área la diferencia es bastante marcada, ya que en el área urbana el promedio es de $646.99 y en el área rural es de $368.61.</w:t>
      </w:r>
    </w:p>
    <w:p w14:paraId="20724CF3" w14:textId="77777777" w:rsidR="00997B8F" w:rsidRDefault="00997B8F" w:rsidP="00E01055">
      <w:pPr>
        <w:spacing w:after="0" w:line="240" w:lineRule="auto"/>
        <w:jc w:val="both"/>
        <w:rPr>
          <w:rFonts w:eastAsiaTheme="minorEastAsia" w:cstheme="minorHAnsi"/>
          <w:color w:val="000000" w:themeColor="text1"/>
          <w:kern w:val="24"/>
          <w:sz w:val="24"/>
          <w:szCs w:val="24"/>
          <w:lang w:val="es-PA" w:eastAsia="es-PA"/>
        </w:rPr>
      </w:pPr>
    </w:p>
    <w:p w14:paraId="5BFECECE" w14:textId="77777777" w:rsidR="00056010" w:rsidRDefault="00056010" w:rsidP="00E01055">
      <w:pPr>
        <w:spacing w:after="0" w:line="240" w:lineRule="auto"/>
        <w:jc w:val="both"/>
        <w:rPr>
          <w:rFonts w:eastAsiaTheme="minorEastAsia" w:cstheme="minorHAnsi"/>
          <w:color w:val="000000" w:themeColor="text1"/>
          <w:kern w:val="24"/>
          <w:sz w:val="24"/>
          <w:szCs w:val="24"/>
          <w:lang w:val="es-PA" w:eastAsia="es-PA"/>
        </w:rPr>
      </w:pPr>
    </w:p>
    <w:p w14:paraId="5950AE71" w14:textId="77777777" w:rsidR="00056010" w:rsidRDefault="00056010" w:rsidP="00E01055">
      <w:pPr>
        <w:spacing w:after="0" w:line="240" w:lineRule="auto"/>
        <w:jc w:val="both"/>
        <w:rPr>
          <w:rFonts w:eastAsiaTheme="minorEastAsia" w:cstheme="minorHAnsi"/>
          <w:color w:val="000000" w:themeColor="text1"/>
          <w:kern w:val="24"/>
          <w:sz w:val="24"/>
          <w:szCs w:val="24"/>
          <w:lang w:val="es-PA" w:eastAsia="es-PA"/>
        </w:rPr>
      </w:pPr>
    </w:p>
    <w:p w14:paraId="07411DB0" w14:textId="77777777" w:rsidR="00056010" w:rsidRPr="0094366F" w:rsidRDefault="00056010" w:rsidP="00E01055">
      <w:pPr>
        <w:spacing w:after="0" w:line="240" w:lineRule="auto"/>
        <w:jc w:val="both"/>
        <w:rPr>
          <w:rFonts w:eastAsiaTheme="minorEastAsia" w:cstheme="minorHAnsi"/>
          <w:color w:val="000000" w:themeColor="text1"/>
          <w:kern w:val="24"/>
          <w:sz w:val="24"/>
          <w:szCs w:val="24"/>
          <w:lang w:val="es-PA" w:eastAsia="es-PA"/>
        </w:rPr>
      </w:pPr>
    </w:p>
    <w:p w14:paraId="681CAD58" w14:textId="77777777" w:rsidR="00A256B8" w:rsidRPr="0094366F" w:rsidRDefault="00FA25A6" w:rsidP="008131CF">
      <w:pPr>
        <w:pStyle w:val="Ttulo2"/>
        <w:rPr>
          <w:rFonts w:eastAsiaTheme="minorEastAsia"/>
          <w:lang w:val="es-PA" w:eastAsia="es-PA"/>
        </w:rPr>
      </w:pPr>
      <w:bookmarkStart w:id="7" w:name="_Toc15275126"/>
      <w:r>
        <w:rPr>
          <w:rFonts w:eastAsiaTheme="minorEastAsia"/>
          <w:lang w:val="es-PA" w:eastAsia="es-PA"/>
        </w:rPr>
        <w:lastRenderedPageBreak/>
        <w:t>3</w:t>
      </w:r>
      <w:r w:rsidR="002F40B9" w:rsidRPr="0094366F">
        <w:rPr>
          <w:rFonts w:eastAsiaTheme="minorEastAsia"/>
          <w:lang w:val="es-PA" w:eastAsia="es-PA"/>
        </w:rPr>
        <w:t>.</w:t>
      </w:r>
      <w:r>
        <w:rPr>
          <w:rFonts w:eastAsiaTheme="minorEastAsia"/>
          <w:lang w:val="es-PA" w:eastAsia="es-PA"/>
        </w:rPr>
        <w:t>4</w:t>
      </w:r>
      <w:r w:rsidR="002F40B9" w:rsidRPr="0094366F">
        <w:rPr>
          <w:rFonts w:eastAsiaTheme="minorEastAsia"/>
          <w:lang w:val="es-PA" w:eastAsia="es-PA"/>
        </w:rPr>
        <w:t xml:space="preserve"> </w:t>
      </w:r>
      <w:r w:rsidR="00A256B8" w:rsidRPr="008131CF">
        <w:t>Situación</w:t>
      </w:r>
      <w:r w:rsidR="00A256B8" w:rsidRPr="0094366F">
        <w:rPr>
          <w:rFonts w:eastAsiaTheme="minorEastAsia"/>
          <w:lang w:val="es-PA" w:eastAsia="es-PA"/>
        </w:rPr>
        <w:t xml:space="preserve"> de salud</w:t>
      </w:r>
      <w:bookmarkEnd w:id="7"/>
    </w:p>
    <w:p w14:paraId="2F3302F4" w14:textId="77777777" w:rsidR="00CD4A2F" w:rsidRPr="0094366F" w:rsidRDefault="00CD4A2F" w:rsidP="00E01055">
      <w:pPr>
        <w:spacing w:after="0" w:line="240" w:lineRule="auto"/>
        <w:jc w:val="both"/>
        <w:rPr>
          <w:rFonts w:eastAsiaTheme="minorEastAsia" w:cstheme="minorHAnsi"/>
          <w:b/>
          <w:color w:val="000000" w:themeColor="text1"/>
          <w:kern w:val="24"/>
          <w:sz w:val="24"/>
          <w:szCs w:val="24"/>
          <w:lang w:val="es-PA" w:eastAsia="es-PA"/>
        </w:rPr>
      </w:pPr>
    </w:p>
    <w:p w14:paraId="53051964" w14:textId="77777777" w:rsidR="00056010" w:rsidRDefault="00A256B8" w:rsidP="00056010">
      <w:pPr>
        <w:jc w:val="both"/>
        <w:rPr>
          <w:lang w:val="es-SV" w:eastAsia="es-PA"/>
        </w:rPr>
      </w:pPr>
      <w:r w:rsidRPr="0094366F">
        <w:rPr>
          <w:lang w:val="es-SV" w:eastAsia="es-PA"/>
        </w:rPr>
        <w:t xml:space="preserve">El 13.9% de la población padeció de alguna enfermedad, síntoma o lesión en el año 2016, de acuerdo a la Encuesta de Hogares y Propósitos Múltiples del Ministerio de Economía. La prevalencia de enfermedad en el área urbana es de 13.5% y en el área rural 14.7%. De la población que padeció alguna enfermedad, lesión o síntoma a nivel nacional el 58.4% consultó con un doctor, mientras que un 0.7% consultó con otro personal como enfermera (o) promotor(a) de salud, farmacéutico (a), curandero(a) o familiar o amigo(a), por otra parte, el 40.9% no consultó con nadie. </w:t>
      </w:r>
    </w:p>
    <w:p w14:paraId="05ABE780" w14:textId="77777777" w:rsidR="00A256B8" w:rsidRPr="0094366F" w:rsidRDefault="00A256B8" w:rsidP="00056010">
      <w:pPr>
        <w:jc w:val="both"/>
        <w:rPr>
          <w:lang w:val="es-SV" w:eastAsia="es-PA"/>
        </w:rPr>
      </w:pPr>
      <w:r w:rsidRPr="0094366F">
        <w:rPr>
          <w:lang w:val="es-SV" w:eastAsia="es-PA"/>
        </w:rPr>
        <w:t>De las personas que se enfermaron y consultaron con alguien, a nivel nacional el 50.8% lo hizo en una unidad de salud o casa de salud del MINSAL, el 11.2% consultó en un hospital del MINSAL, por otra parte, el 9.5% consultó en unidades del ISSS ya sea unidades médicas, clínicas comunales o empresariales, mientras que el 5.6% consultó en un hospital del ISSS. Por su parte el 17.2% de los que se enfermaron y consultaron lo hicieron en hospital o clínica particular, mientras que el 5.7% consultó en otros lugares como el hospital militar, bienestar magisterial, ONG, farmacias, clínica natural, etc.</w:t>
      </w:r>
    </w:p>
    <w:p w14:paraId="2EDCC8A2" w14:textId="77777777" w:rsidR="00A256B8" w:rsidRDefault="00A256B8" w:rsidP="00056010">
      <w:pPr>
        <w:jc w:val="both"/>
        <w:rPr>
          <w:lang w:val="es-SV" w:eastAsia="es-PA"/>
        </w:rPr>
      </w:pPr>
      <w:r w:rsidRPr="0094366F">
        <w:rPr>
          <w:lang w:val="es-SV" w:eastAsia="es-PA"/>
        </w:rPr>
        <w:t>En el año 2016</w:t>
      </w:r>
      <w:r w:rsidR="00CD4A2F" w:rsidRPr="0094366F">
        <w:rPr>
          <w:lang w:val="es-SV" w:eastAsia="es-PA"/>
        </w:rPr>
        <w:t>,</w:t>
      </w:r>
      <w:r w:rsidRPr="0094366F">
        <w:rPr>
          <w:lang w:val="es-SV" w:eastAsia="es-PA"/>
        </w:rPr>
        <w:t xml:space="preserve"> el 24.1% de la población total del país manifestó tener algún seguro médico</w:t>
      </w:r>
      <w:r w:rsidR="00CD4A2F" w:rsidRPr="0094366F">
        <w:rPr>
          <w:lang w:val="es-SV" w:eastAsia="es-PA"/>
        </w:rPr>
        <w:t>.</w:t>
      </w:r>
      <w:r w:rsidRPr="0094366F">
        <w:rPr>
          <w:lang w:val="es-SV" w:eastAsia="es-PA"/>
        </w:rPr>
        <w:t xml:space="preserve"> </w:t>
      </w:r>
      <w:r w:rsidR="00CD4A2F" w:rsidRPr="0094366F">
        <w:rPr>
          <w:lang w:val="es-SV" w:eastAsia="es-PA"/>
        </w:rPr>
        <w:t>E</w:t>
      </w:r>
      <w:r w:rsidRPr="0094366F">
        <w:rPr>
          <w:lang w:val="es-SV" w:eastAsia="es-PA"/>
        </w:rPr>
        <w:t xml:space="preserve">ste porcentaje </w:t>
      </w:r>
      <w:r w:rsidR="00CD4A2F" w:rsidRPr="0094366F">
        <w:rPr>
          <w:lang w:val="es-SV" w:eastAsia="es-PA"/>
        </w:rPr>
        <w:t>corresponde al</w:t>
      </w:r>
      <w:r w:rsidRPr="0094366F">
        <w:rPr>
          <w:lang w:val="es-SV" w:eastAsia="es-PA"/>
        </w:rPr>
        <w:t xml:space="preserve"> 10.7% en el área rural y 32.4% en el área urbana, mostrando una importante brecha en términos de área de residencia. En cuanto al género</w:t>
      </w:r>
      <w:r w:rsidR="00CD4A2F" w:rsidRPr="0094366F">
        <w:rPr>
          <w:lang w:val="es-SV" w:eastAsia="es-PA"/>
        </w:rPr>
        <w:t>,</w:t>
      </w:r>
      <w:r w:rsidRPr="0094366F">
        <w:rPr>
          <w:lang w:val="es-SV" w:eastAsia="es-PA"/>
        </w:rPr>
        <w:t xml:space="preserve"> se observan leves diferencias puesto que el porcentaje en los hombres supera al de las mujeres en 2.2 puntos porcentuales. De la población cubierta con seguro médico, el 91.9% tienen acceso a seguro médico a través del Instituto Salvadoreño del Seguro Social (ISSS) ya sea como cotizante, beneficiario o retirado, el 6.1% lo tiene a través del Instituto Salvadoreño de Bienestar Magisterial (ISBM), el 1.8% por medio del Instituto de Previsión Social de la Fuerza Armada (IPSFA), mientras que el 0.2% cuenta con un seguro privado colectivo u otro.</w:t>
      </w:r>
    </w:p>
    <w:p w14:paraId="6709ABFE" w14:textId="77777777" w:rsidR="00B0167F" w:rsidRDefault="00B0167F" w:rsidP="00E01055">
      <w:pPr>
        <w:spacing w:after="0" w:line="240" w:lineRule="auto"/>
        <w:jc w:val="both"/>
        <w:rPr>
          <w:rFonts w:eastAsiaTheme="minorEastAsia" w:cstheme="minorHAnsi"/>
          <w:color w:val="000000" w:themeColor="text1"/>
          <w:kern w:val="24"/>
          <w:sz w:val="24"/>
          <w:szCs w:val="24"/>
          <w:lang w:val="es-SV" w:eastAsia="es-PA"/>
        </w:rPr>
      </w:pPr>
    </w:p>
    <w:p w14:paraId="79181180" w14:textId="77777777" w:rsidR="002216CF" w:rsidRPr="0094366F" w:rsidRDefault="00FA25A6" w:rsidP="009B0941">
      <w:pPr>
        <w:pStyle w:val="Ttulo2"/>
        <w:rPr>
          <w:rFonts w:eastAsia="Times New Roman"/>
          <w:lang w:val="es-PA" w:eastAsia="es-PA"/>
        </w:rPr>
      </w:pPr>
      <w:bookmarkStart w:id="8" w:name="_Toc15275127"/>
      <w:r>
        <w:rPr>
          <w:rFonts w:eastAsiaTheme="minorEastAsia"/>
          <w:lang w:val="es-PA" w:eastAsia="es-PA"/>
        </w:rPr>
        <w:t>3.</w:t>
      </w:r>
      <w:r w:rsidR="009B0941">
        <w:rPr>
          <w:rFonts w:eastAsiaTheme="minorEastAsia"/>
          <w:lang w:val="es-PA" w:eastAsia="es-PA"/>
        </w:rPr>
        <w:t>5</w:t>
      </w:r>
      <w:r w:rsidR="002216CF" w:rsidRPr="0094366F">
        <w:rPr>
          <w:rFonts w:eastAsiaTheme="minorEastAsia"/>
          <w:lang w:val="es-PA" w:eastAsia="es-PA"/>
        </w:rPr>
        <w:t xml:space="preserve"> </w:t>
      </w:r>
      <w:r w:rsidR="002216CF" w:rsidRPr="009B0941">
        <w:t>Epidemia</w:t>
      </w:r>
      <w:r w:rsidR="002216CF" w:rsidRPr="0094366F">
        <w:rPr>
          <w:rFonts w:eastAsiaTheme="minorEastAsia"/>
          <w:lang w:val="es-PA" w:eastAsia="es-PA"/>
        </w:rPr>
        <w:t xml:space="preserve"> </w:t>
      </w:r>
      <w:r w:rsidR="009B0941">
        <w:rPr>
          <w:rFonts w:eastAsiaTheme="minorEastAsia"/>
          <w:lang w:val="es-PA" w:eastAsia="es-PA"/>
        </w:rPr>
        <w:t xml:space="preserve">de VIH </w:t>
      </w:r>
      <w:r w:rsidR="002216CF" w:rsidRPr="0094366F">
        <w:rPr>
          <w:rFonts w:eastAsiaTheme="minorEastAsia"/>
          <w:lang w:val="es-PA" w:eastAsia="es-PA"/>
        </w:rPr>
        <w:t xml:space="preserve">y </w:t>
      </w:r>
      <w:r w:rsidR="009B0941">
        <w:rPr>
          <w:rFonts w:eastAsiaTheme="minorEastAsia"/>
          <w:lang w:val="es-PA" w:eastAsia="es-PA"/>
        </w:rPr>
        <w:t xml:space="preserve">su </w:t>
      </w:r>
      <w:r w:rsidR="002216CF" w:rsidRPr="0094366F">
        <w:rPr>
          <w:rFonts w:eastAsiaTheme="minorEastAsia"/>
          <w:lang w:val="es-PA" w:eastAsia="es-PA"/>
        </w:rPr>
        <w:t>Cascada de Atención</w:t>
      </w:r>
      <w:bookmarkEnd w:id="8"/>
      <w:r w:rsidR="002216CF" w:rsidRPr="0094366F">
        <w:rPr>
          <w:rFonts w:eastAsiaTheme="minorEastAsia"/>
          <w:lang w:val="es-PA" w:eastAsia="es-PA"/>
        </w:rPr>
        <w:t xml:space="preserve"> </w:t>
      </w:r>
    </w:p>
    <w:p w14:paraId="2B6460B9" w14:textId="77777777" w:rsidR="002216CF" w:rsidRPr="0094366F" w:rsidRDefault="002216CF" w:rsidP="002216CF">
      <w:pPr>
        <w:spacing w:after="0" w:line="240" w:lineRule="auto"/>
        <w:jc w:val="both"/>
        <w:rPr>
          <w:rFonts w:eastAsia="Times New Roman" w:cstheme="minorHAnsi"/>
          <w:sz w:val="24"/>
          <w:szCs w:val="24"/>
          <w:lang w:val="es-PA" w:eastAsia="es-SV"/>
        </w:rPr>
      </w:pPr>
    </w:p>
    <w:p w14:paraId="44DF718C" w14:textId="77777777" w:rsidR="009B0941" w:rsidRPr="009B0941" w:rsidRDefault="008131CF" w:rsidP="008131CF">
      <w:pPr>
        <w:pStyle w:val="Ttulo3"/>
        <w:rPr>
          <w:rFonts w:eastAsia="Times New Roman"/>
          <w:lang w:eastAsia="es-SV"/>
        </w:rPr>
      </w:pPr>
      <w:bookmarkStart w:id="9" w:name="_Toc15275128"/>
      <w:r>
        <w:rPr>
          <w:rFonts w:eastAsia="Times New Roman"/>
          <w:lang w:eastAsia="es-SV"/>
        </w:rPr>
        <w:t xml:space="preserve">3.5.1 </w:t>
      </w:r>
      <w:r w:rsidR="009B0941" w:rsidRPr="009B0941">
        <w:rPr>
          <w:rFonts w:eastAsia="Times New Roman"/>
          <w:lang w:eastAsia="es-SV"/>
        </w:rPr>
        <w:t>Epidemiología del VIH</w:t>
      </w:r>
      <w:bookmarkEnd w:id="9"/>
    </w:p>
    <w:p w14:paraId="4B13E79E" w14:textId="77777777" w:rsidR="009B0941" w:rsidRDefault="009B0941" w:rsidP="002216CF">
      <w:pPr>
        <w:spacing w:after="0" w:line="240" w:lineRule="auto"/>
        <w:jc w:val="both"/>
        <w:rPr>
          <w:rFonts w:eastAsia="Times New Roman" w:cstheme="minorHAnsi"/>
          <w:sz w:val="24"/>
          <w:szCs w:val="24"/>
          <w:lang w:eastAsia="es-SV"/>
        </w:rPr>
      </w:pPr>
    </w:p>
    <w:p w14:paraId="55A9777B" w14:textId="77777777" w:rsidR="002216CF" w:rsidRPr="0094366F" w:rsidRDefault="002216CF" w:rsidP="002216CF">
      <w:p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 xml:space="preserve">Los primeros registros de personas con VIH en El Salvador se remontan al año 1984. De esa fecha hasta 2017, se han reportado un total de 34,951 casos de VIH, de los cuales, al momento de la detección, 28% estaban en etapa de VIH avanzado (SIDA), mientras que el restante 72%, en etapa de VIH. </w:t>
      </w:r>
    </w:p>
    <w:p w14:paraId="615996C7" w14:textId="77777777" w:rsidR="002216CF" w:rsidRPr="0094366F" w:rsidRDefault="002216CF" w:rsidP="002216CF">
      <w:p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Sin embargo, la situación actual puede medirse a partir de los últimos datos obtenidos, correspondientes a 2017. En ese año, fueron identificadas 1,252 personas, de las cuales aproximadamente el 60% estaban (al momento de su detección) en estado de VIH, mientras que el resto se encontraban en la fase avanzada. Asimismo, la tasa de infección de ese año fue de 10 por cada 10,000 habitantes, en el caso de las mujeres; y de 29 por cada 10,000 habitantes, para los hombres.</w:t>
      </w:r>
    </w:p>
    <w:p w14:paraId="44FA3C1D" w14:textId="77777777" w:rsidR="002216CF" w:rsidRPr="0094366F" w:rsidRDefault="002216CF" w:rsidP="002216CF">
      <w:p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 xml:space="preserve">Partiendo de la cascada de atención, se muestra que para 2017 se estimaron 23,788 personas con VIH. De ellas, el 78% han sido diagnosticadas, el 59% han sido vinculadas a </w:t>
      </w:r>
      <w:r w:rsidRPr="0094366F">
        <w:rPr>
          <w:rFonts w:eastAsia="Times New Roman" w:cstheme="minorHAnsi"/>
          <w:sz w:val="24"/>
          <w:szCs w:val="24"/>
          <w:lang w:eastAsia="es-SV"/>
        </w:rPr>
        <w:lastRenderedPageBreak/>
        <w:t>servicios de salud y el 41% se ha mantenido en la atención. Además, el 37% se encuentra en tratamiento con antirretrovirales, mientras que el 31% tienen carga viral suprimida.</w:t>
      </w:r>
    </w:p>
    <w:p w14:paraId="4EE10CFC" w14:textId="77777777" w:rsidR="002216CF" w:rsidRPr="0094366F" w:rsidRDefault="002216CF" w:rsidP="002216CF">
      <w:p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Con respecto a los sectores de la población, se encontró que, del total de personas detectadas en 2017, el 54% eran consideradas como población general; el 21.6%, hombres que tienen sexo con otros hombres, 2.8% para las trabajadoras del sexo, 1% en mujeres transgénero y el restante 2.8% se corresponde a personas sin datos. Y en lo que tiene que ver con la edad, se determinó que el rango que va desde los 20 hasta los 39 años es el que presenta mayor prevalencia de la enfermedad, seguida de las personas entre 40 y 59 años.</w:t>
      </w:r>
    </w:p>
    <w:p w14:paraId="2ABC0154" w14:textId="77777777" w:rsidR="002216CF" w:rsidRPr="0094366F" w:rsidRDefault="002216CF" w:rsidP="002216CF">
      <w:pPr>
        <w:spacing w:after="0" w:line="240" w:lineRule="auto"/>
        <w:jc w:val="both"/>
        <w:rPr>
          <w:rFonts w:eastAsia="Times New Roman" w:cstheme="minorHAnsi"/>
          <w:sz w:val="24"/>
          <w:szCs w:val="24"/>
          <w:lang w:eastAsia="es-SV"/>
        </w:rPr>
      </w:pPr>
    </w:p>
    <w:p w14:paraId="098BCEEF" w14:textId="77777777" w:rsidR="002216CF" w:rsidRPr="0094366F" w:rsidRDefault="002216CF" w:rsidP="002216CF">
      <w:p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Entre las poblaciones consideradas clave en tema de VIH, ha sido posible establecer la prevalencia a partir de datos recogidos desde 2002, mostrando que cada uno de estos grupos ha tenido un comportamiento diferente. En las trabajadoras sexuales, se observa que la prevalencia en 2002 era de 3.2, que luego, para 2008, sube a 5.7, bajando luego a 3.14 en el año 2012, y terminando, para 2016, en 8.2. Para el caso de los HSH, las cifra de 2002 estaba en 15.3, y para los demás años, se ha mantenido en 10. En cuanto a las mujeres transgénero, se tienen únicamente mediciones de dos años: 2008, con 25.8; y 2014, que tenía la cifra de 16.2. Finalmente, en la población general, la prevalencia es del 0.5%.</w:t>
      </w:r>
    </w:p>
    <w:p w14:paraId="538E4B04" w14:textId="77777777" w:rsidR="002216CF" w:rsidRPr="0094366F" w:rsidRDefault="002216CF" w:rsidP="002216CF">
      <w:pPr>
        <w:spacing w:after="0" w:line="240" w:lineRule="auto"/>
        <w:jc w:val="both"/>
        <w:rPr>
          <w:rFonts w:eastAsia="Times New Roman" w:cstheme="minorHAnsi"/>
          <w:sz w:val="24"/>
          <w:szCs w:val="24"/>
          <w:lang w:val="es-PA" w:eastAsia="es-SV"/>
        </w:rPr>
      </w:pPr>
    </w:p>
    <w:p w14:paraId="14E0A808" w14:textId="77777777" w:rsidR="002216CF" w:rsidRPr="009B0941" w:rsidRDefault="008131CF" w:rsidP="008131CF">
      <w:pPr>
        <w:pStyle w:val="Ttulo3"/>
        <w:rPr>
          <w:rFonts w:eastAsia="Times New Roman"/>
          <w:lang w:val="es-SV" w:eastAsia="es-SV"/>
        </w:rPr>
      </w:pPr>
      <w:bookmarkStart w:id="10" w:name="_Toc15275129"/>
      <w:r>
        <w:rPr>
          <w:rFonts w:eastAsia="Times New Roman"/>
          <w:lang w:val="es-SV" w:eastAsia="es-SV"/>
        </w:rPr>
        <w:t xml:space="preserve">3.5.2 </w:t>
      </w:r>
      <w:r w:rsidR="002216CF" w:rsidRPr="009B0941">
        <w:rPr>
          <w:rFonts w:eastAsia="Times New Roman"/>
          <w:lang w:val="es-SV" w:eastAsia="es-SV"/>
        </w:rPr>
        <w:t>Cascada de Atención</w:t>
      </w:r>
      <w:bookmarkEnd w:id="10"/>
    </w:p>
    <w:p w14:paraId="099AEAA4" w14:textId="77777777" w:rsidR="002216CF" w:rsidRPr="0094366F" w:rsidRDefault="002216CF" w:rsidP="002216CF">
      <w:pPr>
        <w:spacing w:after="0" w:line="240" w:lineRule="auto"/>
        <w:jc w:val="both"/>
        <w:rPr>
          <w:rFonts w:eastAsia="Times New Roman" w:cstheme="minorHAnsi"/>
          <w:b/>
          <w:sz w:val="24"/>
          <w:szCs w:val="24"/>
          <w:lang w:val="es-SV" w:eastAsia="es-SV"/>
        </w:rPr>
      </w:pPr>
    </w:p>
    <w:p w14:paraId="17283DBE" w14:textId="77777777" w:rsidR="002216CF" w:rsidRPr="0094366F" w:rsidRDefault="002216CF" w:rsidP="002216CF">
      <w:p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La cascada de atención para el año 2017 estimó 23,788 personas con VIH, de las cuales 18,556 (78%) personas han sido diagnosticadas con VIH. De estas últimas, 14,028 (59%) han sido vinculadas a los servicios de salud, siendo 9,699 (41%) las retenidas en la atención. Las personas en tratamiento antirretroviral fueron 8,775 (37%); mientras que 7,309 (31%) personas se encuentran con carga viral suprimida.</w:t>
      </w:r>
    </w:p>
    <w:p w14:paraId="7DD56348" w14:textId="77777777" w:rsidR="002216CF" w:rsidRPr="0094366F" w:rsidRDefault="002216CF" w:rsidP="002216CF">
      <w:pPr>
        <w:spacing w:after="0" w:line="240" w:lineRule="auto"/>
        <w:jc w:val="both"/>
        <w:rPr>
          <w:rFonts w:eastAsia="Times New Roman" w:cstheme="minorHAnsi"/>
          <w:sz w:val="24"/>
          <w:szCs w:val="24"/>
          <w:lang w:eastAsia="es-SV"/>
        </w:rPr>
      </w:pPr>
    </w:p>
    <w:p w14:paraId="7E4EC95F" w14:textId="77777777" w:rsidR="002216CF" w:rsidRPr="0094366F" w:rsidRDefault="002216CF" w:rsidP="002216CF">
      <w:p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Si se comparan los años 2013 al 2017, se percibe un aumento de los porcentajes de cumplimiento de cada pilar de la cascada de atención, y se evidencian las mayores brechas en las personas vinculadas a los servicios de salud.</w:t>
      </w:r>
    </w:p>
    <w:p w14:paraId="2F904A68" w14:textId="77777777" w:rsidR="0094366F" w:rsidRDefault="0094366F" w:rsidP="0094366F">
      <w:pPr>
        <w:spacing w:after="0" w:line="240" w:lineRule="auto"/>
        <w:jc w:val="both"/>
        <w:rPr>
          <w:rFonts w:ascii="Times New Roman" w:eastAsia="Times New Roman" w:hAnsi="Times New Roman" w:cs="Times New Roman"/>
          <w:i/>
          <w:lang w:val="es-SV" w:eastAsia="es-SV"/>
        </w:rPr>
      </w:pPr>
    </w:p>
    <w:p w14:paraId="4D834C3A" w14:textId="77777777" w:rsidR="00056010" w:rsidRDefault="00056010">
      <w:pPr>
        <w:rPr>
          <w:b/>
        </w:rPr>
      </w:pPr>
      <w:r>
        <w:rPr>
          <w:b/>
        </w:rPr>
        <w:br w:type="page"/>
      </w:r>
    </w:p>
    <w:p w14:paraId="41101BBF" w14:textId="77777777" w:rsidR="0094366F" w:rsidRPr="007E0133" w:rsidRDefault="007E0133" w:rsidP="007E0133">
      <w:pPr>
        <w:spacing w:after="0"/>
        <w:jc w:val="both"/>
        <w:rPr>
          <w:b/>
        </w:rPr>
      </w:pPr>
      <w:r w:rsidRPr="007E0133">
        <w:rPr>
          <w:b/>
        </w:rPr>
        <w:lastRenderedPageBreak/>
        <w:t>Gráfica 2</w:t>
      </w:r>
      <w:r w:rsidR="0094366F" w:rsidRPr="007E0133">
        <w:rPr>
          <w:b/>
        </w:rPr>
        <w:t xml:space="preserve"> Cascada de atención de VIH (2013-2016) en El Salvador</w:t>
      </w:r>
    </w:p>
    <w:p w14:paraId="22053D97" w14:textId="77777777" w:rsidR="002216CF" w:rsidRPr="0094366F" w:rsidRDefault="002216CF" w:rsidP="002216CF">
      <w:pPr>
        <w:spacing w:after="0" w:line="240" w:lineRule="auto"/>
        <w:jc w:val="both"/>
        <w:rPr>
          <w:rFonts w:ascii="Times New Roman" w:eastAsia="Times New Roman" w:hAnsi="Times New Roman" w:cs="Times New Roman"/>
          <w:b/>
          <w:sz w:val="24"/>
          <w:szCs w:val="24"/>
          <w:lang w:val="es-SV" w:eastAsia="es-SV"/>
        </w:rPr>
      </w:pPr>
    </w:p>
    <w:p w14:paraId="3E187D1B" w14:textId="77777777" w:rsidR="002216CF" w:rsidRDefault="002216CF" w:rsidP="002216CF">
      <w:pPr>
        <w:spacing w:after="0" w:line="240" w:lineRule="auto"/>
        <w:jc w:val="both"/>
        <w:rPr>
          <w:rFonts w:ascii="Times New Roman" w:eastAsia="Times New Roman" w:hAnsi="Times New Roman" w:cs="Times New Roman"/>
          <w:sz w:val="24"/>
          <w:szCs w:val="24"/>
          <w:lang w:eastAsia="es-SV"/>
        </w:rPr>
      </w:pPr>
      <w:r>
        <w:rPr>
          <w:rFonts w:cstheme="minorHAnsi"/>
          <w:noProof/>
          <w:lang w:val="es-SV" w:eastAsia="es-SV"/>
        </w:rPr>
        <w:drawing>
          <wp:inline distT="0" distB="0" distL="0" distR="0" wp14:anchorId="5B57EB34" wp14:editId="56E70899">
            <wp:extent cx="5885482" cy="2914650"/>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3304" cy="2928428"/>
                    </a:xfrm>
                    <a:prstGeom prst="rect">
                      <a:avLst/>
                    </a:prstGeom>
                    <a:noFill/>
                  </pic:spPr>
                </pic:pic>
              </a:graphicData>
            </a:graphic>
          </wp:inline>
        </w:drawing>
      </w:r>
    </w:p>
    <w:p w14:paraId="4C8457F0" w14:textId="77777777" w:rsidR="002216CF" w:rsidRDefault="002216CF" w:rsidP="00056010">
      <w:pPr>
        <w:rPr>
          <w:lang w:val="es-SV" w:eastAsia="es-SV"/>
        </w:rPr>
      </w:pPr>
      <w:r w:rsidRPr="00417F0F">
        <w:rPr>
          <w:lang w:val="es-SV" w:eastAsia="es-SV"/>
        </w:rPr>
        <w:t xml:space="preserve">Fuente: MINSAL </w:t>
      </w:r>
      <w:r>
        <w:rPr>
          <w:lang w:val="es-SV" w:eastAsia="es-SV"/>
        </w:rPr>
        <w:t>(</w:t>
      </w:r>
      <w:r w:rsidRPr="00417F0F">
        <w:rPr>
          <w:lang w:val="es-SV" w:eastAsia="es-SV"/>
        </w:rPr>
        <w:t>2017</w:t>
      </w:r>
      <w:r>
        <w:rPr>
          <w:lang w:val="es-SV" w:eastAsia="es-SV"/>
        </w:rPr>
        <w:t>)</w:t>
      </w:r>
      <w:r w:rsidRPr="00417F0F">
        <w:rPr>
          <w:lang w:val="es-SV" w:eastAsia="es-SV"/>
        </w:rPr>
        <w:t xml:space="preserve"> </w:t>
      </w:r>
    </w:p>
    <w:p w14:paraId="0C2E77F2" w14:textId="77777777" w:rsidR="001A50EE" w:rsidRDefault="001A50EE" w:rsidP="002216CF">
      <w:pPr>
        <w:spacing w:after="0" w:line="240" w:lineRule="auto"/>
        <w:jc w:val="both"/>
        <w:rPr>
          <w:rFonts w:ascii="Times New Roman" w:eastAsia="Times New Roman" w:hAnsi="Times New Roman" w:cs="Times New Roman"/>
          <w:lang w:val="es-SV" w:eastAsia="es-SV"/>
        </w:rPr>
      </w:pPr>
    </w:p>
    <w:p w14:paraId="6DBC25A6" w14:textId="77777777" w:rsidR="00FA25A6" w:rsidRDefault="00FA25A6" w:rsidP="008131CF">
      <w:pPr>
        <w:pStyle w:val="Ttulo2"/>
        <w:rPr>
          <w:rFonts w:eastAsiaTheme="minorEastAsia"/>
          <w:lang w:val="es-PA" w:eastAsia="es-PA"/>
        </w:rPr>
      </w:pPr>
      <w:bookmarkStart w:id="11" w:name="_Toc15275130"/>
      <w:r>
        <w:rPr>
          <w:rFonts w:eastAsiaTheme="minorEastAsia"/>
          <w:lang w:val="es-PA" w:eastAsia="es-PA"/>
        </w:rPr>
        <w:t>3.</w:t>
      </w:r>
      <w:r w:rsidR="009B0941">
        <w:rPr>
          <w:rFonts w:eastAsiaTheme="minorEastAsia"/>
          <w:lang w:val="es-PA" w:eastAsia="es-PA"/>
        </w:rPr>
        <w:t>6</w:t>
      </w:r>
      <w:r w:rsidR="0069103E" w:rsidRPr="0094366F">
        <w:rPr>
          <w:rFonts w:eastAsiaTheme="minorEastAsia"/>
          <w:lang w:val="es-PA" w:eastAsia="es-PA"/>
        </w:rPr>
        <w:t xml:space="preserve"> </w:t>
      </w:r>
      <w:r w:rsidRPr="008131CF">
        <w:t>Sostenibilidad</w:t>
      </w:r>
      <w:r w:rsidR="008131CF">
        <w:t xml:space="preserve"> de la respuesta</w:t>
      </w:r>
      <w:bookmarkEnd w:id="11"/>
    </w:p>
    <w:p w14:paraId="65FD4DFC" w14:textId="77777777" w:rsidR="00FA25A6" w:rsidRDefault="00FA25A6" w:rsidP="0069103E">
      <w:pPr>
        <w:pStyle w:val="Ttulo2"/>
        <w:rPr>
          <w:rFonts w:asciiTheme="minorHAnsi" w:eastAsiaTheme="minorEastAsia" w:hAnsiTheme="minorHAnsi" w:cstheme="minorHAnsi"/>
          <w:b/>
          <w:color w:val="000000" w:themeColor="text1"/>
          <w:kern w:val="24"/>
          <w:sz w:val="24"/>
          <w:szCs w:val="24"/>
          <w:lang w:val="es-PA" w:eastAsia="es-PA"/>
        </w:rPr>
      </w:pPr>
    </w:p>
    <w:p w14:paraId="41A59FFA" w14:textId="77777777" w:rsidR="0069103E" w:rsidRPr="0094366F" w:rsidRDefault="00FA25A6" w:rsidP="008131CF">
      <w:pPr>
        <w:pStyle w:val="Ttulo3"/>
        <w:rPr>
          <w:rFonts w:eastAsiaTheme="minorEastAsia"/>
          <w:lang w:val="es-PA" w:eastAsia="es-PA"/>
        </w:rPr>
      </w:pPr>
      <w:bookmarkStart w:id="12" w:name="_Toc15275131"/>
      <w:r>
        <w:rPr>
          <w:rFonts w:eastAsiaTheme="minorEastAsia"/>
          <w:lang w:val="es-PA" w:eastAsia="es-PA"/>
        </w:rPr>
        <w:t>3.</w:t>
      </w:r>
      <w:r w:rsidR="009B0941">
        <w:rPr>
          <w:rFonts w:eastAsiaTheme="minorEastAsia"/>
          <w:lang w:val="es-PA" w:eastAsia="es-PA"/>
        </w:rPr>
        <w:t>6</w:t>
      </w:r>
      <w:r>
        <w:rPr>
          <w:rFonts w:eastAsiaTheme="minorEastAsia"/>
          <w:lang w:val="es-PA" w:eastAsia="es-PA"/>
        </w:rPr>
        <w:t xml:space="preserve">.1 </w:t>
      </w:r>
      <w:r w:rsidR="001A50EE" w:rsidRPr="0094366F">
        <w:rPr>
          <w:rFonts w:eastAsiaTheme="minorEastAsia"/>
          <w:lang w:val="es-PA" w:eastAsia="es-PA"/>
        </w:rPr>
        <w:t>Índice de Sostenibilidad</w:t>
      </w:r>
      <w:bookmarkEnd w:id="12"/>
      <w:r w:rsidR="001A50EE" w:rsidRPr="0094366F">
        <w:rPr>
          <w:rFonts w:eastAsiaTheme="minorEastAsia"/>
          <w:lang w:val="es-PA" w:eastAsia="es-PA"/>
        </w:rPr>
        <w:t xml:space="preserve"> </w:t>
      </w:r>
    </w:p>
    <w:p w14:paraId="09F71516" w14:textId="77777777" w:rsidR="0069103E" w:rsidRPr="00FA25A6" w:rsidRDefault="0069103E" w:rsidP="0069103E">
      <w:pPr>
        <w:spacing w:after="0" w:line="240" w:lineRule="auto"/>
        <w:jc w:val="both"/>
        <w:rPr>
          <w:rFonts w:eastAsia="Times New Roman" w:cstheme="minorHAnsi"/>
          <w:b/>
          <w:sz w:val="24"/>
          <w:szCs w:val="24"/>
          <w:lang w:val="es-PA" w:eastAsia="es-SV"/>
        </w:rPr>
      </w:pPr>
    </w:p>
    <w:p w14:paraId="66F0A99B" w14:textId="77777777" w:rsidR="0069103E" w:rsidRPr="0094366F" w:rsidRDefault="00FA25A6" w:rsidP="0069103E">
      <w:pPr>
        <w:spacing w:after="0" w:line="240" w:lineRule="auto"/>
        <w:jc w:val="both"/>
        <w:rPr>
          <w:rFonts w:eastAsia="Times New Roman" w:cstheme="minorHAnsi"/>
          <w:sz w:val="24"/>
          <w:szCs w:val="24"/>
          <w:lang w:eastAsia="es-SV"/>
        </w:rPr>
      </w:pPr>
      <w:r>
        <w:rPr>
          <w:rFonts w:eastAsia="Times New Roman" w:cstheme="minorHAnsi"/>
          <w:sz w:val="24"/>
          <w:szCs w:val="24"/>
          <w:lang w:eastAsia="es-SV"/>
        </w:rPr>
        <w:t xml:space="preserve">Con el apoyo del Plan de Emergencia del </w:t>
      </w:r>
      <w:r w:rsidR="00056010">
        <w:rPr>
          <w:rFonts w:eastAsia="Times New Roman" w:cstheme="minorHAnsi"/>
          <w:sz w:val="24"/>
          <w:szCs w:val="24"/>
          <w:lang w:eastAsia="es-SV"/>
        </w:rPr>
        <w:t>presidente</w:t>
      </w:r>
      <w:r>
        <w:rPr>
          <w:rFonts w:eastAsia="Times New Roman" w:cstheme="minorHAnsi"/>
          <w:sz w:val="24"/>
          <w:szCs w:val="24"/>
          <w:lang w:eastAsia="es-SV"/>
        </w:rPr>
        <w:t xml:space="preserve"> de los Estados Unidos para el alivio del Sida (</w:t>
      </w:r>
      <w:r w:rsidR="0069103E" w:rsidRPr="0094366F">
        <w:rPr>
          <w:rFonts w:eastAsia="Times New Roman" w:cstheme="minorHAnsi"/>
          <w:sz w:val="24"/>
          <w:szCs w:val="24"/>
          <w:lang w:eastAsia="es-SV"/>
        </w:rPr>
        <w:t>PREFAR</w:t>
      </w:r>
      <w:r>
        <w:rPr>
          <w:rFonts w:eastAsia="Times New Roman" w:cstheme="minorHAnsi"/>
          <w:sz w:val="24"/>
          <w:szCs w:val="24"/>
          <w:lang w:eastAsia="es-SV"/>
        </w:rPr>
        <w:t>), se</w:t>
      </w:r>
      <w:r w:rsidR="0069103E" w:rsidRPr="0094366F">
        <w:rPr>
          <w:rFonts w:eastAsia="Times New Roman" w:cstheme="minorHAnsi"/>
          <w:sz w:val="24"/>
          <w:szCs w:val="24"/>
          <w:lang w:eastAsia="es-SV"/>
        </w:rPr>
        <w:t xml:space="preserve"> realizó en el año 201</w:t>
      </w:r>
      <w:r>
        <w:rPr>
          <w:rFonts w:eastAsia="Times New Roman" w:cstheme="minorHAnsi"/>
          <w:sz w:val="24"/>
          <w:szCs w:val="24"/>
          <w:lang w:eastAsia="es-SV"/>
        </w:rPr>
        <w:t>8</w:t>
      </w:r>
      <w:r w:rsidR="0069103E" w:rsidRPr="0094366F">
        <w:rPr>
          <w:rFonts w:eastAsia="Times New Roman" w:cstheme="minorHAnsi"/>
          <w:sz w:val="24"/>
          <w:szCs w:val="24"/>
          <w:lang w:eastAsia="es-SV"/>
        </w:rPr>
        <w:t xml:space="preserve"> la última medición del Índice de Sostenibilidad (SID), en el que se buscó determinar el estado de la sostenibilidad de la respuesta nacional al VIH/SIDA, con el fin de poder darle seguimiento en el tiempo, mostrando a su vez fortalezas y vulnerabilidades en el proceso.</w:t>
      </w:r>
    </w:p>
    <w:p w14:paraId="39A79D7D" w14:textId="77777777" w:rsidR="0069103E" w:rsidRPr="0094366F" w:rsidRDefault="0069103E" w:rsidP="0069103E">
      <w:pPr>
        <w:spacing w:after="0" w:line="240" w:lineRule="auto"/>
        <w:jc w:val="both"/>
        <w:rPr>
          <w:rFonts w:eastAsia="Times New Roman" w:cstheme="minorHAnsi"/>
          <w:sz w:val="24"/>
          <w:szCs w:val="24"/>
          <w:lang w:eastAsia="es-SV"/>
        </w:rPr>
      </w:pPr>
    </w:p>
    <w:p w14:paraId="6E5199C0" w14:textId="77777777" w:rsidR="0069103E" w:rsidRPr="00056010" w:rsidRDefault="00FA25A6" w:rsidP="008131CF">
      <w:pPr>
        <w:rPr>
          <w:b/>
          <w:bCs/>
          <w:lang w:eastAsia="es-SV"/>
        </w:rPr>
      </w:pPr>
      <w:r w:rsidRPr="00056010">
        <w:rPr>
          <w:b/>
          <w:bCs/>
          <w:lang w:eastAsia="es-SV"/>
        </w:rPr>
        <w:t>3.</w:t>
      </w:r>
      <w:r w:rsidR="00056010">
        <w:rPr>
          <w:b/>
          <w:bCs/>
          <w:lang w:eastAsia="es-SV"/>
        </w:rPr>
        <w:t>6</w:t>
      </w:r>
      <w:r w:rsidRPr="00056010">
        <w:rPr>
          <w:b/>
          <w:bCs/>
          <w:lang w:eastAsia="es-SV"/>
        </w:rPr>
        <w:t>.1.1</w:t>
      </w:r>
      <w:r w:rsidR="0069103E" w:rsidRPr="00056010">
        <w:rPr>
          <w:b/>
          <w:bCs/>
          <w:lang w:eastAsia="es-SV"/>
        </w:rPr>
        <w:t xml:space="preserve"> Fortalezas</w:t>
      </w:r>
    </w:p>
    <w:p w14:paraId="4B8456AE" w14:textId="77777777" w:rsidR="0069103E" w:rsidRPr="0094366F" w:rsidRDefault="0069103E" w:rsidP="0069103E">
      <w:pPr>
        <w:spacing w:after="0" w:line="240" w:lineRule="auto"/>
        <w:jc w:val="both"/>
        <w:rPr>
          <w:rFonts w:eastAsia="Times New Roman" w:cstheme="minorHAnsi"/>
          <w:b/>
          <w:sz w:val="24"/>
          <w:szCs w:val="24"/>
          <w:lang w:eastAsia="es-SV"/>
        </w:rPr>
      </w:pPr>
    </w:p>
    <w:p w14:paraId="2EFE3BD6" w14:textId="77777777" w:rsidR="0069103E" w:rsidRPr="0094366F" w:rsidRDefault="0069103E" w:rsidP="0069103E">
      <w:p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En cuanto a las fortalezas, se encontró, en primer lugar, la adopción de la medición y reporte del gasto en VIH/SIDA. Además, se muestra como fortaleza la aplicación de modelos como SPECTRUM, caso de inversión y Goals, junto con información actualizada de costos en los procesos presupuestarios y de adquisiciones, para reducir estos costos y lograr mayor eficiencia y rendimiento. Por otra parte, se muestra como fortaleza del país su capacidad amplia de laboratorio, y su consiguiente prestación de servicios, además de los recursos humanos que estos lugares poseen. Se verifica igualmente como una fortaleza el fortalecimiento de los ARV con fuentes nacionales. Y finalmente, el plan implementado de transición del recurso humano financiado por el Fondo Mundial absorbido con fuentes de recursos nacionales gubernamentales sería el último de los puntos fuertes señalados en el informe.</w:t>
      </w:r>
    </w:p>
    <w:p w14:paraId="6A4A466C" w14:textId="77777777" w:rsidR="0069103E" w:rsidRPr="0094366F" w:rsidRDefault="0069103E" w:rsidP="0069103E">
      <w:pPr>
        <w:spacing w:after="0" w:line="240" w:lineRule="auto"/>
        <w:jc w:val="both"/>
        <w:rPr>
          <w:rFonts w:eastAsia="Times New Roman" w:cstheme="minorHAnsi"/>
          <w:sz w:val="24"/>
          <w:szCs w:val="24"/>
          <w:lang w:eastAsia="es-SV"/>
        </w:rPr>
      </w:pPr>
    </w:p>
    <w:p w14:paraId="3E7C9A97" w14:textId="77777777" w:rsidR="0069103E" w:rsidRPr="00056010" w:rsidRDefault="00FA25A6" w:rsidP="008131CF">
      <w:pPr>
        <w:rPr>
          <w:b/>
          <w:bCs/>
          <w:lang w:eastAsia="es-SV"/>
        </w:rPr>
      </w:pPr>
      <w:r w:rsidRPr="00056010">
        <w:rPr>
          <w:b/>
          <w:bCs/>
          <w:lang w:eastAsia="es-SV"/>
        </w:rPr>
        <w:t>3.</w:t>
      </w:r>
      <w:r w:rsidR="00056010" w:rsidRPr="00056010">
        <w:rPr>
          <w:b/>
          <w:bCs/>
          <w:lang w:eastAsia="es-SV"/>
        </w:rPr>
        <w:t>6</w:t>
      </w:r>
      <w:r w:rsidRPr="00056010">
        <w:rPr>
          <w:b/>
          <w:bCs/>
          <w:lang w:eastAsia="es-SV"/>
        </w:rPr>
        <w:t>.1.2</w:t>
      </w:r>
      <w:r w:rsidR="0069103E" w:rsidRPr="00056010">
        <w:rPr>
          <w:b/>
          <w:bCs/>
          <w:lang w:eastAsia="es-SV"/>
        </w:rPr>
        <w:t xml:space="preserve"> Vulnerabilidades</w:t>
      </w:r>
    </w:p>
    <w:p w14:paraId="4D436846" w14:textId="77777777" w:rsidR="0069103E" w:rsidRPr="0094366F" w:rsidRDefault="0069103E" w:rsidP="0069103E">
      <w:pPr>
        <w:spacing w:after="0" w:line="240" w:lineRule="auto"/>
        <w:jc w:val="both"/>
        <w:rPr>
          <w:rFonts w:eastAsia="Times New Roman" w:cstheme="minorHAnsi"/>
          <w:sz w:val="24"/>
          <w:szCs w:val="24"/>
          <w:lang w:eastAsia="es-SV"/>
        </w:rPr>
      </w:pPr>
    </w:p>
    <w:p w14:paraId="2E0421F8" w14:textId="77777777" w:rsidR="0069103E" w:rsidRPr="0094366F" w:rsidRDefault="0069103E" w:rsidP="0069103E">
      <w:p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 xml:space="preserve">Por el contrario, en el aspecto de las vulnerabilidades, hay cuatro puntos que, según el informe mencionado, es necesario trabajar para poder llevar a cabo planes sostenibles sobre el VIH en El Salvador. Estos puntos son: </w:t>
      </w:r>
    </w:p>
    <w:p w14:paraId="6F97E714" w14:textId="77777777" w:rsidR="0069103E" w:rsidRPr="0094366F" w:rsidRDefault="0069103E" w:rsidP="0069103E">
      <w:pPr>
        <w:spacing w:after="0" w:line="240" w:lineRule="auto"/>
        <w:jc w:val="both"/>
        <w:rPr>
          <w:rFonts w:eastAsia="Times New Roman" w:cstheme="minorHAnsi"/>
          <w:sz w:val="24"/>
          <w:szCs w:val="24"/>
          <w:lang w:eastAsia="es-SV"/>
        </w:rPr>
      </w:pPr>
    </w:p>
    <w:p w14:paraId="3188EF1D" w14:textId="77777777" w:rsidR="0069103E" w:rsidRPr="0094366F" w:rsidRDefault="0069103E" w:rsidP="0069103E">
      <w:pPr>
        <w:pStyle w:val="Prrafodelista"/>
        <w:numPr>
          <w:ilvl w:val="0"/>
          <w:numId w:val="6"/>
        </w:num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 xml:space="preserve">Gobernanza, liderazgo y rendición de cuentas: implementación de  directrices de  OMS para inicio de TARV; políticas que flexibilicen el modelo de atención y cambio de tareas entre diferentes  proveedores de servicios en diferentes niveles; métodos para autodiagnóstico de VIH y promoción de la  participación de proveedores de  servicios de salud privados; marco  legal protector  de poblaciones clave;  disponibilidad oportuna de información al público y el financiamiento por parte de fuentes nacionales para ONGs.  </w:t>
      </w:r>
    </w:p>
    <w:p w14:paraId="6D4A0752" w14:textId="77777777" w:rsidR="0069103E" w:rsidRPr="0094366F" w:rsidRDefault="0069103E" w:rsidP="0069103E">
      <w:pPr>
        <w:pStyle w:val="Prrafodelista"/>
        <w:numPr>
          <w:ilvl w:val="0"/>
          <w:numId w:val="6"/>
        </w:num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 xml:space="preserve">Sistema nacional de salud y prestación de servicios: capacidad de adaptación de los servicios; dependencia externa para intervenciones con poblaciones clave; integración de personal comunitario y aspectos focalizados del manejo y formación de recursos humanos; aspectos de la planificación y evaluación de la cadena de suministros y la institucionalización de la gestión de calidad; mecanismos para integrar al sector privado de proveedores de servicios de salud, así como la incorporación de nuevos modelos de prestación de servicios y el fortalecimiento de la eficiencia. </w:t>
      </w:r>
    </w:p>
    <w:p w14:paraId="4C07C22F" w14:textId="77777777" w:rsidR="0069103E" w:rsidRPr="0094366F" w:rsidRDefault="0069103E" w:rsidP="0069103E">
      <w:pPr>
        <w:pStyle w:val="Prrafodelista"/>
        <w:numPr>
          <w:ilvl w:val="0"/>
          <w:numId w:val="6"/>
        </w:num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Inversiones estratégicas, eficiencia y financiamiento sostenible: ausencia de una línea de recursos específicos para VIH en el presupuesto nacional; y el modelo de asignación presupuestaria desvinculado a metas.</w:t>
      </w:r>
    </w:p>
    <w:p w14:paraId="60B16668" w14:textId="77777777" w:rsidR="0069103E" w:rsidRPr="0094366F" w:rsidRDefault="0069103E" w:rsidP="0069103E">
      <w:pPr>
        <w:pStyle w:val="Prrafodelista"/>
        <w:numPr>
          <w:ilvl w:val="0"/>
          <w:numId w:val="6"/>
        </w:numPr>
        <w:spacing w:after="0" w:line="240" w:lineRule="auto"/>
        <w:jc w:val="both"/>
        <w:rPr>
          <w:rFonts w:eastAsia="Times New Roman" w:cstheme="minorHAnsi"/>
          <w:sz w:val="24"/>
          <w:szCs w:val="24"/>
          <w:lang w:eastAsia="es-SV"/>
        </w:rPr>
      </w:pPr>
      <w:r w:rsidRPr="0094366F">
        <w:rPr>
          <w:rFonts w:eastAsia="Times New Roman" w:cstheme="minorHAnsi"/>
          <w:sz w:val="24"/>
          <w:szCs w:val="24"/>
          <w:lang w:eastAsia="es-SV"/>
        </w:rPr>
        <w:t>Información estratégica: dependencia de fuentes externas para estudios específicos en poblaciones clave; inversiones para garantizar la calidad de los datos en los sistemas de información; los datos disponibles sobre la prestación de servicios y el análisis de la suficiencia y la eficacia de los gastos a nivel nacional y subnacional.</w:t>
      </w:r>
    </w:p>
    <w:p w14:paraId="10B27BC0" w14:textId="77777777" w:rsidR="002216CF" w:rsidRPr="0094366F" w:rsidRDefault="002216CF" w:rsidP="00E01055">
      <w:pPr>
        <w:spacing w:after="0" w:line="240" w:lineRule="auto"/>
        <w:jc w:val="both"/>
        <w:rPr>
          <w:rFonts w:eastAsiaTheme="minorEastAsia" w:cstheme="minorHAnsi"/>
          <w:color w:val="000000" w:themeColor="text1"/>
          <w:kern w:val="24"/>
          <w:sz w:val="24"/>
          <w:szCs w:val="24"/>
          <w:lang w:val="es-SV" w:eastAsia="es-PA"/>
        </w:rPr>
      </w:pPr>
    </w:p>
    <w:p w14:paraId="2A4231AB" w14:textId="3D5874C1" w:rsidR="001B09E5" w:rsidRPr="0094366F" w:rsidRDefault="002B7EE6" w:rsidP="008131CF">
      <w:pPr>
        <w:pStyle w:val="Ttulo3"/>
        <w:rPr>
          <w:rFonts w:eastAsiaTheme="minorEastAsia"/>
          <w:lang w:val="es-SV" w:eastAsia="es-PA"/>
        </w:rPr>
      </w:pPr>
      <w:bookmarkStart w:id="13" w:name="_Toc15275132"/>
      <w:r>
        <w:rPr>
          <w:rFonts w:eastAsiaTheme="minorEastAsia"/>
          <w:lang w:val="es-SV" w:eastAsia="es-PA"/>
        </w:rPr>
        <w:t xml:space="preserve">3.6.2 </w:t>
      </w:r>
      <w:r w:rsidRPr="0094366F">
        <w:rPr>
          <w:rFonts w:eastAsiaTheme="minorEastAsia"/>
          <w:lang w:val="es-SV" w:eastAsia="es-PA"/>
        </w:rPr>
        <w:t>Caso</w:t>
      </w:r>
      <w:r w:rsidR="001B09E5" w:rsidRPr="0094366F">
        <w:rPr>
          <w:rFonts w:eastAsiaTheme="minorEastAsia"/>
          <w:lang w:val="es-SV" w:eastAsia="es-PA"/>
        </w:rPr>
        <w:t xml:space="preserve"> de inversión en VIH</w:t>
      </w:r>
      <w:bookmarkEnd w:id="13"/>
    </w:p>
    <w:p w14:paraId="48783A72" w14:textId="77777777" w:rsidR="001B09E5" w:rsidRPr="0094366F" w:rsidRDefault="001B09E5" w:rsidP="00E01055">
      <w:pPr>
        <w:spacing w:after="0" w:line="240" w:lineRule="auto"/>
        <w:jc w:val="both"/>
        <w:rPr>
          <w:rFonts w:eastAsiaTheme="minorEastAsia" w:cstheme="minorHAnsi"/>
          <w:b/>
          <w:color w:val="000000" w:themeColor="text1"/>
          <w:kern w:val="24"/>
          <w:sz w:val="24"/>
          <w:szCs w:val="24"/>
          <w:lang w:val="es-SV" w:eastAsia="es-PA"/>
        </w:rPr>
      </w:pPr>
    </w:p>
    <w:p w14:paraId="476712A3" w14:textId="77777777" w:rsidR="001B09E5" w:rsidRPr="0094366F" w:rsidRDefault="001B09E5" w:rsidP="00E01055">
      <w:pPr>
        <w:spacing w:after="0" w:line="240" w:lineRule="auto"/>
        <w:jc w:val="both"/>
        <w:rPr>
          <w:rFonts w:cstheme="minorHAnsi"/>
          <w:sz w:val="24"/>
          <w:szCs w:val="24"/>
        </w:rPr>
      </w:pPr>
      <w:r w:rsidRPr="0094366F">
        <w:rPr>
          <w:rFonts w:eastAsiaTheme="minorEastAsia" w:cstheme="minorHAnsi"/>
          <w:color w:val="000000" w:themeColor="text1"/>
          <w:kern w:val="24"/>
          <w:sz w:val="24"/>
          <w:szCs w:val="24"/>
          <w:lang w:val="es-SV" w:eastAsia="es-PA"/>
        </w:rPr>
        <w:t xml:space="preserve">Para la formulación del Plan Nacional de Sostenibilidad, se diseñaron </w:t>
      </w:r>
      <w:r w:rsidR="00297F53" w:rsidRPr="0094366F">
        <w:rPr>
          <w:rFonts w:eastAsiaTheme="minorEastAsia" w:cstheme="minorHAnsi"/>
          <w:color w:val="000000" w:themeColor="text1"/>
          <w:kern w:val="24"/>
          <w:sz w:val="24"/>
          <w:szCs w:val="24"/>
          <w:lang w:val="es-SV" w:eastAsia="es-PA"/>
        </w:rPr>
        <w:t xml:space="preserve">cuatro </w:t>
      </w:r>
      <w:r w:rsidRPr="0094366F">
        <w:rPr>
          <w:rFonts w:eastAsiaTheme="minorEastAsia" w:cstheme="minorHAnsi"/>
          <w:color w:val="000000" w:themeColor="text1"/>
          <w:kern w:val="24"/>
          <w:sz w:val="24"/>
          <w:szCs w:val="24"/>
          <w:lang w:val="es-SV" w:eastAsia="es-PA"/>
        </w:rPr>
        <w:t xml:space="preserve">posibles escenarios de cobertura y tratamiento de la epidemia de VIH en El Salvador acordes al modelo SPECTRUM. Cada escenario contó con los siguientes elementos: </w:t>
      </w:r>
      <w:r w:rsidRPr="00DE4723">
        <w:rPr>
          <w:rFonts w:eastAsiaTheme="minorEastAsia" w:cstheme="minorHAnsi"/>
          <w:color w:val="000000" w:themeColor="text1"/>
          <w:kern w:val="24"/>
          <w:sz w:val="24"/>
          <w:szCs w:val="24"/>
          <w:lang w:val="es-SV" w:eastAsia="es-PA"/>
        </w:rPr>
        <w:t>co</w:t>
      </w:r>
      <w:r w:rsidRPr="00DE4723">
        <w:rPr>
          <w:rFonts w:cstheme="minorHAnsi"/>
          <w:sz w:val="24"/>
          <w:szCs w:val="24"/>
          <w:lang w:val="es-SV"/>
        </w:rPr>
        <w:t>bertura,</w:t>
      </w:r>
      <w:r w:rsidRPr="0094366F">
        <w:rPr>
          <w:rFonts w:cstheme="minorHAnsi"/>
          <w:sz w:val="24"/>
          <w:szCs w:val="24"/>
        </w:rPr>
        <w:t xml:space="preserve"> población general, poblaciones en mayor riesgo, coberturas de intervenciones y acceso a medicamentos antirretrovirales, entre otros.</w:t>
      </w:r>
    </w:p>
    <w:p w14:paraId="5842CE48" w14:textId="77777777" w:rsidR="00297F53" w:rsidRPr="0094366F" w:rsidRDefault="00297F53" w:rsidP="00E01055">
      <w:pPr>
        <w:spacing w:after="0" w:line="240" w:lineRule="auto"/>
        <w:jc w:val="both"/>
        <w:rPr>
          <w:rFonts w:eastAsiaTheme="minorEastAsia" w:cstheme="minorHAnsi"/>
          <w:color w:val="000000" w:themeColor="text1"/>
          <w:kern w:val="24"/>
          <w:sz w:val="24"/>
          <w:szCs w:val="24"/>
          <w:lang w:val="es-SV" w:eastAsia="es-PA"/>
        </w:rPr>
      </w:pPr>
    </w:p>
    <w:p w14:paraId="15F07C8C" w14:textId="77777777" w:rsidR="00297F53" w:rsidRPr="0094366F" w:rsidRDefault="00297F53" w:rsidP="008A3D4E">
      <w:pPr>
        <w:spacing w:after="0" w:line="240" w:lineRule="auto"/>
        <w:jc w:val="both"/>
        <w:rPr>
          <w:rFonts w:cstheme="minorHAnsi"/>
          <w:sz w:val="24"/>
          <w:szCs w:val="24"/>
        </w:rPr>
      </w:pPr>
      <w:r w:rsidRPr="0094366F">
        <w:rPr>
          <w:rFonts w:eastAsiaTheme="minorEastAsia" w:cstheme="minorHAnsi"/>
          <w:color w:val="000000" w:themeColor="text1"/>
          <w:kern w:val="24"/>
          <w:sz w:val="24"/>
          <w:szCs w:val="24"/>
          <w:lang w:val="es-SV" w:eastAsia="es-PA"/>
        </w:rPr>
        <w:t xml:space="preserve">El primer escenario es el de la </w:t>
      </w:r>
      <w:r w:rsidRPr="00056010">
        <w:rPr>
          <w:rFonts w:eastAsiaTheme="minorEastAsia" w:cstheme="minorHAnsi"/>
          <w:bCs/>
          <w:i/>
          <w:iCs/>
          <w:color w:val="000000" w:themeColor="text1"/>
          <w:kern w:val="24"/>
          <w:sz w:val="24"/>
          <w:szCs w:val="24"/>
          <w:lang w:val="es-SV" w:eastAsia="es-PA"/>
        </w:rPr>
        <w:t>Línea de Base Constante (LCB).</w:t>
      </w:r>
      <w:r w:rsidRPr="0094366F">
        <w:rPr>
          <w:rFonts w:eastAsiaTheme="minorEastAsia" w:cstheme="minorHAnsi"/>
          <w:color w:val="000000" w:themeColor="text1"/>
          <w:kern w:val="24"/>
          <w:sz w:val="24"/>
          <w:szCs w:val="24"/>
          <w:lang w:val="es-SV" w:eastAsia="es-PA"/>
        </w:rPr>
        <w:t xml:space="preserve"> </w:t>
      </w:r>
      <w:r w:rsidR="008A3D4E" w:rsidRPr="0094366F">
        <w:rPr>
          <w:rFonts w:eastAsiaTheme="minorEastAsia" w:cstheme="minorHAnsi"/>
          <w:color w:val="000000" w:themeColor="text1"/>
          <w:kern w:val="24"/>
          <w:sz w:val="24"/>
          <w:szCs w:val="24"/>
          <w:lang w:val="es-SV" w:eastAsia="es-PA"/>
        </w:rPr>
        <w:t>Aquí se plantea que es el escenario de cobertura real de intervenciones en VIH el que deberá mantenerse constante para alcanzar las proyecciones estimadas entre 2016 al 2020 en los siguientes aspectos: cobertura de TAR de adultos (</w:t>
      </w:r>
      <w:r w:rsidRPr="0094366F">
        <w:rPr>
          <w:rFonts w:cstheme="minorHAnsi"/>
          <w:sz w:val="24"/>
          <w:szCs w:val="24"/>
        </w:rPr>
        <w:t>hombres y mujeres)</w:t>
      </w:r>
      <w:r w:rsidR="008A3D4E" w:rsidRPr="0094366F">
        <w:rPr>
          <w:rFonts w:cstheme="minorHAnsi"/>
          <w:sz w:val="24"/>
          <w:szCs w:val="24"/>
        </w:rPr>
        <w:t>,</w:t>
      </w:r>
      <w:r w:rsidRPr="0094366F">
        <w:rPr>
          <w:rFonts w:cstheme="minorHAnsi"/>
          <w:sz w:val="24"/>
          <w:szCs w:val="24"/>
        </w:rPr>
        <w:t xml:space="preserve"> servicios para la población general como son movilización comunitaria, suministro de condones, entre</w:t>
      </w:r>
      <w:r w:rsidR="008A3D4E" w:rsidRPr="0094366F">
        <w:rPr>
          <w:rFonts w:cstheme="minorHAnsi"/>
          <w:sz w:val="24"/>
          <w:szCs w:val="24"/>
        </w:rPr>
        <w:t xml:space="preserve"> otros. Otra dimensión que </w:t>
      </w:r>
      <w:r w:rsidR="008A3D4E" w:rsidRPr="0094366F">
        <w:rPr>
          <w:rFonts w:cstheme="minorHAnsi"/>
          <w:sz w:val="24"/>
          <w:szCs w:val="24"/>
        </w:rPr>
        <w:lastRenderedPageBreak/>
        <w:t>deberá abarcar este escenario es la cobertura de la población clava (HSH y TSF) y población en general. Los datos con los que se inicia la TAR se basan en una estimación SPECTRUM, por lo que puede haber discrepancias respecto de los datos que arroja la implementación efectiva de la misma, dado que tampoco hay modificaciones de las condiciones para ser elegible a la TAR, en concordancia con l</w:t>
      </w:r>
      <w:r w:rsidRPr="0094366F">
        <w:rPr>
          <w:rFonts w:cstheme="minorHAnsi"/>
          <w:sz w:val="24"/>
          <w:szCs w:val="24"/>
        </w:rPr>
        <w:t xml:space="preserve">a normativa oficial actual (CD4&lt;=500).  </w:t>
      </w:r>
    </w:p>
    <w:p w14:paraId="45E6B8E9" w14:textId="77777777" w:rsidR="00773F9C" w:rsidRPr="0094366F" w:rsidRDefault="00773F9C" w:rsidP="008A3D4E">
      <w:pPr>
        <w:spacing w:after="0" w:line="240" w:lineRule="auto"/>
        <w:jc w:val="both"/>
        <w:rPr>
          <w:rFonts w:eastAsiaTheme="minorEastAsia" w:cstheme="minorHAnsi"/>
          <w:color w:val="000000" w:themeColor="text1"/>
          <w:kern w:val="24"/>
          <w:sz w:val="24"/>
          <w:szCs w:val="24"/>
          <w:lang w:val="es-SV" w:eastAsia="es-PA"/>
        </w:rPr>
      </w:pPr>
    </w:p>
    <w:p w14:paraId="3F50A95F" w14:textId="77777777" w:rsidR="00773F9C" w:rsidRPr="0094366F" w:rsidRDefault="00773F9C" w:rsidP="007E5476">
      <w:pPr>
        <w:pStyle w:val="Sinespaciado"/>
        <w:jc w:val="both"/>
        <w:rPr>
          <w:rFonts w:cstheme="minorHAnsi"/>
          <w:sz w:val="24"/>
          <w:szCs w:val="24"/>
        </w:rPr>
      </w:pPr>
      <w:r w:rsidRPr="0094366F">
        <w:rPr>
          <w:rFonts w:cstheme="minorHAnsi"/>
          <w:sz w:val="24"/>
          <w:szCs w:val="24"/>
        </w:rPr>
        <w:t xml:space="preserve">El segundo escenario consiste en el uso de la </w:t>
      </w:r>
      <w:r w:rsidRPr="00056010">
        <w:rPr>
          <w:rFonts w:cstheme="minorHAnsi"/>
          <w:bCs/>
          <w:i/>
          <w:iCs/>
          <w:sz w:val="24"/>
          <w:szCs w:val="24"/>
        </w:rPr>
        <w:t>Línea de Base Optimizada (LBO),</w:t>
      </w:r>
      <w:r w:rsidRPr="0094366F">
        <w:rPr>
          <w:rFonts w:cstheme="minorHAnsi"/>
          <w:sz w:val="24"/>
          <w:szCs w:val="24"/>
        </w:rPr>
        <w:t xml:space="preserve"> la cual consiste en la optimización del uso de los recursos invertidos disponibles bajo el esquema de cobertura de Línea de Base. Para ello, deben identificarse cuáles son las inversiones más rentables en términos del número de infecciones evitadas: mejores resultados con el mismo nivel de recursos. Para diseñar el escenario LBO s</w:t>
      </w:r>
      <w:r w:rsidR="00F00FEE" w:rsidRPr="0094366F">
        <w:rPr>
          <w:rFonts w:cstheme="minorHAnsi"/>
          <w:sz w:val="24"/>
          <w:szCs w:val="24"/>
        </w:rPr>
        <w:t xml:space="preserve">e realizó el análisis aplicando la herramienta CEA (Cost Effectiveness Analysis) de costo-efectividad y se tomó como referencia las intervenciones actuales. </w:t>
      </w:r>
      <w:r w:rsidR="00C73F4E" w:rsidRPr="0094366F">
        <w:rPr>
          <w:rFonts w:cstheme="minorHAnsi"/>
          <w:sz w:val="24"/>
          <w:szCs w:val="24"/>
        </w:rPr>
        <w:t xml:space="preserve">El análisis se aplicó en dos momentos: a) para el esquema de cobertura actual; b) a partir del modelo de cobertura predeterminado por el FT y con los valores prestablecidos para dicho modelo. </w:t>
      </w:r>
      <w:r w:rsidR="007E5476" w:rsidRPr="0094366F">
        <w:rPr>
          <w:rFonts w:cstheme="minorHAnsi"/>
          <w:sz w:val="24"/>
          <w:szCs w:val="24"/>
        </w:rPr>
        <w:t>B</w:t>
      </w:r>
      <w:r w:rsidR="00C73F4E" w:rsidRPr="0094366F">
        <w:rPr>
          <w:rFonts w:cstheme="minorHAnsi"/>
          <w:sz w:val="24"/>
          <w:szCs w:val="24"/>
        </w:rPr>
        <w:t xml:space="preserve">ajo los términos de este escenario, el aumento de cobertura reduce no sólo la tasa de infecciones, sino también el costo de la intervención. </w:t>
      </w:r>
      <w:r w:rsidR="007E5476" w:rsidRPr="0094366F">
        <w:rPr>
          <w:rFonts w:cstheme="minorHAnsi"/>
          <w:sz w:val="24"/>
          <w:szCs w:val="24"/>
        </w:rPr>
        <w:t>Asimismo, este tipo de implementación permite reajustar el esquema de cobertura de la Línea de Base para poder disminuir aquellas que no hacen un uso efectivo de los recursos y no previenen nuevas infecciones</w:t>
      </w:r>
      <w:r w:rsidR="001131F7" w:rsidRPr="0094366F">
        <w:rPr>
          <w:rFonts w:cstheme="minorHAnsi"/>
          <w:sz w:val="24"/>
          <w:szCs w:val="24"/>
        </w:rPr>
        <w:t xml:space="preserve">, </w:t>
      </w:r>
      <w:r w:rsidR="00F914DB" w:rsidRPr="0094366F">
        <w:rPr>
          <w:rFonts w:cstheme="minorHAnsi"/>
          <w:sz w:val="24"/>
          <w:szCs w:val="24"/>
        </w:rPr>
        <w:t>así como introducir aquellas que liberan recursos y aumentan la prevención</w:t>
      </w:r>
      <w:r w:rsidR="007E5476" w:rsidRPr="0094366F">
        <w:rPr>
          <w:rFonts w:cstheme="minorHAnsi"/>
          <w:sz w:val="24"/>
          <w:szCs w:val="24"/>
        </w:rPr>
        <w:t xml:space="preserve">. </w:t>
      </w:r>
    </w:p>
    <w:p w14:paraId="147E7C7A" w14:textId="77777777" w:rsidR="00F914DB" w:rsidRPr="0094366F" w:rsidRDefault="00F914DB" w:rsidP="007E5476">
      <w:pPr>
        <w:pStyle w:val="Sinespaciado"/>
        <w:jc w:val="both"/>
        <w:rPr>
          <w:rFonts w:cstheme="minorHAnsi"/>
          <w:sz w:val="24"/>
          <w:szCs w:val="24"/>
        </w:rPr>
      </w:pPr>
    </w:p>
    <w:p w14:paraId="537A1B6D" w14:textId="77777777" w:rsidR="00F914DB" w:rsidRPr="0094366F" w:rsidRDefault="00CC41A5" w:rsidP="00CC41A5">
      <w:pPr>
        <w:pStyle w:val="Sinespaciado"/>
        <w:jc w:val="both"/>
        <w:rPr>
          <w:rFonts w:cstheme="minorHAnsi"/>
          <w:sz w:val="24"/>
          <w:szCs w:val="24"/>
        </w:rPr>
      </w:pPr>
      <w:r w:rsidRPr="0094366F">
        <w:rPr>
          <w:rFonts w:cstheme="minorHAnsi"/>
          <w:sz w:val="24"/>
          <w:szCs w:val="24"/>
        </w:rPr>
        <w:t xml:space="preserve">El tercer escenario es el de </w:t>
      </w:r>
      <w:r w:rsidR="00F914DB" w:rsidRPr="00056010">
        <w:rPr>
          <w:rFonts w:cstheme="minorHAnsi"/>
          <w:bCs/>
          <w:i/>
          <w:iCs/>
          <w:sz w:val="24"/>
          <w:szCs w:val="24"/>
        </w:rPr>
        <w:t>Acción Acelerada Ajustada (AAA),</w:t>
      </w:r>
      <w:r w:rsidR="00F914DB" w:rsidRPr="0094366F">
        <w:rPr>
          <w:rFonts w:cstheme="minorHAnsi"/>
          <w:sz w:val="24"/>
          <w:szCs w:val="24"/>
        </w:rPr>
        <w:t xml:space="preserve"> </w:t>
      </w:r>
      <w:r w:rsidRPr="0094366F">
        <w:rPr>
          <w:rFonts w:cstheme="minorHAnsi"/>
          <w:sz w:val="24"/>
          <w:szCs w:val="24"/>
        </w:rPr>
        <w:t xml:space="preserve">el cual </w:t>
      </w:r>
      <w:r w:rsidR="00F914DB" w:rsidRPr="0094366F">
        <w:rPr>
          <w:rFonts w:cstheme="minorHAnsi"/>
          <w:sz w:val="24"/>
          <w:szCs w:val="24"/>
        </w:rPr>
        <w:t>mantiene los valores de la línea de base, pero para el año final ajusta las coberturas</w:t>
      </w:r>
      <w:r w:rsidR="00906D28" w:rsidRPr="0094366F">
        <w:rPr>
          <w:rFonts w:cstheme="minorHAnsi"/>
          <w:sz w:val="24"/>
          <w:szCs w:val="24"/>
        </w:rPr>
        <w:t>,</w:t>
      </w:r>
      <w:r w:rsidR="00F914DB" w:rsidRPr="0094366F">
        <w:rPr>
          <w:rFonts w:cstheme="minorHAnsi"/>
          <w:sz w:val="24"/>
          <w:szCs w:val="24"/>
        </w:rPr>
        <w:t xml:space="preserve"> considerando los siguientes criterios: 1)</w:t>
      </w:r>
      <w:r w:rsidRPr="0094366F">
        <w:rPr>
          <w:rFonts w:cstheme="minorHAnsi"/>
          <w:sz w:val="24"/>
          <w:szCs w:val="24"/>
        </w:rPr>
        <w:t xml:space="preserve"> incorporación</w:t>
      </w:r>
      <w:r w:rsidR="00906D28" w:rsidRPr="0094366F">
        <w:rPr>
          <w:rFonts w:cstheme="minorHAnsi"/>
          <w:sz w:val="24"/>
          <w:szCs w:val="24"/>
        </w:rPr>
        <w:t xml:space="preserve">, en su mayoría, de </w:t>
      </w:r>
      <w:r w:rsidR="00F914DB" w:rsidRPr="0094366F">
        <w:rPr>
          <w:rFonts w:cstheme="minorHAnsi"/>
          <w:sz w:val="24"/>
          <w:szCs w:val="24"/>
        </w:rPr>
        <w:t xml:space="preserve">las coberturas del FT vinculadas a las metas 90 90 90 para poblaciones clave y acceso a TAR; </w:t>
      </w:r>
      <w:r w:rsidR="00906D28" w:rsidRPr="0094366F">
        <w:rPr>
          <w:rFonts w:cstheme="minorHAnsi"/>
          <w:sz w:val="24"/>
          <w:szCs w:val="24"/>
        </w:rPr>
        <w:t xml:space="preserve">2) </w:t>
      </w:r>
      <w:r w:rsidR="00F914DB" w:rsidRPr="0094366F">
        <w:rPr>
          <w:rFonts w:cstheme="minorHAnsi"/>
          <w:sz w:val="24"/>
          <w:szCs w:val="24"/>
        </w:rPr>
        <w:t xml:space="preserve">incorpora en los supuestos los Lineamientos </w:t>
      </w:r>
      <w:r w:rsidR="00906D28" w:rsidRPr="0094366F">
        <w:rPr>
          <w:rFonts w:cstheme="minorHAnsi"/>
          <w:sz w:val="24"/>
          <w:szCs w:val="24"/>
        </w:rPr>
        <w:t>de la</w:t>
      </w:r>
      <w:r w:rsidR="00F914DB" w:rsidRPr="0094366F">
        <w:rPr>
          <w:rFonts w:cstheme="minorHAnsi"/>
          <w:sz w:val="24"/>
          <w:szCs w:val="24"/>
        </w:rPr>
        <w:t xml:space="preserve"> OMS (2015) para inicio de tratamiento para todos los grupos</w:t>
      </w:r>
      <w:r w:rsidR="00906D28" w:rsidRPr="0094366F">
        <w:rPr>
          <w:rFonts w:cstheme="minorHAnsi"/>
          <w:sz w:val="24"/>
          <w:szCs w:val="24"/>
        </w:rPr>
        <w:t>; 3</w:t>
      </w:r>
      <w:r w:rsidR="00F914DB" w:rsidRPr="0094366F">
        <w:rPr>
          <w:rFonts w:cstheme="minorHAnsi"/>
          <w:sz w:val="24"/>
          <w:szCs w:val="24"/>
        </w:rPr>
        <w:t>)</w:t>
      </w:r>
      <w:r w:rsidR="00906D28" w:rsidRPr="0094366F">
        <w:rPr>
          <w:rFonts w:cstheme="minorHAnsi"/>
          <w:sz w:val="24"/>
          <w:szCs w:val="24"/>
        </w:rPr>
        <w:t xml:space="preserve"> a</w:t>
      </w:r>
      <w:r w:rsidR="00F914DB" w:rsidRPr="0094366F">
        <w:rPr>
          <w:rFonts w:cstheme="minorHAnsi"/>
          <w:sz w:val="24"/>
          <w:szCs w:val="24"/>
        </w:rPr>
        <w:t>plica los resultados del análisis de rentabilidad realizado para el escenario FT</w:t>
      </w:r>
      <w:r w:rsidR="00906D28" w:rsidRPr="0094366F">
        <w:rPr>
          <w:rFonts w:cstheme="minorHAnsi"/>
          <w:sz w:val="24"/>
          <w:szCs w:val="24"/>
        </w:rPr>
        <w:t xml:space="preserve"> </w:t>
      </w:r>
      <w:r w:rsidR="00F914DB" w:rsidRPr="0094366F">
        <w:rPr>
          <w:rFonts w:cstheme="minorHAnsi"/>
          <w:sz w:val="24"/>
          <w:szCs w:val="24"/>
        </w:rPr>
        <w:t>y prioriza tres intervenciones</w:t>
      </w:r>
      <w:r w:rsidR="00906D28" w:rsidRPr="0094366F">
        <w:rPr>
          <w:rFonts w:cstheme="minorHAnsi"/>
          <w:sz w:val="24"/>
          <w:szCs w:val="24"/>
        </w:rPr>
        <w:t xml:space="preserve">: </w:t>
      </w:r>
      <w:r w:rsidR="00F914DB" w:rsidRPr="0094366F">
        <w:rPr>
          <w:rFonts w:cstheme="minorHAnsi"/>
          <w:sz w:val="24"/>
          <w:szCs w:val="24"/>
        </w:rPr>
        <w:t>TAR,  condón y servicios para HSH</w:t>
      </w:r>
      <w:r w:rsidR="00906D28" w:rsidRPr="0094366F">
        <w:rPr>
          <w:rFonts w:cstheme="minorHAnsi"/>
          <w:sz w:val="24"/>
          <w:szCs w:val="24"/>
        </w:rPr>
        <w:t>; 4</w:t>
      </w:r>
      <w:r w:rsidR="00F914DB" w:rsidRPr="0094366F">
        <w:rPr>
          <w:rFonts w:cstheme="minorHAnsi"/>
          <w:sz w:val="24"/>
          <w:szCs w:val="24"/>
        </w:rPr>
        <w:t>)</w:t>
      </w:r>
      <w:r w:rsidR="00906D28" w:rsidRPr="0094366F">
        <w:rPr>
          <w:rFonts w:cstheme="minorHAnsi"/>
          <w:sz w:val="24"/>
          <w:szCs w:val="24"/>
        </w:rPr>
        <w:t xml:space="preserve"> m</w:t>
      </w:r>
      <w:r w:rsidR="00F914DB" w:rsidRPr="0094366F">
        <w:rPr>
          <w:rFonts w:cstheme="minorHAnsi"/>
          <w:sz w:val="24"/>
          <w:szCs w:val="24"/>
        </w:rPr>
        <w:t>antiene en descenso las intervenciones que no son rentables</w:t>
      </w:r>
      <w:r w:rsidR="00906D28" w:rsidRPr="0094366F">
        <w:rPr>
          <w:rFonts w:cstheme="minorHAnsi"/>
          <w:sz w:val="24"/>
          <w:szCs w:val="24"/>
        </w:rPr>
        <w:t>,</w:t>
      </w:r>
      <w:r w:rsidR="00F914DB" w:rsidRPr="0094366F">
        <w:rPr>
          <w:rFonts w:cstheme="minorHAnsi"/>
          <w:sz w:val="24"/>
          <w:szCs w:val="24"/>
        </w:rPr>
        <w:t xml:space="preserve"> y p</w:t>
      </w:r>
      <w:r w:rsidR="00906D28" w:rsidRPr="0094366F">
        <w:rPr>
          <w:rFonts w:cstheme="minorHAnsi"/>
          <w:sz w:val="24"/>
          <w:szCs w:val="24"/>
        </w:rPr>
        <w:t>royecta</w:t>
      </w:r>
      <w:r w:rsidR="00F914DB" w:rsidRPr="0094366F">
        <w:rPr>
          <w:rFonts w:cstheme="minorHAnsi"/>
          <w:sz w:val="24"/>
          <w:szCs w:val="24"/>
        </w:rPr>
        <w:t xml:space="preserve"> un aumento  conservador en las  pruebas PVC,  considerando el continuo de la atención. </w:t>
      </w:r>
    </w:p>
    <w:p w14:paraId="0E7B0CE7" w14:textId="77777777" w:rsidR="00906D28" w:rsidRPr="0094366F" w:rsidRDefault="00906D28" w:rsidP="00CC41A5">
      <w:pPr>
        <w:pStyle w:val="Sinespaciado"/>
        <w:jc w:val="both"/>
        <w:rPr>
          <w:rFonts w:cstheme="minorHAnsi"/>
          <w:sz w:val="24"/>
          <w:szCs w:val="24"/>
        </w:rPr>
      </w:pPr>
    </w:p>
    <w:p w14:paraId="21AAA767" w14:textId="77777777" w:rsidR="00906D28" w:rsidRPr="0094366F" w:rsidRDefault="009959D2" w:rsidP="00906D28">
      <w:pPr>
        <w:pStyle w:val="Sinespaciado"/>
        <w:jc w:val="both"/>
        <w:rPr>
          <w:rFonts w:cstheme="minorHAnsi"/>
          <w:sz w:val="24"/>
          <w:szCs w:val="24"/>
        </w:rPr>
      </w:pPr>
      <w:r w:rsidRPr="0094366F">
        <w:rPr>
          <w:rFonts w:cstheme="minorHAnsi"/>
          <w:sz w:val="24"/>
          <w:szCs w:val="24"/>
        </w:rPr>
        <w:t xml:space="preserve">Finalmente, está el escenario de </w:t>
      </w:r>
      <w:r w:rsidR="00906D28" w:rsidRPr="00056010">
        <w:rPr>
          <w:rFonts w:cstheme="minorHAnsi"/>
          <w:bCs/>
          <w:i/>
          <w:iCs/>
          <w:sz w:val="24"/>
          <w:szCs w:val="24"/>
        </w:rPr>
        <w:t>Acción Acelerada (AA)</w:t>
      </w:r>
      <w:r w:rsidRPr="00056010">
        <w:rPr>
          <w:rFonts w:cstheme="minorHAnsi"/>
          <w:bCs/>
          <w:i/>
          <w:iCs/>
          <w:sz w:val="24"/>
          <w:szCs w:val="24"/>
        </w:rPr>
        <w:t>,</w:t>
      </w:r>
      <w:r w:rsidRPr="0094366F">
        <w:rPr>
          <w:rFonts w:cstheme="minorHAnsi"/>
          <w:sz w:val="24"/>
          <w:szCs w:val="24"/>
        </w:rPr>
        <w:t xml:space="preserve"> que se basa en la aplicación de los parámetros globales del FT de ONUSIDA, que han sido incorporados al sistema por SPECTRUM</w:t>
      </w:r>
      <w:r w:rsidR="00906D28" w:rsidRPr="0094366F">
        <w:rPr>
          <w:rFonts w:cstheme="minorHAnsi"/>
          <w:sz w:val="24"/>
          <w:szCs w:val="24"/>
        </w:rPr>
        <w:t xml:space="preserve">. </w:t>
      </w:r>
      <w:r w:rsidRPr="0094366F">
        <w:rPr>
          <w:rFonts w:cstheme="minorHAnsi"/>
          <w:sz w:val="24"/>
          <w:szCs w:val="24"/>
        </w:rPr>
        <w:t>En este escenario s</w:t>
      </w:r>
      <w:r w:rsidR="00906D28" w:rsidRPr="0094366F">
        <w:rPr>
          <w:rFonts w:cstheme="minorHAnsi"/>
          <w:sz w:val="24"/>
          <w:szCs w:val="24"/>
        </w:rPr>
        <w:t>e establecen l</w:t>
      </w:r>
      <w:r w:rsidRPr="0094366F">
        <w:rPr>
          <w:rFonts w:cstheme="minorHAnsi"/>
          <w:sz w:val="24"/>
          <w:szCs w:val="24"/>
        </w:rPr>
        <w:t xml:space="preserve">os niveles de cobertura más altos a los que se necesita llegar en contextos como epidemia generalizada, o en ausencia de cualquier tipo de restricción económica. Bajo estos términos y para la población general, el parámetro de eliminación de la epidemia del Sida oscila entre el </w:t>
      </w:r>
      <w:r w:rsidR="00906D28" w:rsidRPr="0094366F">
        <w:rPr>
          <w:rFonts w:cstheme="minorHAnsi"/>
          <w:sz w:val="24"/>
          <w:szCs w:val="24"/>
        </w:rPr>
        <w:t xml:space="preserve">80% y </w:t>
      </w:r>
      <w:r w:rsidRPr="0094366F">
        <w:rPr>
          <w:rFonts w:cstheme="minorHAnsi"/>
          <w:sz w:val="24"/>
          <w:szCs w:val="24"/>
        </w:rPr>
        <w:t>el</w:t>
      </w:r>
      <w:r w:rsidR="00906D28" w:rsidRPr="0094366F">
        <w:rPr>
          <w:rFonts w:cstheme="minorHAnsi"/>
          <w:sz w:val="24"/>
          <w:szCs w:val="24"/>
        </w:rPr>
        <w:t xml:space="preserve"> 100% en cada un</w:t>
      </w:r>
      <w:r w:rsidRPr="0094366F">
        <w:rPr>
          <w:rFonts w:cstheme="minorHAnsi"/>
          <w:sz w:val="24"/>
          <w:szCs w:val="24"/>
        </w:rPr>
        <w:t>a</w:t>
      </w:r>
      <w:r w:rsidR="00906D28" w:rsidRPr="0094366F">
        <w:rPr>
          <w:rFonts w:cstheme="minorHAnsi"/>
          <w:sz w:val="24"/>
          <w:szCs w:val="24"/>
        </w:rPr>
        <w:t xml:space="preserve"> de las intervenciones esenciales</w:t>
      </w:r>
      <w:r w:rsidRPr="0094366F">
        <w:rPr>
          <w:rFonts w:cstheme="minorHAnsi"/>
          <w:sz w:val="24"/>
          <w:szCs w:val="24"/>
        </w:rPr>
        <w:t>. Se</w:t>
      </w:r>
      <w:r w:rsidR="00906D28" w:rsidRPr="0094366F">
        <w:rPr>
          <w:rFonts w:cstheme="minorHAnsi"/>
          <w:sz w:val="24"/>
          <w:szCs w:val="24"/>
        </w:rPr>
        <w:t xml:space="preserve"> estima llegar al 90% en cobertura de servicios para población clave, servicios de salud y acceso a medicamentos antirretrovirales para adultos, niños y embarazadas.</w:t>
      </w:r>
    </w:p>
    <w:p w14:paraId="2AE4D7B6" w14:textId="77777777" w:rsidR="009959D2" w:rsidRPr="0094366F" w:rsidRDefault="009959D2" w:rsidP="00906D28">
      <w:pPr>
        <w:pStyle w:val="Sinespaciado"/>
        <w:jc w:val="both"/>
        <w:rPr>
          <w:rFonts w:cstheme="minorHAnsi"/>
          <w:sz w:val="24"/>
          <w:szCs w:val="24"/>
        </w:rPr>
      </w:pPr>
    </w:p>
    <w:p w14:paraId="28342AEC" w14:textId="77777777" w:rsidR="00906D28" w:rsidRPr="0094366F" w:rsidRDefault="009959D2" w:rsidP="00906D28">
      <w:pPr>
        <w:pStyle w:val="Sinespaciado"/>
        <w:jc w:val="both"/>
        <w:rPr>
          <w:rFonts w:cstheme="minorHAnsi"/>
          <w:sz w:val="24"/>
          <w:szCs w:val="24"/>
        </w:rPr>
      </w:pPr>
      <w:r w:rsidRPr="0094366F">
        <w:rPr>
          <w:rFonts w:cstheme="minorHAnsi"/>
          <w:sz w:val="24"/>
          <w:szCs w:val="24"/>
        </w:rPr>
        <w:t>Sin embargo, hay que señalar que ninguno de estos cuatro escenario</w:t>
      </w:r>
      <w:r w:rsidR="001A50EE" w:rsidRPr="0094366F">
        <w:rPr>
          <w:rFonts w:cstheme="minorHAnsi"/>
          <w:sz w:val="24"/>
          <w:szCs w:val="24"/>
        </w:rPr>
        <w:t>s</w:t>
      </w:r>
      <w:r w:rsidRPr="0094366F">
        <w:rPr>
          <w:rFonts w:cstheme="minorHAnsi"/>
          <w:sz w:val="24"/>
          <w:szCs w:val="24"/>
        </w:rPr>
        <w:t xml:space="preserve"> incluye para este periodo la </w:t>
      </w:r>
      <w:r w:rsidRPr="00056010">
        <w:rPr>
          <w:rFonts w:cstheme="minorHAnsi"/>
          <w:bCs/>
          <w:sz w:val="24"/>
          <w:szCs w:val="24"/>
        </w:rPr>
        <w:t>Profilaxis pre-exposición (PreP).</w:t>
      </w:r>
      <w:r w:rsidRPr="0094366F">
        <w:rPr>
          <w:rFonts w:cstheme="minorHAnsi"/>
          <w:sz w:val="24"/>
          <w:szCs w:val="24"/>
        </w:rPr>
        <w:t xml:space="preserve"> Esto debido a que en el país todavía hay brechas significativas en la continuidad de la atención, ya que la atención y recursos se destinan </w:t>
      </w:r>
      <w:r w:rsidRPr="0094366F">
        <w:rPr>
          <w:rFonts w:cstheme="minorHAnsi"/>
          <w:sz w:val="24"/>
          <w:szCs w:val="24"/>
        </w:rPr>
        <w:lastRenderedPageBreak/>
        <w:t xml:space="preserve">principalmente a mejorar el segundo y tercer noventa de las metas. </w:t>
      </w:r>
      <w:r w:rsidR="00906D28" w:rsidRPr="0094366F">
        <w:rPr>
          <w:rFonts w:cstheme="minorHAnsi"/>
          <w:sz w:val="24"/>
          <w:szCs w:val="24"/>
        </w:rPr>
        <w:t>Podrá explorarse a futuro la inco</w:t>
      </w:r>
      <w:r w:rsidR="001A50EE" w:rsidRPr="0094366F">
        <w:rPr>
          <w:rFonts w:cstheme="minorHAnsi"/>
          <w:sz w:val="24"/>
          <w:szCs w:val="24"/>
        </w:rPr>
        <w:t>rporación de esta</w:t>
      </w:r>
      <w:r w:rsidR="00906D28" w:rsidRPr="0094366F">
        <w:rPr>
          <w:rFonts w:cstheme="minorHAnsi"/>
          <w:sz w:val="24"/>
          <w:szCs w:val="24"/>
        </w:rPr>
        <w:t xml:space="preserve"> intervención por</w:t>
      </w:r>
      <w:r w:rsidR="006A312E">
        <w:rPr>
          <w:rFonts w:cstheme="minorHAnsi"/>
          <w:sz w:val="24"/>
          <w:szCs w:val="24"/>
        </w:rPr>
        <w:t xml:space="preserve"> parte de proveedores privados </w:t>
      </w:r>
      <w:r w:rsidR="00906D28" w:rsidRPr="0094366F">
        <w:rPr>
          <w:rFonts w:cstheme="minorHAnsi"/>
          <w:sz w:val="24"/>
          <w:szCs w:val="24"/>
        </w:rPr>
        <w:t>para ser ofertada en el mercado privado de servicios de salud, no obstante</w:t>
      </w:r>
      <w:r w:rsidR="00DE2177">
        <w:rPr>
          <w:rFonts w:cstheme="minorHAnsi"/>
          <w:sz w:val="24"/>
          <w:szCs w:val="24"/>
        </w:rPr>
        <w:t>,</w:t>
      </w:r>
      <w:r w:rsidR="00906D28" w:rsidRPr="0094366F">
        <w:rPr>
          <w:rFonts w:cstheme="minorHAnsi"/>
          <w:sz w:val="24"/>
          <w:szCs w:val="24"/>
        </w:rPr>
        <w:t xml:space="preserve"> será necesario los análisis y consideraciones t</w:t>
      </w:r>
      <w:r w:rsidR="006A312E">
        <w:rPr>
          <w:rFonts w:cstheme="minorHAnsi"/>
          <w:sz w:val="24"/>
          <w:szCs w:val="24"/>
        </w:rPr>
        <w:t xml:space="preserve">écnicas que garanticen al país </w:t>
      </w:r>
      <w:r w:rsidR="00906D28" w:rsidRPr="0094366F">
        <w:rPr>
          <w:rFonts w:cstheme="minorHAnsi"/>
          <w:sz w:val="24"/>
          <w:szCs w:val="24"/>
        </w:rPr>
        <w:t>no recibir de rebote l</w:t>
      </w:r>
      <w:r w:rsidR="006A312E">
        <w:rPr>
          <w:rFonts w:cstheme="minorHAnsi"/>
          <w:sz w:val="24"/>
          <w:szCs w:val="24"/>
        </w:rPr>
        <w:t>os efectos que pueda generar la</w:t>
      </w:r>
      <w:r w:rsidR="00906D28" w:rsidRPr="0094366F">
        <w:rPr>
          <w:rFonts w:cstheme="minorHAnsi"/>
          <w:sz w:val="24"/>
          <w:szCs w:val="24"/>
        </w:rPr>
        <w:t xml:space="preserve"> no adherencia a la PreP.  </w:t>
      </w:r>
    </w:p>
    <w:p w14:paraId="745F7659" w14:textId="77777777" w:rsidR="00906D28" w:rsidRPr="0094366F" w:rsidRDefault="00906D28" w:rsidP="00CC41A5">
      <w:pPr>
        <w:pStyle w:val="Sinespaciado"/>
        <w:jc w:val="both"/>
        <w:rPr>
          <w:rFonts w:cstheme="minorHAnsi"/>
          <w:sz w:val="24"/>
          <w:szCs w:val="24"/>
        </w:rPr>
      </w:pPr>
    </w:p>
    <w:p w14:paraId="0D4C33A3" w14:textId="77777777" w:rsidR="0069103E" w:rsidRPr="0094366F" w:rsidRDefault="00FA25A6" w:rsidP="008131CF">
      <w:pPr>
        <w:pStyle w:val="Ttulo3"/>
        <w:rPr>
          <w:rFonts w:eastAsia="Times New Roman"/>
          <w:lang w:val="es-PA" w:eastAsia="es-PA"/>
        </w:rPr>
      </w:pPr>
      <w:bookmarkStart w:id="14" w:name="_Toc15275133"/>
      <w:r>
        <w:rPr>
          <w:rFonts w:eastAsiaTheme="minorEastAsia"/>
          <w:lang w:val="es-PA" w:eastAsia="es-PA"/>
        </w:rPr>
        <w:t>3.</w:t>
      </w:r>
      <w:r w:rsidR="008131CF">
        <w:rPr>
          <w:rFonts w:eastAsiaTheme="minorEastAsia"/>
          <w:lang w:val="es-PA" w:eastAsia="es-PA"/>
        </w:rPr>
        <w:t>6</w:t>
      </w:r>
      <w:r>
        <w:rPr>
          <w:rFonts w:eastAsiaTheme="minorEastAsia"/>
          <w:lang w:val="es-PA" w:eastAsia="es-PA"/>
        </w:rPr>
        <w:t>.3</w:t>
      </w:r>
      <w:r w:rsidR="0069103E" w:rsidRPr="0094366F">
        <w:rPr>
          <w:rFonts w:eastAsiaTheme="minorEastAsia"/>
          <w:lang w:val="es-PA" w:eastAsia="es-PA"/>
        </w:rPr>
        <w:t xml:space="preserve"> </w:t>
      </w:r>
      <w:r>
        <w:rPr>
          <w:rFonts w:eastAsiaTheme="minorEastAsia"/>
          <w:lang w:val="es-PA" w:eastAsia="es-PA"/>
        </w:rPr>
        <w:t>F</w:t>
      </w:r>
      <w:r w:rsidR="0069103E" w:rsidRPr="0094366F">
        <w:rPr>
          <w:rFonts w:eastAsiaTheme="minorEastAsia"/>
          <w:lang w:val="es-PA" w:eastAsia="es-PA"/>
        </w:rPr>
        <w:t>inanciamiento nacional e internacional para VIH</w:t>
      </w:r>
      <w:bookmarkEnd w:id="14"/>
    </w:p>
    <w:p w14:paraId="3F65BF12" w14:textId="77777777" w:rsidR="0069103E" w:rsidRPr="0094366F" w:rsidRDefault="0069103E" w:rsidP="0069103E">
      <w:pPr>
        <w:spacing w:after="0" w:line="240" w:lineRule="auto"/>
        <w:jc w:val="both"/>
        <w:rPr>
          <w:rFonts w:eastAsia="Times New Roman" w:cstheme="minorHAnsi"/>
          <w:sz w:val="24"/>
          <w:szCs w:val="24"/>
          <w:lang w:val="es-PA" w:eastAsia="es-PA"/>
        </w:rPr>
      </w:pPr>
    </w:p>
    <w:p w14:paraId="3D5FDAA0" w14:textId="77777777" w:rsidR="0069103E" w:rsidRPr="0094366F" w:rsidRDefault="0069103E" w:rsidP="0069103E">
      <w:pPr>
        <w:spacing w:after="0" w:line="240" w:lineRule="auto"/>
        <w:jc w:val="both"/>
        <w:rPr>
          <w:rFonts w:eastAsia="Times New Roman" w:cstheme="minorHAnsi"/>
          <w:sz w:val="24"/>
          <w:szCs w:val="24"/>
          <w:lang w:val="es-SV" w:eastAsia="es-SV"/>
        </w:rPr>
      </w:pPr>
      <w:r w:rsidRPr="0094366F">
        <w:rPr>
          <w:rFonts w:eastAsia="Times New Roman" w:cstheme="minorHAnsi"/>
          <w:sz w:val="24"/>
          <w:szCs w:val="24"/>
          <w:lang w:val="es-SV" w:eastAsia="es-SV"/>
        </w:rPr>
        <w:t>En términos generales, El Salvador se caracteriza por ser un país marcado por grandes brechas entre ricos y pobres, cuyo origen se encuentra en la estructura económica del país, y en los factores tanto externos como internos que la determinan. El Salvador es un país de renta media-baja, con un índice de desarrollo humano medio de acuerdo con el Informe de Desarrollo Humano del PNUD del 2016. Las desigualdades económicas son fundamentales para comprender la brecha del acceso a la salud como un derecho humano fundamental, ya que se estima que el 30% de la población vive por debajo de la línea de pobreza y el 11.3% vive en pobreza extrema.</w:t>
      </w:r>
    </w:p>
    <w:p w14:paraId="2152F1BC" w14:textId="77777777" w:rsidR="0069103E" w:rsidRPr="0094366F" w:rsidRDefault="0069103E" w:rsidP="0069103E">
      <w:pPr>
        <w:spacing w:after="0" w:line="240" w:lineRule="auto"/>
        <w:jc w:val="both"/>
        <w:rPr>
          <w:rFonts w:eastAsia="Times New Roman" w:cstheme="minorHAnsi"/>
          <w:sz w:val="24"/>
          <w:szCs w:val="24"/>
          <w:lang w:val="es-SV" w:eastAsia="es-SV"/>
        </w:rPr>
      </w:pPr>
    </w:p>
    <w:p w14:paraId="06108953" w14:textId="77777777" w:rsidR="0069103E" w:rsidRPr="0094366F" w:rsidRDefault="0069103E" w:rsidP="0069103E">
      <w:pPr>
        <w:spacing w:after="0" w:line="240" w:lineRule="auto"/>
        <w:jc w:val="both"/>
        <w:rPr>
          <w:rFonts w:eastAsia="Times New Roman" w:cstheme="minorHAnsi"/>
          <w:sz w:val="24"/>
          <w:szCs w:val="24"/>
          <w:lang w:val="es-SV" w:eastAsia="es-SV"/>
        </w:rPr>
      </w:pPr>
      <w:r w:rsidRPr="0094366F">
        <w:rPr>
          <w:rFonts w:eastAsia="Times New Roman" w:cstheme="minorHAnsi"/>
          <w:sz w:val="24"/>
          <w:szCs w:val="24"/>
          <w:lang w:val="es-SV" w:eastAsia="es-SV"/>
        </w:rPr>
        <w:t>Otro factor a tomar en cuenta a nivel macroeconómico es que El Salvador depende fuertemente del ingreso proveniente del exterior: buena parte de la economía se sustenta en remesas, que constituyeron el 17% del PIB en 2015. Asimismo, las importaciones (36.77% del PIB) y exportaciones (+/- 20 % del PIB) representan alrededor del 80% del PIB. Como puede observarse, la alta dependencia de este tipo de ingresos hace más vulnerable a la economía salvadoreña, ya que la exponen a crisis financieras, sociales, alzas del precio de los alimentos y del combustible, y limitan la capacidad de enfrentarlas exitosamente.</w:t>
      </w:r>
    </w:p>
    <w:p w14:paraId="4370E854" w14:textId="77777777" w:rsidR="0069103E" w:rsidRPr="0094366F" w:rsidRDefault="0069103E" w:rsidP="0069103E">
      <w:pPr>
        <w:spacing w:after="0" w:line="240" w:lineRule="auto"/>
        <w:jc w:val="both"/>
        <w:rPr>
          <w:rFonts w:eastAsia="Times New Roman" w:cstheme="minorHAnsi"/>
          <w:sz w:val="24"/>
          <w:szCs w:val="24"/>
          <w:lang w:val="es-SV" w:eastAsia="es-SV"/>
        </w:rPr>
      </w:pPr>
    </w:p>
    <w:p w14:paraId="5D8DBAAD" w14:textId="0003B54B" w:rsidR="0069103E" w:rsidRPr="0094366F" w:rsidRDefault="0069103E" w:rsidP="0069103E">
      <w:pPr>
        <w:spacing w:after="0" w:line="240" w:lineRule="auto"/>
        <w:jc w:val="both"/>
        <w:rPr>
          <w:rFonts w:eastAsia="Times New Roman" w:cstheme="minorHAnsi"/>
          <w:sz w:val="24"/>
          <w:szCs w:val="24"/>
          <w:lang w:val="es-SV" w:eastAsia="es-SV"/>
        </w:rPr>
      </w:pPr>
      <w:r w:rsidRPr="0094366F">
        <w:rPr>
          <w:rFonts w:eastAsia="Times New Roman" w:cstheme="minorHAnsi"/>
          <w:sz w:val="24"/>
          <w:szCs w:val="24"/>
          <w:lang w:val="es-SV" w:eastAsia="es-SV"/>
        </w:rPr>
        <w:t>Como consecuencia, el crecimiento económico se desacelera o crece a un ritmo muy lento. Para el año 2017, la tasa de crecimiento fue de 2.3%, más bajo que en 2016 (tasa de crecimiento de 2.6%), mientras que el nivel de deuda para</w:t>
      </w:r>
      <w:r w:rsidR="0094366F">
        <w:rPr>
          <w:rFonts w:eastAsia="Times New Roman" w:cstheme="minorHAnsi"/>
          <w:sz w:val="24"/>
          <w:szCs w:val="24"/>
          <w:lang w:val="es-SV" w:eastAsia="es-SV"/>
        </w:rPr>
        <w:t xml:space="preserve"> 2017 fue del 71,6% del PIB, </w:t>
      </w:r>
      <w:r w:rsidR="002B7EE6">
        <w:rPr>
          <w:rFonts w:eastAsia="Times New Roman" w:cstheme="minorHAnsi"/>
          <w:sz w:val="24"/>
          <w:szCs w:val="24"/>
          <w:lang w:val="es-SV" w:eastAsia="es-SV"/>
        </w:rPr>
        <w:t xml:space="preserve">ya </w:t>
      </w:r>
      <w:r w:rsidR="002B7EE6" w:rsidRPr="0094366F">
        <w:rPr>
          <w:rFonts w:eastAsia="Times New Roman" w:cstheme="minorHAnsi"/>
          <w:sz w:val="24"/>
          <w:szCs w:val="24"/>
          <w:lang w:val="es-SV" w:eastAsia="es-SV"/>
        </w:rPr>
        <w:t>que,</w:t>
      </w:r>
      <w:r w:rsidRPr="0094366F">
        <w:rPr>
          <w:rFonts w:eastAsia="Times New Roman" w:cstheme="minorHAnsi"/>
          <w:sz w:val="24"/>
          <w:szCs w:val="24"/>
          <w:lang w:val="es-SV" w:eastAsia="es-SV"/>
        </w:rPr>
        <w:t xml:space="preserve"> al destinar un porcentaje tan alto del ingreso nacional para el pago de deuda, el Estado salvadoreño adquirió más deuda de la que debía, con base en su capacidad real de pago.</w:t>
      </w:r>
    </w:p>
    <w:p w14:paraId="213F68B9" w14:textId="77777777" w:rsidR="0069103E" w:rsidRPr="0094366F" w:rsidRDefault="0069103E" w:rsidP="0069103E">
      <w:pPr>
        <w:spacing w:after="0" w:line="240" w:lineRule="auto"/>
        <w:jc w:val="both"/>
        <w:rPr>
          <w:rFonts w:eastAsia="Times New Roman" w:cstheme="minorHAnsi"/>
          <w:sz w:val="24"/>
          <w:szCs w:val="24"/>
          <w:lang w:val="es-SV" w:eastAsia="es-SV"/>
        </w:rPr>
      </w:pPr>
    </w:p>
    <w:p w14:paraId="18A14DF0" w14:textId="77777777" w:rsidR="0069103E" w:rsidRPr="0094366F" w:rsidRDefault="0069103E" w:rsidP="0069103E">
      <w:pPr>
        <w:spacing w:after="0" w:line="240" w:lineRule="auto"/>
        <w:jc w:val="both"/>
        <w:rPr>
          <w:rFonts w:eastAsia="Times New Roman" w:cstheme="minorHAnsi"/>
          <w:sz w:val="24"/>
          <w:szCs w:val="24"/>
          <w:lang w:val="es-SV" w:eastAsia="es-SV"/>
        </w:rPr>
      </w:pPr>
      <w:r w:rsidRPr="0094366F">
        <w:rPr>
          <w:rFonts w:eastAsia="Times New Roman" w:cstheme="minorHAnsi"/>
          <w:sz w:val="24"/>
          <w:szCs w:val="24"/>
          <w:lang w:val="es-SV" w:eastAsia="es-SV"/>
        </w:rPr>
        <w:t>El estado de estos indicadores macroeconómicos explica el deterioro de las condiciones de vida de la población salvadoreña, dado que los subsidios de energía eléctrica y gas propano se vieron disminuidos en como medida de austeridad en el año 2016. La depuración de beneficiados de subsidios, por otro lado, fue consecuencia del descenso en el precio del petróleo como el precio internacional del gas licuado, que impactaron en una reducción del subsidio al gas y en el de electricidad en US$78.5 millones y US$29.4 millones, respectivamente. Y aunque la subida de los precios internacionales tanto de petróleo como de gas licuado influyeron sobre un aumento paulatino a los subsidios entre 2016-2018, también la ampliación de la cantidad de beneficiarios (cien mil nuevos beneficiarios en diciembre de 2017) es un factor determinante en el aumento del déficit fiscal en El Salvador.</w:t>
      </w:r>
    </w:p>
    <w:p w14:paraId="7F37A3A9" w14:textId="77777777" w:rsidR="0069103E" w:rsidRPr="0094366F" w:rsidRDefault="0069103E" w:rsidP="0069103E">
      <w:pPr>
        <w:spacing w:after="0" w:line="240" w:lineRule="auto"/>
        <w:jc w:val="both"/>
        <w:rPr>
          <w:rFonts w:eastAsia="Times New Roman" w:cstheme="minorHAnsi"/>
          <w:sz w:val="24"/>
          <w:szCs w:val="24"/>
          <w:lang w:val="es-SV" w:eastAsia="es-SV"/>
        </w:rPr>
      </w:pPr>
      <w:r w:rsidRPr="0094366F">
        <w:rPr>
          <w:rFonts w:eastAsia="Times New Roman" w:cstheme="minorHAnsi"/>
          <w:sz w:val="24"/>
          <w:szCs w:val="24"/>
          <w:lang w:val="es-SV" w:eastAsia="es-SV"/>
        </w:rPr>
        <w:t xml:space="preserve"> </w:t>
      </w:r>
    </w:p>
    <w:p w14:paraId="148E826F" w14:textId="77777777" w:rsidR="00056010" w:rsidRDefault="00056010" w:rsidP="008131CF">
      <w:pPr>
        <w:rPr>
          <w:b/>
          <w:bCs/>
          <w:lang w:val="es-SV" w:eastAsia="es-SV"/>
        </w:rPr>
      </w:pPr>
    </w:p>
    <w:p w14:paraId="3A2E8F80" w14:textId="77777777" w:rsidR="0069103E" w:rsidRPr="00056010" w:rsidRDefault="00FA25A6" w:rsidP="008131CF">
      <w:pPr>
        <w:rPr>
          <w:b/>
          <w:bCs/>
          <w:lang w:val="es-SV" w:eastAsia="es-SV"/>
        </w:rPr>
      </w:pPr>
      <w:r w:rsidRPr="00056010">
        <w:rPr>
          <w:b/>
          <w:bCs/>
          <w:lang w:val="es-SV" w:eastAsia="es-SV"/>
        </w:rPr>
        <w:lastRenderedPageBreak/>
        <w:t>3.</w:t>
      </w:r>
      <w:r w:rsidR="00056010">
        <w:rPr>
          <w:b/>
          <w:bCs/>
          <w:lang w:val="es-SV" w:eastAsia="es-SV"/>
        </w:rPr>
        <w:t>6</w:t>
      </w:r>
      <w:r w:rsidRPr="00056010">
        <w:rPr>
          <w:b/>
          <w:bCs/>
          <w:lang w:val="es-SV" w:eastAsia="es-SV"/>
        </w:rPr>
        <w:t>.3.1</w:t>
      </w:r>
      <w:r w:rsidR="0069103E" w:rsidRPr="00056010">
        <w:rPr>
          <w:b/>
          <w:bCs/>
          <w:lang w:val="es-SV" w:eastAsia="es-SV"/>
        </w:rPr>
        <w:t xml:space="preserve"> Estructura del sistema previsional de salud en El Salvador</w:t>
      </w:r>
    </w:p>
    <w:p w14:paraId="2743FDAA" w14:textId="77777777" w:rsidR="0069103E" w:rsidRPr="0094366F" w:rsidRDefault="0069103E" w:rsidP="0069103E">
      <w:pPr>
        <w:spacing w:after="0" w:line="240" w:lineRule="auto"/>
        <w:jc w:val="both"/>
        <w:rPr>
          <w:rFonts w:eastAsia="Times New Roman" w:cstheme="minorHAnsi"/>
          <w:sz w:val="24"/>
          <w:szCs w:val="24"/>
          <w:lang w:val="es-SV" w:eastAsia="es-SV"/>
        </w:rPr>
      </w:pPr>
    </w:p>
    <w:p w14:paraId="76672644" w14:textId="77777777" w:rsidR="0069103E" w:rsidRPr="0094366F" w:rsidRDefault="0069103E" w:rsidP="0069103E">
      <w:pPr>
        <w:spacing w:after="0" w:line="240" w:lineRule="auto"/>
        <w:jc w:val="both"/>
        <w:rPr>
          <w:rFonts w:eastAsia="Times New Roman" w:cstheme="minorHAnsi"/>
          <w:sz w:val="24"/>
          <w:szCs w:val="24"/>
          <w:lang w:val="es-SV" w:eastAsia="es-SV"/>
        </w:rPr>
      </w:pPr>
      <w:r w:rsidRPr="0094366F">
        <w:rPr>
          <w:rFonts w:eastAsia="Times New Roman" w:cstheme="minorHAnsi"/>
          <w:sz w:val="24"/>
          <w:szCs w:val="24"/>
          <w:lang w:val="es-SV" w:eastAsia="es-SV"/>
        </w:rPr>
        <w:t xml:space="preserve">Partiendo de este panorama macroeconómico se hará el análisis del gasto nacional en VIH. El sistema de salud tiene una estructura por macro-funciones, que son cuatro: el financiamiento, el aseguramiento, la provisión y la rectoría. </w:t>
      </w:r>
      <w:r w:rsidR="00384EF8" w:rsidRPr="0094366F">
        <w:rPr>
          <w:rFonts w:eastAsia="Times New Roman" w:cstheme="minorHAnsi"/>
          <w:sz w:val="24"/>
          <w:szCs w:val="24"/>
          <w:lang w:val="es-SV" w:eastAsia="es-SV"/>
        </w:rPr>
        <w:t>Asimismo,</w:t>
      </w:r>
      <w:r w:rsidRPr="0094366F">
        <w:rPr>
          <w:rFonts w:eastAsia="Times New Roman" w:cstheme="minorHAnsi"/>
          <w:sz w:val="24"/>
          <w:szCs w:val="24"/>
          <w:lang w:val="es-SV" w:eastAsia="es-SV"/>
        </w:rPr>
        <w:t xml:space="preserve"> dicho sistema de salud es de carácter mixto, ya que en él coexisten en las formas de financiamiento, provisión y aseguramiento, entidades públicas y privadas.</w:t>
      </w:r>
    </w:p>
    <w:p w14:paraId="6E33F1CA" w14:textId="77777777" w:rsidR="0069103E" w:rsidRPr="0094366F" w:rsidRDefault="0069103E" w:rsidP="0069103E">
      <w:pPr>
        <w:spacing w:after="0" w:line="240" w:lineRule="auto"/>
        <w:jc w:val="both"/>
        <w:rPr>
          <w:rFonts w:eastAsia="Times New Roman" w:cstheme="minorHAnsi"/>
          <w:sz w:val="24"/>
          <w:szCs w:val="24"/>
          <w:lang w:val="es-SV" w:eastAsia="es-SV"/>
        </w:rPr>
      </w:pPr>
    </w:p>
    <w:p w14:paraId="59CFD295" w14:textId="77777777" w:rsidR="0069103E" w:rsidRPr="0094366F" w:rsidRDefault="0069103E" w:rsidP="0069103E">
      <w:pPr>
        <w:spacing w:after="0" w:line="240" w:lineRule="auto"/>
        <w:jc w:val="both"/>
        <w:rPr>
          <w:rFonts w:eastAsia="Times New Roman" w:cstheme="minorHAnsi"/>
          <w:sz w:val="24"/>
          <w:szCs w:val="24"/>
          <w:lang w:val="es-SV" w:eastAsia="es-SV"/>
        </w:rPr>
      </w:pPr>
      <w:r w:rsidRPr="0094366F">
        <w:rPr>
          <w:rFonts w:eastAsia="Times New Roman" w:cstheme="minorHAnsi"/>
          <w:sz w:val="24"/>
          <w:szCs w:val="24"/>
          <w:lang w:val="es-SV" w:eastAsia="es-SV"/>
        </w:rPr>
        <w:t>La macro-función de financiamiento se define por ser la captación, distribución y/o administración de recursos financieros de carácter público o privado para la provisión de servicios de salud a la población de referencia. Esta función es ejercida por el Ministerio de Hacienda, así como empresas proveedoras de recursos para el sistema de salud y los hogares, como usuarios y financiadores de los servicios de salud percibidos. Finalmente, están las instituciones u organismos donantes.</w:t>
      </w:r>
    </w:p>
    <w:p w14:paraId="14CE963E" w14:textId="77777777" w:rsidR="0069103E" w:rsidRPr="0094366F" w:rsidRDefault="0069103E" w:rsidP="0069103E">
      <w:pPr>
        <w:spacing w:after="0" w:line="240" w:lineRule="auto"/>
        <w:jc w:val="both"/>
        <w:rPr>
          <w:rFonts w:eastAsia="Times New Roman" w:cstheme="minorHAnsi"/>
          <w:sz w:val="24"/>
          <w:szCs w:val="24"/>
          <w:lang w:val="es-SV" w:eastAsia="es-SV"/>
        </w:rPr>
      </w:pPr>
    </w:p>
    <w:p w14:paraId="54668284" w14:textId="7E44233F" w:rsidR="0069103E" w:rsidRPr="0094366F" w:rsidRDefault="0069103E" w:rsidP="0069103E">
      <w:pPr>
        <w:spacing w:after="0" w:line="240" w:lineRule="auto"/>
        <w:jc w:val="both"/>
        <w:rPr>
          <w:rFonts w:eastAsia="Times New Roman" w:cstheme="minorHAnsi"/>
          <w:sz w:val="24"/>
          <w:szCs w:val="24"/>
          <w:lang w:val="es-SV" w:eastAsia="es-SV"/>
        </w:rPr>
      </w:pPr>
      <w:r w:rsidRPr="0094366F">
        <w:rPr>
          <w:rFonts w:eastAsia="Times New Roman" w:cstheme="minorHAnsi"/>
          <w:sz w:val="24"/>
          <w:szCs w:val="24"/>
          <w:lang w:val="es-SV" w:eastAsia="es-SV"/>
        </w:rPr>
        <w:t>La macro-función de aseguramiento es aquella que compete al ámbito del financiamiento directo, es decir, a la provisión de servicios de salud a una población beneficiaria, ya sea adscrita y cotizante, o población de responsabilidad programática. Esta función es cumplida a nivel público y privado por las siguientes instituciones: el Instituto Salvadoreño del Seguro Social (ISSS), el Ministerio de S</w:t>
      </w:r>
      <w:r w:rsidR="00AD4028">
        <w:rPr>
          <w:rFonts w:eastAsia="Times New Roman" w:cstheme="minorHAnsi"/>
          <w:sz w:val="24"/>
          <w:szCs w:val="24"/>
          <w:lang w:val="es-SV" w:eastAsia="es-SV"/>
        </w:rPr>
        <w:t>alud (MINSAL</w:t>
      </w:r>
      <w:r w:rsidRPr="0094366F">
        <w:rPr>
          <w:rFonts w:eastAsia="Times New Roman" w:cstheme="minorHAnsi"/>
          <w:sz w:val="24"/>
          <w:szCs w:val="24"/>
          <w:lang w:val="es-SV" w:eastAsia="es-SV"/>
        </w:rPr>
        <w:t>), Bienestar Magisterial (BM), Sanidad Militar (SM) y algunas empresas de seguros privados.</w:t>
      </w:r>
    </w:p>
    <w:p w14:paraId="7BA9F26B" w14:textId="77777777" w:rsidR="0069103E" w:rsidRPr="0094366F" w:rsidRDefault="0069103E" w:rsidP="0069103E">
      <w:pPr>
        <w:spacing w:after="0" w:line="240" w:lineRule="auto"/>
        <w:jc w:val="both"/>
        <w:rPr>
          <w:rFonts w:eastAsia="Times New Roman" w:cstheme="minorHAnsi"/>
          <w:sz w:val="24"/>
          <w:szCs w:val="24"/>
          <w:lang w:val="es-SV" w:eastAsia="es-SV"/>
        </w:rPr>
      </w:pPr>
    </w:p>
    <w:p w14:paraId="41C5E55D" w14:textId="1DB6DF87" w:rsidR="0069103E" w:rsidRDefault="0069103E" w:rsidP="0069103E">
      <w:pPr>
        <w:spacing w:after="0" w:line="240" w:lineRule="auto"/>
        <w:jc w:val="both"/>
        <w:rPr>
          <w:rFonts w:eastAsia="Times New Roman" w:cstheme="minorHAnsi"/>
          <w:sz w:val="24"/>
          <w:szCs w:val="24"/>
          <w:lang w:val="es-SV" w:eastAsia="es-SV"/>
        </w:rPr>
      </w:pPr>
      <w:r w:rsidRPr="0094366F">
        <w:rPr>
          <w:rFonts w:eastAsia="Times New Roman" w:cstheme="minorHAnsi"/>
          <w:sz w:val="24"/>
          <w:szCs w:val="24"/>
          <w:lang w:val="es-SV" w:eastAsia="es-SV"/>
        </w:rPr>
        <w:t xml:space="preserve">Por otro lado, la macro-función de provisión de servicios de salud comprende a todas las instituciones que cuentan con infraestructura y equipamiento para prestar atención directa a </w:t>
      </w:r>
      <w:r w:rsidR="00AD4028">
        <w:rPr>
          <w:rFonts w:eastAsia="Times New Roman" w:cstheme="minorHAnsi"/>
          <w:sz w:val="24"/>
          <w:szCs w:val="24"/>
          <w:lang w:val="es-SV" w:eastAsia="es-SV"/>
        </w:rPr>
        <w:t>la salud. Tanto el MINSAL</w:t>
      </w:r>
      <w:r w:rsidRPr="0094366F">
        <w:rPr>
          <w:rFonts w:eastAsia="Times New Roman" w:cstheme="minorHAnsi"/>
          <w:sz w:val="24"/>
          <w:szCs w:val="24"/>
          <w:lang w:val="es-SV" w:eastAsia="es-SV"/>
        </w:rPr>
        <w:t>, ISSS, SM como las alcaldías e instituciones privadas cumplen con este rol. La única institución que no cumple con esta función es Bienestar Magisterial. Finalmente está la macro-función de rectoría. Dicha función es compartida por</w:t>
      </w:r>
      <w:r w:rsidR="00AD4028">
        <w:rPr>
          <w:rFonts w:eastAsia="Times New Roman" w:cstheme="minorHAnsi"/>
          <w:sz w:val="24"/>
          <w:szCs w:val="24"/>
          <w:lang w:val="es-SV" w:eastAsia="es-SV"/>
        </w:rPr>
        <w:t xml:space="preserve"> el MINSAL</w:t>
      </w:r>
      <w:r w:rsidRPr="0094366F">
        <w:rPr>
          <w:rFonts w:eastAsia="Times New Roman" w:cstheme="minorHAnsi"/>
          <w:sz w:val="24"/>
          <w:szCs w:val="24"/>
          <w:lang w:val="es-SV" w:eastAsia="es-SV"/>
        </w:rPr>
        <w:t>, el Consejo Superior de Salud Pública y la Dirección Nacional de Medicamentos.</w:t>
      </w:r>
    </w:p>
    <w:p w14:paraId="5FFCE93D" w14:textId="77777777" w:rsidR="0069103E" w:rsidRPr="0094366F" w:rsidRDefault="0069103E" w:rsidP="0069103E">
      <w:pPr>
        <w:spacing w:after="0" w:line="240" w:lineRule="auto"/>
        <w:jc w:val="both"/>
        <w:rPr>
          <w:rFonts w:eastAsia="Times New Roman" w:cstheme="minorHAnsi"/>
          <w:sz w:val="24"/>
          <w:szCs w:val="24"/>
          <w:lang w:val="es-SV" w:eastAsia="es-SV"/>
        </w:rPr>
      </w:pPr>
    </w:p>
    <w:p w14:paraId="048CBBCE" w14:textId="77777777" w:rsidR="0069103E" w:rsidRPr="00056010" w:rsidRDefault="00FA25A6" w:rsidP="008131CF">
      <w:pPr>
        <w:rPr>
          <w:b/>
          <w:bCs/>
          <w:lang w:val="es-SV" w:eastAsia="es-SV"/>
        </w:rPr>
      </w:pPr>
      <w:r w:rsidRPr="00056010">
        <w:rPr>
          <w:b/>
          <w:bCs/>
          <w:lang w:val="es-SV" w:eastAsia="es-SV"/>
        </w:rPr>
        <w:t>3.</w:t>
      </w:r>
      <w:r w:rsidR="00056010" w:rsidRPr="00056010">
        <w:rPr>
          <w:b/>
          <w:bCs/>
          <w:lang w:val="es-SV" w:eastAsia="es-SV"/>
        </w:rPr>
        <w:t>6</w:t>
      </w:r>
      <w:r w:rsidRPr="00056010">
        <w:rPr>
          <w:b/>
          <w:bCs/>
          <w:lang w:val="es-SV" w:eastAsia="es-SV"/>
        </w:rPr>
        <w:t>.3.2</w:t>
      </w:r>
      <w:r w:rsidR="0069103E" w:rsidRPr="00056010">
        <w:rPr>
          <w:b/>
          <w:bCs/>
          <w:lang w:val="es-SV" w:eastAsia="es-SV"/>
        </w:rPr>
        <w:t xml:space="preserve"> Organización y financiamiento del sistema provisional de salud</w:t>
      </w:r>
    </w:p>
    <w:p w14:paraId="260D7DDE" w14:textId="77777777" w:rsidR="0069103E" w:rsidRPr="0094366F" w:rsidRDefault="0069103E" w:rsidP="0069103E">
      <w:pPr>
        <w:spacing w:after="0" w:line="240" w:lineRule="auto"/>
        <w:jc w:val="both"/>
        <w:rPr>
          <w:rFonts w:eastAsia="Times New Roman" w:cstheme="minorHAnsi"/>
          <w:sz w:val="24"/>
          <w:szCs w:val="24"/>
          <w:lang w:val="es-SV" w:eastAsia="es-SV"/>
        </w:rPr>
      </w:pPr>
    </w:p>
    <w:p w14:paraId="6EA271AE" w14:textId="77777777" w:rsidR="0069103E" w:rsidRPr="0094366F" w:rsidRDefault="0069103E" w:rsidP="0069103E">
      <w:pPr>
        <w:spacing w:after="0" w:line="240" w:lineRule="auto"/>
        <w:jc w:val="both"/>
        <w:rPr>
          <w:rFonts w:eastAsia="Times New Roman" w:cstheme="minorHAnsi"/>
          <w:sz w:val="24"/>
          <w:szCs w:val="24"/>
          <w:lang w:val="es-SV" w:eastAsia="es-SV"/>
        </w:rPr>
      </w:pPr>
      <w:r w:rsidRPr="0094366F">
        <w:rPr>
          <w:rFonts w:eastAsia="Times New Roman" w:cstheme="minorHAnsi"/>
          <w:sz w:val="24"/>
          <w:szCs w:val="24"/>
          <w:lang w:val="es-SV" w:eastAsia="es-SV"/>
        </w:rPr>
        <w:t xml:space="preserve">Cada una de las instituciones anteriormente mencionadas tiene una forma de financiamiento para proveer los servicios de atención directa de salud en los diversos niveles que comprende el sistema previsional. A </w:t>
      </w:r>
      <w:r w:rsidR="00DE4723" w:rsidRPr="0094366F">
        <w:rPr>
          <w:rFonts w:eastAsia="Times New Roman" w:cstheme="minorHAnsi"/>
          <w:sz w:val="24"/>
          <w:szCs w:val="24"/>
          <w:lang w:val="es-SV" w:eastAsia="es-SV"/>
        </w:rPr>
        <w:t>continuación,</w:t>
      </w:r>
      <w:r w:rsidRPr="0094366F">
        <w:rPr>
          <w:rFonts w:eastAsia="Times New Roman" w:cstheme="minorHAnsi"/>
          <w:sz w:val="24"/>
          <w:szCs w:val="24"/>
          <w:lang w:val="es-SV" w:eastAsia="es-SV"/>
        </w:rPr>
        <w:t xml:space="preserve"> se precisan:</w:t>
      </w:r>
    </w:p>
    <w:p w14:paraId="68F01DB7" w14:textId="77777777" w:rsidR="0069103E" w:rsidRPr="0094366F" w:rsidRDefault="0069103E" w:rsidP="0069103E">
      <w:pPr>
        <w:spacing w:after="0" w:line="240" w:lineRule="auto"/>
        <w:jc w:val="both"/>
        <w:rPr>
          <w:rFonts w:eastAsia="Times New Roman" w:cstheme="minorHAnsi"/>
          <w:sz w:val="24"/>
          <w:szCs w:val="24"/>
          <w:lang w:val="es-SV" w:eastAsia="es-SV"/>
        </w:rPr>
      </w:pPr>
    </w:p>
    <w:p w14:paraId="5EB0D8E9" w14:textId="77777777" w:rsidR="0069103E" w:rsidRPr="0094366F" w:rsidRDefault="0069103E" w:rsidP="0069103E">
      <w:pPr>
        <w:spacing w:after="0" w:line="240" w:lineRule="auto"/>
        <w:jc w:val="both"/>
        <w:rPr>
          <w:rFonts w:eastAsia="Times New Roman" w:cstheme="minorHAnsi"/>
          <w:sz w:val="24"/>
          <w:szCs w:val="24"/>
          <w:lang w:val="es-SV" w:eastAsia="es-SV"/>
        </w:rPr>
      </w:pPr>
      <w:r w:rsidRPr="0094366F">
        <w:rPr>
          <w:rFonts w:eastAsia="Times New Roman" w:cstheme="minorHAnsi"/>
          <w:sz w:val="24"/>
          <w:szCs w:val="24"/>
          <w:lang w:val="es-SV" w:eastAsia="es-SV"/>
        </w:rPr>
        <w:t>El Seguro Social (ISSS), obtiene sus ingresos de las cotizaciones patronales (aportes de las empresas públicas y privadas, así como entidades gubernamentales en calidad de empleadores o patronos) y de las cotizaciones del trabajador (consistente en un aporte de su propio ingreso mensual al ISSS). Otras formas de financiamiento son los réditos por inversiones en el sistema financiero, venta de servicios, inmuebles, equipos diversos y subsidios del gobierno. Los fondos de ISSS son administrados por la Junta Directiva de dicho instituto, la cual está conformada por una representación de las patronales de la empresa privada y del Gobierno, el STISSS y los cotizantes.</w:t>
      </w:r>
    </w:p>
    <w:p w14:paraId="417E3DE8" w14:textId="77777777" w:rsidR="0069103E" w:rsidRPr="0094366F" w:rsidRDefault="0069103E" w:rsidP="0069103E">
      <w:pPr>
        <w:spacing w:after="0" w:line="240" w:lineRule="auto"/>
        <w:jc w:val="both"/>
        <w:rPr>
          <w:rFonts w:eastAsia="Times New Roman" w:cstheme="minorHAnsi"/>
          <w:sz w:val="24"/>
          <w:szCs w:val="24"/>
          <w:lang w:val="es-SV" w:eastAsia="es-SV"/>
        </w:rPr>
      </w:pPr>
    </w:p>
    <w:p w14:paraId="2319D043" w14:textId="77777777" w:rsidR="0069103E" w:rsidRPr="0094366F" w:rsidRDefault="00A427A6" w:rsidP="0069103E">
      <w:pPr>
        <w:spacing w:after="0" w:line="240" w:lineRule="auto"/>
        <w:jc w:val="both"/>
        <w:rPr>
          <w:rFonts w:eastAsia="Times New Roman" w:cstheme="minorHAnsi"/>
          <w:sz w:val="24"/>
          <w:szCs w:val="24"/>
          <w:lang w:val="es-SV" w:eastAsia="es-SV"/>
        </w:rPr>
      </w:pPr>
      <w:r>
        <w:rPr>
          <w:rFonts w:eastAsia="Times New Roman" w:cstheme="minorHAnsi"/>
          <w:sz w:val="24"/>
          <w:szCs w:val="24"/>
          <w:lang w:val="es-SV" w:eastAsia="es-SV"/>
        </w:rPr>
        <w:t>El MINSAL</w:t>
      </w:r>
      <w:r w:rsidR="0069103E" w:rsidRPr="0094366F">
        <w:rPr>
          <w:rFonts w:eastAsia="Times New Roman" w:cstheme="minorHAnsi"/>
          <w:sz w:val="24"/>
          <w:szCs w:val="24"/>
          <w:lang w:val="es-SV" w:eastAsia="es-SV"/>
        </w:rPr>
        <w:t xml:space="preserve"> recibe sus ingresos de tres fuentes: impuestos generales, cooperación internacional y recursos propios (como venta de servicios a terceros y/o cuotas voluntarias de los pacientes, por ejemplo), lo que revela su alto grado de vulnerabilidad ante la situación general de las finanzas del Estado. Finalmente, las instituciones privadas con fines de lucro obtienen sus principales fuentes de ingresos de las primas de seguros que recaudan y/o copago (en el caso de las entidades aseguradoras) y la venta de los servicios de salud a la población o a terceras partes responsables.  </w:t>
      </w:r>
    </w:p>
    <w:p w14:paraId="30577228" w14:textId="77777777" w:rsidR="0069103E" w:rsidRPr="0094366F" w:rsidRDefault="0069103E" w:rsidP="0069103E">
      <w:pPr>
        <w:spacing w:after="0" w:line="240" w:lineRule="auto"/>
        <w:jc w:val="both"/>
        <w:rPr>
          <w:rFonts w:eastAsia="Times New Roman" w:cstheme="minorHAnsi"/>
          <w:sz w:val="24"/>
          <w:szCs w:val="24"/>
          <w:lang w:val="es-SV" w:eastAsia="es-SV"/>
        </w:rPr>
      </w:pPr>
    </w:p>
    <w:p w14:paraId="25C33DE0" w14:textId="09FD1FB6" w:rsidR="0069103E" w:rsidRPr="0094366F" w:rsidRDefault="0069103E" w:rsidP="0069103E">
      <w:pPr>
        <w:spacing w:after="0" w:line="240" w:lineRule="auto"/>
        <w:jc w:val="both"/>
        <w:rPr>
          <w:rFonts w:eastAsia="Times New Roman" w:cstheme="minorHAnsi"/>
          <w:sz w:val="24"/>
          <w:szCs w:val="24"/>
          <w:lang w:val="es-SV" w:eastAsia="es-SV"/>
        </w:rPr>
      </w:pPr>
      <w:r w:rsidRPr="0094366F">
        <w:rPr>
          <w:rFonts w:eastAsia="Times New Roman" w:cstheme="minorHAnsi"/>
          <w:sz w:val="24"/>
          <w:szCs w:val="24"/>
          <w:lang w:val="es-SV" w:eastAsia="es-SV"/>
        </w:rPr>
        <w:t>El principal problema con estas formas de financiamiento resi</w:t>
      </w:r>
      <w:r w:rsidR="00AD4028">
        <w:rPr>
          <w:rFonts w:eastAsia="Times New Roman" w:cstheme="minorHAnsi"/>
          <w:sz w:val="24"/>
          <w:szCs w:val="24"/>
          <w:lang w:val="es-SV" w:eastAsia="es-SV"/>
        </w:rPr>
        <w:t>de en que, a excepción del MINSAL</w:t>
      </w:r>
      <w:r w:rsidRPr="0094366F">
        <w:rPr>
          <w:rFonts w:eastAsia="Times New Roman" w:cstheme="minorHAnsi"/>
          <w:sz w:val="24"/>
          <w:szCs w:val="24"/>
          <w:lang w:val="es-SV" w:eastAsia="es-SV"/>
        </w:rPr>
        <w:t>, todas las demás instituciones no proporcionan cobertura más que a la población específica que cotiza los servicios de salud. En este sentido, quienes más aportan al financiamiento del sector público de la salud son las familias, a través del pago de impuestos, compra de medicamentos, colaboraciones voluntarias y uso de servicios, entre otros.</w:t>
      </w:r>
    </w:p>
    <w:p w14:paraId="4E298FF1" w14:textId="77777777" w:rsidR="0069103E" w:rsidRPr="0094366F" w:rsidRDefault="0069103E" w:rsidP="0069103E">
      <w:pPr>
        <w:spacing w:after="0" w:line="240" w:lineRule="auto"/>
        <w:jc w:val="both"/>
        <w:rPr>
          <w:rFonts w:eastAsia="Times New Roman" w:cstheme="minorHAnsi"/>
          <w:sz w:val="24"/>
          <w:szCs w:val="24"/>
          <w:lang w:val="es-SV" w:eastAsia="es-SV"/>
        </w:rPr>
      </w:pPr>
    </w:p>
    <w:p w14:paraId="2B83FB07" w14:textId="77777777" w:rsidR="0069103E" w:rsidRPr="0094366F" w:rsidRDefault="0069103E" w:rsidP="0069103E">
      <w:pPr>
        <w:spacing w:after="0" w:line="240" w:lineRule="auto"/>
        <w:jc w:val="both"/>
        <w:rPr>
          <w:rFonts w:eastAsia="Times New Roman" w:cstheme="minorHAnsi"/>
          <w:sz w:val="24"/>
          <w:szCs w:val="24"/>
          <w:lang w:val="es-SV" w:eastAsia="es-SV"/>
        </w:rPr>
      </w:pPr>
      <w:r w:rsidRPr="0094366F">
        <w:rPr>
          <w:rFonts w:eastAsia="Times New Roman" w:cstheme="minorHAnsi"/>
          <w:sz w:val="24"/>
          <w:szCs w:val="24"/>
          <w:lang w:val="es-SV" w:eastAsia="es-SV"/>
        </w:rPr>
        <w:t>Ello se refleja asimismo en que el presupuesto modificado del MINSAL de 2018 fue de $614.4 millones de dólares, y el 93.6% de los fondos proceden del fondo general de la nación. El resto del presupuesto proviene de donaciones, préstamos y otras fuentes de financiamiento.</w:t>
      </w:r>
    </w:p>
    <w:p w14:paraId="0141F34B" w14:textId="77777777" w:rsidR="0069103E" w:rsidRDefault="0069103E" w:rsidP="0069103E">
      <w:pPr>
        <w:spacing w:after="0" w:line="240" w:lineRule="auto"/>
        <w:jc w:val="both"/>
        <w:rPr>
          <w:rFonts w:eastAsia="Times New Roman" w:cstheme="minorHAnsi"/>
          <w:sz w:val="24"/>
          <w:szCs w:val="24"/>
          <w:lang w:val="es-SV" w:eastAsia="es-SV"/>
        </w:rPr>
      </w:pPr>
    </w:p>
    <w:p w14:paraId="5A1F3D1E" w14:textId="77777777" w:rsidR="00DE4723" w:rsidRDefault="00DE4723" w:rsidP="0069103E">
      <w:pPr>
        <w:spacing w:after="0" w:line="240" w:lineRule="auto"/>
        <w:jc w:val="both"/>
        <w:rPr>
          <w:rFonts w:eastAsia="Times New Roman" w:cstheme="minorHAnsi"/>
          <w:sz w:val="24"/>
          <w:szCs w:val="24"/>
          <w:lang w:val="es-SV" w:eastAsia="es-SV"/>
        </w:rPr>
      </w:pPr>
    </w:p>
    <w:p w14:paraId="7B787C91" w14:textId="77777777" w:rsidR="00DE4723" w:rsidRPr="0094366F" w:rsidRDefault="00DE4723" w:rsidP="0069103E">
      <w:pPr>
        <w:spacing w:after="0" w:line="240" w:lineRule="auto"/>
        <w:jc w:val="both"/>
        <w:rPr>
          <w:rFonts w:eastAsia="Times New Roman" w:cstheme="minorHAnsi"/>
          <w:sz w:val="24"/>
          <w:szCs w:val="24"/>
          <w:lang w:val="es-SV" w:eastAsia="es-SV"/>
        </w:rPr>
      </w:pPr>
    </w:p>
    <w:p w14:paraId="584FB5B8" w14:textId="77777777" w:rsidR="0069103E" w:rsidRPr="00056010" w:rsidRDefault="00FA25A6" w:rsidP="008131CF">
      <w:pPr>
        <w:rPr>
          <w:b/>
          <w:bCs/>
          <w:lang w:val="es-SV" w:eastAsia="es-SV"/>
        </w:rPr>
      </w:pPr>
      <w:r w:rsidRPr="00056010">
        <w:rPr>
          <w:b/>
          <w:bCs/>
          <w:lang w:val="es-SV" w:eastAsia="es-SV"/>
        </w:rPr>
        <w:t>3.</w:t>
      </w:r>
      <w:r w:rsidR="00056010" w:rsidRPr="00056010">
        <w:rPr>
          <w:b/>
          <w:bCs/>
          <w:lang w:val="es-SV" w:eastAsia="es-SV"/>
        </w:rPr>
        <w:t>6</w:t>
      </w:r>
      <w:r w:rsidRPr="00056010">
        <w:rPr>
          <w:b/>
          <w:bCs/>
          <w:lang w:val="es-SV" w:eastAsia="es-SV"/>
        </w:rPr>
        <w:t>.3.3</w:t>
      </w:r>
      <w:r w:rsidR="0069103E" w:rsidRPr="00056010">
        <w:rPr>
          <w:b/>
          <w:bCs/>
          <w:lang w:val="es-SV" w:eastAsia="es-SV"/>
        </w:rPr>
        <w:t xml:space="preserve"> Gasto Nacional en Salud</w:t>
      </w:r>
    </w:p>
    <w:p w14:paraId="04FB352E" w14:textId="77777777" w:rsidR="0069103E" w:rsidRPr="0094366F" w:rsidRDefault="0069103E" w:rsidP="0069103E">
      <w:pPr>
        <w:spacing w:after="0" w:line="240" w:lineRule="auto"/>
        <w:jc w:val="both"/>
        <w:rPr>
          <w:rFonts w:eastAsia="Times New Roman" w:cstheme="minorHAnsi"/>
          <w:sz w:val="24"/>
          <w:szCs w:val="24"/>
          <w:lang w:val="es-SV" w:eastAsia="es-SV"/>
        </w:rPr>
      </w:pPr>
    </w:p>
    <w:p w14:paraId="3433D751" w14:textId="77777777" w:rsidR="0069103E" w:rsidRPr="00056010" w:rsidRDefault="0069103E" w:rsidP="00056010">
      <w:pPr>
        <w:jc w:val="both"/>
        <w:rPr>
          <w:sz w:val="24"/>
          <w:szCs w:val="24"/>
          <w:lang w:val="es-SV" w:eastAsia="es-SV"/>
        </w:rPr>
      </w:pPr>
      <w:r w:rsidRPr="00056010">
        <w:rPr>
          <w:sz w:val="24"/>
          <w:szCs w:val="24"/>
          <w:lang w:val="es-SV" w:eastAsia="es-SV"/>
        </w:rPr>
        <w:t>El Gasto Nacional de Salud tiene un crecimiento anual de US $64.5 millones desde el 2007 al 2017. Para 2017 este gasto suma $1,914.1 millones de dólares. Sin embargo, el aumento en este gasto se debe principalmente en una reducción del gasto en servicios privados de salud, como consecuencia de la política del Estado, basada en la reducción de los costos de acceso a los servicios de salud pública eliminando cargos por servicio, reducir la tercerización, y la expansión de la cobertura territorial para reducir costos de traslado para los usuarios. También se debe notar que la contribución de los hogares al gasto en salud de 2017 fue del 27%, lo cual representa una tasa relativamente baja, dado que fueron las instituciones públicas las que aumentaron su participación en el gasto de salud (67% en 2017).</w:t>
      </w:r>
    </w:p>
    <w:p w14:paraId="43D7FB58" w14:textId="77777777" w:rsidR="00CC3A47" w:rsidRPr="00056010" w:rsidRDefault="00CC3A47" w:rsidP="0069103E">
      <w:pPr>
        <w:spacing w:after="0" w:line="240" w:lineRule="auto"/>
        <w:jc w:val="both"/>
        <w:rPr>
          <w:rFonts w:eastAsia="Times New Roman" w:cstheme="minorHAnsi"/>
          <w:sz w:val="24"/>
          <w:szCs w:val="24"/>
          <w:lang w:val="es-SV" w:eastAsia="es-SV"/>
        </w:rPr>
      </w:pPr>
    </w:p>
    <w:p w14:paraId="4FD22C4B" w14:textId="77777777" w:rsidR="00FA25A6" w:rsidRPr="00056010" w:rsidRDefault="00FA25A6" w:rsidP="00CC3A47">
      <w:pPr>
        <w:spacing w:after="0"/>
        <w:jc w:val="both"/>
        <w:rPr>
          <w:b/>
          <w:sz w:val="24"/>
          <w:szCs w:val="24"/>
        </w:rPr>
      </w:pPr>
    </w:p>
    <w:p w14:paraId="4CFA2478" w14:textId="77777777" w:rsidR="00056010" w:rsidRDefault="00056010" w:rsidP="00CC3A47">
      <w:pPr>
        <w:spacing w:after="0"/>
        <w:jc w:val="both"/>
        <w:rPr>
          <w:b/>
        </w:rPr>
      </w:pPr>
    </w:p>
    <w:p w14:paraId="3355E6A9" w14:textId="77777777" w:rsidR="00056010" w:rsidRDefault="00056010" w:rsidP="00CC3A47">
      <w:pPr>
        <w:spacing w:after="0"/>
        <w:jc w:val="both"/>
        <w:rPr>
          <w:b/>
        </w:rPr>
      </w:pPr>
    </w:p>
    <w:p w14:paraId="017EBDC9" w14:textId="77777777" w:rsidR="00056010" w:rsidRDefault="00056010" w:rsidP="00CC3A47">
      <w:pPr>
        <w:spacing w:after="0"/>
        <w:jc w:val="both"/>
        <w:rPr>
          <w:b/>
        </w:rPr>
      </w:pPr>
    </w:p>
    <w:p w14:paraId="76437A12" w14:textId="77777777" w:rsidR="00056010" w:rsidRDefault="00056010" w:rsidP="00CC3A47">
      <w:pPr>
        <w:spacing w:after="0"/>
        <w:jc w:val="both"/>
        <w:rPr>
          <w:b/>
        </w:rPr>
      </w:pPr>
    </w:p>
    <w:p w14:paraId="15AEEB45" w14:textId="77777777" w:rsidR="00056010" w:rsidRDefault="00056010" w:rsidP="00CC3A47">
      <w:pPr>
        <w:spacing w:after="0"/>
        <w:jc w:val="both"/>
        <w:rPr>
          <w:b/>
        </w:rPr>
      </w:pPr>
    </w:p>
    <w:p w14:paraId="72847647" w14:textId="77777777" w:rsidR="00056010" w:rsidRDefault="00056010" w:rsidP="00CC3A47">
      <w:pPr>
        <w:spacing w:after="0"/>
        <w:jc w:val="both"/>
        <w:rPr>
          <w:b/>
        </w:rPr>
      </w:pPr>
    </w:p>
    <w:p w14:paraId="5EBA752E" w14:textId="77777777" w:rsidR="00FA25A6" w:rsidRDefault="00FA25A6" w:rsidP="00CC3A47">
      <w:pPr>
        <w:spacing w:after="0"/>
        <w:jc w:val="both"/>
        <w:rPr>
          <w:b/>
        </w:rPr>
      </w:pPr>
    </w:p>
    <w:p w14:paraId="322E5B6D" w14:textId="77777777" w:rsidR="00CC3A47" w:rsidRPr="007E0133" w:rsidRDefault="00CC3A47" w:rsidP="00CC3A47">
      <w:pPr>
        <w:spacing w:after="0"/>
        <w:jc w:val="both"/>
        <w:rPr>
          <w:b/>
        </w:rPr>
      </w:pPr>
      <w:r w:rsidRPr="007E0133">
        <w:rPr>
          <w:b/>
        </w:rPr>
        <w:t>Gráfi</w:t>
      </w:r>
      <w:r w:rsidR="007E0133">
        <w:rPr>
          <w:b/>
        </w:rPr>
        <w:t>ca 3</w:t>
      </w:r>
      <w:r w:rsidRPr="007E0133">
        <w:rPr>
          <w:b/>
        </w:rPr>
        <w:t>. Gasto Nacional en Salud.</w:t>
      </w:r>
    </w:p>
    <w:p w14:paraId="377625C9" w14:textId="77777777" w:rsidR="00CC3A47" w:rsidRDefault="00CC3A47" w:rsidP="00CC3A47">
      <w:pPr>
        <w:rPr>
          <w:rFonts w:cstheme="minorHAnsi"/>
          <w:sz w:val="24"/>
        </w:rPr>
      </w:pPr>
    </w:p>
    <w:p w14:paraId="4A946AE8" w14:textId="77777777" w:rsidR="00CC3A47" w:rsidRDefault="00FA25A6" w:rsidP="00CC3A47">
      <w:pPr>
        <w:rPr>
          <w:rFonts w:cstheme="minorHAnsi"/>
          <w:sz w:val="24"/>
        </w:rPr>
      </w:pPr>
      <w:r w:rsidRPr="007E0133">
        <w:rPr>
          <w:b/>
          <w:noProof/>
          <w:lang w:val="es-SV" w:eastAsia="es-SV"/>
        </w:rPr>
        <w:drawing>
          <wp:anchor distT="0" distB="0" distL="114300" distR="114300" simplePos="0" relativeHeight="251666432" behindDoc="0" locked="0" layoutInCell="1" allowOverlap="1" wp14:anchorId="7841C632" wp14:editId="0E5D6C98">
            <wp:simplePos x="0" y="0"/>
            <wp:positionH relativeFrom="margin">
              <wp:posOffset>-179070</wp:posOffset>
            </wp:positionH>
            <wp:positionV relativeFrom="paragraph">
              <wp:posOffset>-55880</wp:posOffset>
            </wp:positionV>
            <wp:extent cx="6019800" cy="2867025"/>
            <wp:effectExtent l="0" t="0" r="0" b="9525"/>
            <wp:wrapNone/>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2"/>
                    <a:srcRect/>
                    <a:stretch>
                      <a:fillRect/>
                    </a:stretch>
                  </pic:blipFill>
                  <pic:spPr bwMode="auto">
                    <a:xfrm>
                      <a:off x="0" y="0"/>
                      <a:ext cx="6019800" cy="286702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p w14:paraId="3AD62CC9" w14:textId="77777777" w:rsidR="00CC3A47" w:rsidRDefault="00CC3A47" w:rsidP="00CC3A47">
      <w:pPr>
        <w:rPr>
          <w:rFonts w:cstheme="minorHAnsi"/>
          <w:sz w:val="24"/>
        </w:rPr>
      </w:pPr>
    </w:p>
    <w:p w14:paraId="4580E114" w14:textId="77777777" w:rsidR="00CC3A47" w:rsidRDefault="00CC3A47" w:rsidP="00CC3A47">
      <w:pPr>
        <w:rPr>
          <w:rFonts w:cstheme="minorHAnsi"/>
          <w:sz w:val="24"/>
        </w:rPr>
      </w:pPr>
    </w:p>
    <w:p w14:paraId="7C478FBB" w14:textId="77777777" w:rsidR="00CC3A47" w:rsidRDefault="00CC3A47" w:rsidP="00CC3A47">
      <w:pPr>
        <w:rPr>
          <w:rFonts w:cstheme="minorHAnsi"/>
          <w:sz w:val="24"/>
        </w:rPr>
      </w:pPr>
    </w:p>
    <w:p w14:paraId="60620679" w14:textId="77777777" w:rsidR="00CC3A47" w:rsidRDefault="00CC3A47" w:rsidP="00CC3A47">
      <w:pPr>
        <w:autoSpaceDE w:val="0"/>
        <w:autoSpaceDN w:val="0"/>
        <w:adjustRightInd w:val="0"/>
        <w:spacing w:after="0" w:line="240" w:lineRule="auto"/>
        <w:jc w:val="both"/>
      </w:pPr>
    </w:p>
    <w:p w14:paraId="2B9F2E71" w14:textId="77777777" w:rsidR="00FA25A6" w:rsidRDefault="00FA25A6" w:rsidP="00CC3A47">
      <w:pPr>
        <w:autoSpaceDE w:val="0"/>
        <w:autoSpaceDN w:val="0"/>
        <w:adjustRightInd w:val="0"/>
        <w:spacing w:after="0" w:line="240" w:lineRule="auto"/>
        <w:jc w:val="both"/>
      </w:pPr>
    </w:p>
    <w:p w14:paraId="14C580C4" w14:textId="77777777" w:rsidR="00FA25A6" w:rsidRDefault="00FA25A6" w:rsidP="00CC3A47">
      <w:pPr>
        <w:autoSpaceDE w:val="0"/>
        <w:autoSpaceDN w:val="0"/>
        <w:adjustRightInd w:val="0"/>
        <w:spacing w:after="0" w:line="240" w:lineRule="auto"/>
        <w:jc w:val="both"/>
      </w:pPr>
    </w:p>
    <w:p w14:paraId="77E99F44" w14:textId="77777777" w:rsidR="00FA25A6" w:rsidRDefault="00FA25A6" w:rsidP="00CC3A47">
      <w:pPr>
        <w:autoSpaceDE w:val="0"/>
        <w:autoSpaceDN w:val="0"/>
        <w:adjustRightInd w:val="0"/>
        <w:spacing w:after="0" w:line="240" w:lineRule="auto"/>
        <w:jc w:val="both"/>
      </w:pPr>
    </w:p>
    <w:p w14:paraId="588FD928" w14:textId="77777777" w:rsidR="00FA25A6" w:rsidRDefault="00FA25A6" w:rsidP="00CC3A47">
      <w:pPr>
        <w:autoSpaceDE w:val="0"/>
        <w:autoSpaceDN w:val="0"/>
        <w:adjustRightInd w:val="0"/>
        <w:spacing w:after="0" w:line="240" w:lineRule="auto"/>
        <w:jc w:val="both"/>
      </w:pPr>
    </w:p>
    <w:p w14:paraId="218AAB46" w14:textId="77777777" w:rsidR="00FA25A6" w:rsidRDefault="00FA25A6" w:rsidP="00CC3A47">
      <w:pPr>
        <w:autoSpaceDE w:val="0"/>
        <w:autoSpaceDN w:val="0"/>
        <w:adjustRightInd w:val="0"/>
        <w:spacing w:after="0" w:line="240" w:lineRule="auto"/>
        <w:jc w:val="both"/>
      </w:pPr>
    </w:p>
    <w:p w14:paraId="5FD96ACE" w14:textId="77777777" w:rsidR="00FA25A6" w:rsidRDefault="00FA25A6" w:rsidP="00CC3A47">
      <w:pPr>
        <w:autoSpaceDE w:val="0"/>
        <w:autoSpaceDN w:val="0"/>
        <w:adjustRightInd w:val="0"/>
        <w:spacing w:after="0" w:line="240" w:lineRule="auto"/>
        <w:jc w:val="both"/>
      </w:pPr>
    </w:p>
    <w:p w14:paraId="32E33A87" w14:textId="77777777" w:rsidR="00FA25A6" w:rsidRDefault="00FA25A6" w:rsidP="00CC3A47">
      <w:pPr>
        <w:autoSpaceDE w:val="0"/>
        <w:autoSpaceDN w:val="0"/>
        <w:adjustRightInd w:val="0"/>
        <w:spacing w:after="0" w:line="240" w:lineRule="auto"/>
        <w:jc w:val="both"/>
      </w:pPr>
    </w:p>
    <w:p w14:paraId="524910C7" w14:textId="77777777" w:rsidR="00FA25A6" w:rsidRDefault="00FA25A6" w:rsidP="00CC3A47">
      <w:pPr>
        <w:autoSpaceDE w:val="0"/>
        <w:autoSpaceDN w:val="0"/>
        <w:adjustRightInd w:val="0"/>
        <w:spacing w:after="0" w:line="240" w:lineRule="auto"/>
        <w:jc w:val="both"/>
      </w:pPr>
    </w:p>
    <w:p w14:paraId="581583EC" w14:textId="77777777" w:rsidR="00FA25A6" w:rsidRDefault="00FA25A6" w:rsidP="00CC3A47">
      <w:pPr>
        <w:autoSpaceDE w:val="0"/>
        <w:autoSpaceDN w:val="0"/>
        <w:adjustRightInd w:val="0"/>
        <w:spacing w:after="0" w:line="240" w:lineRule="auto"/>
        <w:jc w:val="both"/>
      </w:pPr>
    </w:p>
    <w:p w14:paraId="4C72E893" w14:textId="77777777" w:rsidR="00CC3A47" w:rsidRDefault="00CC3A47" w:rsidP="00CC3A47">
      <w:pPr>
        <w:autoSpaceDE w:val="0"/>
        <w:autoSpaceDN w:val="0"/>
        <w:adjustRightInd w:val="0"/>
        <w:spacing w:after="0" w:line="240" w:lineRule="auto"/>
        <w:jc w:val="both"/>
      </w:pPr>
      <w:r>
        <w:t xml:space="preserve">Fuente: </w:t>
      </w:r>
      <w:r w:rsidRPr="001F4E64">
        <w:t>Memoria de Labores del MINSAL varios años.</w:t>
      </w:r>
    </w:p>
    <w:p w14:paraId="6F512232" w14:textId="77777777" w:rsidR="00CC3A47" w:rsidRPr="00CC3A47" w:rsidRDefault="00CC3A47" w:rsidP="0069103E">
      <w:pPr>
        <w:spacing w:after="0" w:line="240" w:lineRule="auto"/>
        <w:jc w:val="both"/>
        <w:rPr>
          <w:rFonts w:eastAsia="Times New Roman" w:cstheme="minorHAnsi"/>
          <w:sz w:val="24"/>
          <w:szCs w:val="24"/>
          <w:lang w:eastAsia="es-SV"/>
        </w:rPr>
      </w:pPr>
    </w:p>
    <w:p w14:paraId="1699CD5B" w14:textId="77777777" w:rsidR="00CC3A47" w:rsidRDefault="00CC3A47" w:rsidP="0069103E">
      <w:pPr>
        <w:spacing w:after="0" w:line="240" w:lineRule="auto"/>
        <w:jc w:val="both"/>
        <w:rPr>
          <w:rFonts w:eastAsia="Times New Roman" w:cstheme="minorHAnsi"/>
          <w:sz w:val="24"/>
          <w:szCs w:val="24"/>
          <w:lang w:val="es-SV" w:eastAsia="es-SV"/>
        </w:rPr>
      </w:pPr>
    </w:p>
    <w:p w14:paraId="2567D2D5" w14:textId="77777777" w:rsidR="007E0133" w:rsidRPr="0094366F" w:rsidRDefault="007E0133" w:rsidP="007E0133">
      <w:pPr>
        <w:spacing w:after="0" w:line="240" w:lineRule="auto"/>
        <w:jc w:val="both"/>
        <w:rPr>
          <w:rFonts w:eastAsia="Times New Roman" w:cstheme="minorHAnsi"/>
          <w:sz w:val="24"/>
          <w:szCs w:val="24"/>
          <w:lang w:val="es-SV" w:eastAsia="es-SV"/>
        </w:rPr>
      </w:pPr>
      <w:r w:rsidRPr="0094366F">
        <w:rPr>
          <w:rFonts w:eastAsia="Times New Roman" w:cstheme="minorHAnsi"/>
          <w:sz w:val="24"/>
          <w:szCs w:val="24"/>
          <w:lang w:val="es-SV" w:eastAsia="es-SV"/>
        </w:rPr>
        <w:t>A nivel de PIB, el gasto público en salud representó el 5.1% en 2017, siendo el MINSAL y el ISSS las instituciones que reciben el 90% del aumento progresivo del porcentaje del PIB destinado a gasto público en salud. Sin embargo, el gasto destinado a la salud pública sigue siendo bajo, comparativamente con otros rubros a los que se destinan más fondos, puesto que el gasto per cápita fue de $291 dólares por persona en 2017 (en esta estadística se incluye personas que no requieren servicios de salud como aquellos que sí lo requieren) para atender las necesidades de salud.</w:t>
      </w:r>
    </w:p>
    <w:p w14:paraId="1B1006C1" w14:textId="77777777" w:rsidR="007E0133" w:rsidRPr="0094366F" w:rsidRDefault="007E0133" w:rsidP="007E0133">
      <w:pPr>
        <w:spacing w:after="0" w:line="240" w:lineRule="auto"/>
        <w:jc w:val="both"/>
        <w:rPr>
          <w:rFonts w:eastAsia="Times New Roman" w:cstheme="minorHAnsi"/>
          <w:sz w:val="24"/>
          <w:szCs w:val="24"/>
          <w:lang w:val="es-SV" w:eastAsia="es-SV"/>
        </w:rPr>
      </w:pPr>
    </w:p>
    <w:p w14:paraId="50DFD7A1" w14:textId="77777777" w:rsidR="007E0133" w:rsidRPr="0094366F" w:rsidRDefault="007E0133" w:rsidP="007E0133">
      <w:pPr>
        <w:spacing w:after="0" w:line="240" w:lineRule="auto"/>
        <w:jc w:val="both"/>
        <w:rPr>
          <w:rFonts w:eastAsia="Times New Roman" w:cstheme="minorHAnsi"/>
          <w:sz w:val="24"/>
          <w:szCs w:val="24"/>
          <w:lang w:val="es-SV" w:eastAsia="es-SV"/>
        </w:rPr>
      </w:pPr>
      <w:r w:rsidRPr="0094366F">
        <w:rPr>
          <w:rFonts w:eastAsia="Times New Roman" w:cstheme="minorHAnsi"/>
          <w:sz w:val="24"/>
          <w:szCs w:val="24"/>
          <w:lang w:val="es-SV" w:eastAsia="es-SV"/>
        </w:rPr>
        <w:t>Otra dificultad es el bajo crecimiento económico anual, ya que se dispone de menos recursos financieros a destinar para el sector de salud pública, así como los compromisos presupuestarios del escalafón del MINSAL y el aumento de empleados en el sector. No obstante, el aumento del PIB para el sector salud pública no implica que necesariamente haya una mejora en el uso de los recursos, la atención y la cobertura de la población salvadoreña, dados los factores de desembolso en salarios, aumento de los mismos y aumento de las nóminas de empleados, entre otros.</w:t>
      </w:r>
    </w:p>
    <w:p w14:paraId="36601A33" w14:textId="77777777" w:rsidR="007E0133" w:rsidRPr="0094366F" w:rsidRDefault="007E0133" w:rsidP="007E0133">
      <w:pPr>
        <w:spacing w:after="0" w:line="240" w:lineRule="auto"/>
        <w:jc w:val="both"/>
        <w:rPr>
          <w:rFonts w:eastAsia="Times New Roman" w:cstheme="minorHAnsi"/>
          <w:sz w:val="24"/>
          <w:szCs w:val="24"/>
          <w:lang w:val="es-SV" w:eastAsia="es-SV"/>
        </w:rPr>
      </w:pPr>
    </w:p>
    <w:p w14:paraId="1FD9E0C9" w14:textId="77777777" w:rsidR="007E0133" w:rsidRDefault="007E0133" w:rsidP="0069103E">
      <w:pPr>
        <w:spacing w:after="0" w:line="240" w:lineRule="auto"/>
        <w:jc w:val="both"/>
        <w:rPr>
          <w:rFonts w:eastAsia="Times New Roman" w:cstheme="minorHAnsi"/>
          <w:sz w:val="24"/>
          <w:szCs w:val="24"/>
          <w:lang w:val="es-SV" w:eastAsia="es-SV"/>
        </w:rPr>
      </w:pPr>
      <w:r w:rsidRPr="0094366F">
        <w:rPr>
          <w:rFonts w:eastAsia="Times New Roman" w:cstheme="minorHAnsi"/>
          <w:sz w:val="24"/>
          <w:szCs w:val="24"/>
          <w:lang w:val="es-SV" w:eastAsia="es-SV"/>
        </w:rPr>
        <w:t xml:space="preserve">En lo que respecta al gasto per cápita de cada institución proveedora de servicios públicos de salud, existe una gran desigualdad en los montos promedio destinados a los cotizantes. Para el año 2017, los beneficiarios de Bienestar Magisterial contaron con un gasto promedio de $631 dólares, mientras el MINSAL presenta $136 dólares, el ISSS $290 dólares y Sanidad Militar $356 dólares. Por otra parte, este gasto no es proporcional al número de </w:t>
      </w:r>
      <w:r w:rsidRPr="0094366F">
        <w:rPr>
          <w:rFonts w:eastAsia="Times New Roman" w:cstheme="minorHAnsi"/>
          <w:sz w:val="24"/>
          <w:szCs w:val="24"/>
          <w:lang w:val="es-SV" w:eastAsia="es-SV"/>
        </w:rPr>
        <w:lastRenderedPageBreak/>
        <w:t>beneficiarios o población objetivo, ya que, mientras el MINSAL provee servicios de salud para al 70% de la población, su gasto per cápita está muy por debajo del gasto público per cápita en salud, que es fue de $195 dólares.</w:t>
      </w:r>
    </w:p>
    <w:p w14:paraId="049132B9" w14:textId="77777777" w:rsidR="00DE4723" w:rsidRDefault="00DE4723" w:rsidP="0069103E">
      <w:pPr>
        <w:spacing w:after="0" w:line="240" w:lineRule="auto"/>
        <w:jc w:val="both"/>
        <w:rPr>
          <w:rFonts w:eastAsia="Times New Roman" w:cstheme="minorHAnsi"/>
          <w:sz w:val="24"/>
          <w:szCs w:val="24"/>
          <w:lang w:val="es-SV" w:eastAsia="es-SV"/>
        </w:rPr>
      </w:pPr>
    </w:p>
    <w:p w14:paraId="5153A36B" w14:textId="6E924495" w:rsidR="007E0133" w:rsidRPr="00056010" w:rsidRDefault="00FA25A6" w:rsidP="008131CF">
      <w:pPr>
        <w:rPr>
          <w:b/>
          <w:bCs/>
          <w:lang w:val="es-SV" w:eastAsia="es-SV"/>
        </w:rPr>
      </w:pPr>
      <w:bookmarkStart w:id="15" w:name="_Toc531939750"/>
      <w:bookmarkStart w:id="16" w:name="_Toc532163418"/>
      <w:r w:rsidRPr="00056010">
        <w:rPr>
          <w:b/>
          <w:bCs/>
          <w:lang w:val="es-SV" w:eastAsia="es-SV"/>
        </w:rPr>
        <w:t>3.</w:t>
      </w:r>
      <w:r w:rsidR="00056010" w:rsidRPr="00056010">
        <w:rPr>
          <w:b/>
          <w:bCs/>
          <w:lang w:val="es-SV" w:eastAsia="es-SV"/>
        </w:rPr>
        <w:t>6</w:t>
      </w:r>
      <w:r w:rsidRPr="00056010">
        <w:rPr>
          <w:b/>
          <w:bCs/>
          <w:lang w:val="es-SV" w:eastAsia="es-SV"/>
        </w:rPr>
        <w:t>.3.4</w:t>
      </w:r>
      <w:r w:rsidR="009852E8">
        <w:rPr>
          <w:b/>
          <w:bCs/>
          <w:lang w:val="es-SV" w:eastAsia="es-SV"/>
        </w:rPr>
        <w:t xml:space="preserve"> Presupuesto</w:t>
      </w:r>
      <w:r w:rsidR="007E0133" w:rsidRPr="00056010">
        <w:rPr>
          <w:b/>
          <w:bCs/>
          <w:lang w:val="es-SV" w:eastAsia="es-SV"/>
        </w:rPr>
        <w:t xml:space="preserve"> modificado del MINSAL</w:t>
      </w:r>
      <w:bookmarkEnd w:id="15"/>
      <w:bookmarkEnd w:id="16"/>
    </w:p>
    <w:p w14:paraId="10B13344" w14:textId="77777777" w:rsidR="007E0133" w:rsidRPr="007E0133" w:rsidRDefault="007E0133" w:rsidP="007E0133">
      <w:pPr>
        <w:pStyle w:val="Ttulo3"/>
        <w:rPr>
          <w:rFonts w:asciiTheme="minorHAnsi" w:eastAsia="Times New Roman" w:hAnsiTheme="minorHAnsi" w:cstheme="minorHAnsi"/>
          <w:b/>
          <w:color w:val="auto"/>
          <w:lang w:val="es-SV" w:eastAsia="es-SV"/>
        </w:rPr>
      </w:pPr>
    </w:p>
    <w:p w14:paraId="790860B0" w14:textId="77777777" w:rsidR="007E0133" w:rsidRPr="007E0133" w:rsidRDefault="007E0133" w:rsidP="007E0133">
      <w:pPr>
        <w:autoSpaceDE w:val="0"/>
        <w:autoSpaceDN w:val="0"/>
        <w:adjustRightInd w:val="0"/>
        <w:spacing w:after="0" w:line="240" w:lineRule="auto"/>
        <w:jc w:val="both"/>
        <w:rPr>
          <w:rFonts w:eastAsia="Times New Roman" w:cstheme="minorHAnsi"/>
          <w:sz w:val="24"/>
          <w:szCs w:val="24"/>
          <w:lang w:val="es-SV" w:eastAsia="es-SV"/>
        </w:rPr>
      </w:pPr>
      <w:r w:rsidRPr="007E0133">
        <w:rPr>
          <w:rFonts w:eastAsia="Times New Roman" w:cstheme="minorHAnsi"/>
          <w:sz w:val="24"/>
          <w:szCs w:val="24"/>
          <w:lang w:val="es-SV" w:eastAsia="es-SV"/>
        </w:rPr>
        <w:t xml:space="preserve">El presupuesto modificado del MINSAL pasó de $307.1 millones en 2007 a $614.4 millones de dólares en 2018 de acuerdo al Cuadro 4, el 93.6% son del fondo general, lo que indica que no existe dependencia de donantes, de préstamos o de otras fuentes de financiamiento.  </w:t>
      </w:r>
    </w:p>
    <w:p w14:paraId="5172277D" w14:textId="77777777" w:rsidR="007E0133" w:rsidRPr="007E0133" w:rsidRDefault="007E0133" w:rsidP="007E0133">
      <w:pPr>
        <w:autoSpaceDE w:val="0"/>
        <w:autoSpaceDN w:val="0"/>
        <w:adjustRightInd w:val="0"/>
        <w:spacing w:after="0" w:line="240" w:lineRule="auto"/>
        <w:jc w:val="both"/>
        <w:rPr>
          <w:rFonts w:eastAsia="Times New Roman" w:cstheme="minorHAnsi"/>
          <w:sz w:val="24"/>
          <w:szCs w:val="24"/>
          <w:lang w:val="es-SV" w:eastAsia="es-SV"/>
        </w:rPr>
      </w:pPr>
    </w:p>
    <w:p w14:paraId="2361C173" w14:textId="77777777" w:rsidR="007E0133" w:rsidRPr="007E0133" w:rsidRDefault="007E0133" w:rsidP="007E0133">
      <w:pPr>
        <w:spacing w:after="0"/>
        <w:jc w:val="both"/>
        <w:rPr>
          <w:b/>
        </w:rPr>
      </w:pPr>
      <w:r w:rsidRPr="007E0133">
        <w:rPr>
          <w:b/>
        </w:rPr>
        <w:t xml:space="preserve">Cuadro 1. </w:t>
      </w:r>
      <w:r w:rsidRPr="007E0133">
        <w:rPr>
          <w:b/>
          <w:noProof/>
          <w:lang w:val="es-SV" w:eastAsia="es-SV"/>
        </w:rPr>
        <w:drawing>
          <wp:anchor distT="0" distB="0" distL="114300" distR="114300" simplePos="0" relativeHeight="251668480" behindDoc="0" locked="0" layoutInCell="1" allowOverlap="1" wp14:anchorId="311BC395" wp14:editId="112B0618">
            <wp:simplePos x="0" y="0"/>
            <wp:positionH relativeFrom="column">
              <wp:posOffset>-586632</wp:posOffset>
            </wp:positionH>
            <wp:positionV relativeFrom="paragraph">
              <wp:posOffset>171139</wp:posOffset>
            </wp:positionV>
            <wp:extent cx="6916588" cy="2493034"/>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16588" cy="2493034"/>
                    </a:xfrm>
                    <a:prstGeom prst="rect">
                      <a:avLst/>
                    </a:prstGeom>
                    <a:noFill/>
                    <a:ln>
                      <a:noFill/>
                    </a:ln>
                  </pic:spPr>
                </pic:pic>
              </a:graphicData>
            </a:graphic>
          </wp:anchor>
        </w:drawing>
      </w:r>
      <w:r w:rsidRPr="007E0133">
        <w:rPr>
          <w:b/>
        </w:rPr>
        <w:t>Evolución del presupuesto modificado</w:t>
      </w:r>
    </w:p>
    <w:p w14:paraId="784726D9" w14:textId="77777777" w:rsidR="007E0133" w:rsidRDefault="007E0133" w:rsidP="007E0133">
      <w:pPr>
        <w:autoSpaceDE w:val="0"/>
        <w:autoSpaceDN w:val="0"/>
        <w:adjustRightInd w:val="0"/>
        <w:spacing w:after="0" w:line="240" w:lineRule="auto"/>
        <w:jc w:val="both"/>
        <w:rPr>
          <w:rFonts w:ascii="Arial" w:hAnsi="Arial" w:cs="Arial"/>
          <w:sz w:val="28"/>
        </w:rPr>
      </w:pPr>
    </w:p>
    <w:p w14:paraId="5CAA5D5F" w14:textId="77777777" w:rsidR="007E0133" w:rsidRDefault="007E0133" w:rsidP="007E0133">
      <w:pPr>
        <w:autoSpaceDE w:val="0"/>
        <w:autoSpaceDN w:val="0"/>
        <w:adjustRightInd w:val="0"/>
        <w:spacing w:after="0" w:line="240" w:lineRule="auto"/>
        <w:jc w:val="both"/>
        <w:rPr>
          <w:rFonts w:ascii="Arial" w:hAnsi="Arial" w:cs="Arial"/>
          <w:sz w:val="28"/>
        </w:rPr>
      </w:pPr>
    </w:p>
    <w:p w14:paraId="0ECD002C" w14:textId="77777777" w:rsidR="007E0133" w:rsidRDefault="007E0133" w:rsidP="007E0133">
      <w:pPr>
        <w:autoSpaceDE w:val="0"/>
        <w:autoSpaceDN w:val="0"/>
        <w:adjustRightInd w:val="0"/>
        <w:spacing w:after="0" w:line="240" w:lineRule="auto"/>
        <w:jc w:val="both"/>
        <w:rPr>
          <w:rFonts w:ascii="Arial" w:hAnsi="Arial" w:cs="Arial"/>
          <w:sz w:val="28"/>
        </w:rPr>
      </w:pPr>
    </w:p>
    <w:p w14:paraId="698C58B8" w14:textId="77777777" w:rsidR="007E0133" w:rsidRDefault="007E0133" w:rsidP="007E0133">
      <w:pPr>
        <w:autoSpaceDE w:val="0"/>
        <w:autoSpaceDN w:val="0"/>
        <w:adjustRightInd w:val="0"/>
        <w:spacing w:after="0" w:line="240" w:lineRule="auto"/>
        <w:jc w:val="both"/>
        <w:rPr>
          <w:rFonts w:ascii="Arial" w:hAnsi="Arial" w:cs="Arial"/>
          <w:sz w:val="28"/>
        </w:rPr>
      </w:pPr>
    </w:p>
    <w:p w14:paraId="483488A6" w14:textId="77777777" w:rsidR="007E0133" w:rsidRDefault="007E0133" w:rsidP="007E0133">
      <w:pPr>
        <w:autoSpaceDE w:val="0"/>
        <w:autoSpaceDN w:val="0"/>
        <w:adjustRightInd w:val="0"/>
        <w:spacing w:after="0" w:line="240" w:lineRule="auto"/>
        <w:jc w:val="both"/>
        <w:rPr>
          <w:rFonts w:ascii="Arial" w:hAnsi="Arial" w:cs="Arial"/>
          <w:sz w:val="28"/>
        </w:rPr>
      </w:pPr>
    </w:p>
    <w:p w14:paraId="226B212C" w14:textId="77777777" w:rsidR="007E0133" w:rsidRDefault="007E0133" w:rsidP="007E0133">
      <w:pPr>
        <w:autoSpaceDE w:val="0"/>
        <w:autoSpaceDN w:val="0"/>
        <w:adjustRightInd w:val="0"/>
        <w:spacing w:after="0" w:line="240" w:lineRule="auto"/>
        <w:jc w:val="both"/>
        <w:rPr>
          <w:rFonts w:ascii="Arial" w:hAnsi="Arial" w:cs="Arial"/>
          <w:sz w:val="28"/>
        </w:rPr>
      </w:pPr>
    </w:p>
    <w:p w14:paraId="02E458CC" w14:textId="77777777" w:rsidR="007E0133" w:rsidRDefault="007E0133" w:rsidP="007E0133">
      <w:pPr>
        <w:autoSpaceDE w:val="0"/>
        <w:autoSpaceDN w:val="0"/>
        <w:adjustRightInd w:val="0"/>
        <w:spacing w:after="0" w:line="240" w:lineRule="auto"/>
        <w:jc w:val="both"/>
        <w:rPr>
          <w:rFonts w:ascii="Arial" w:hAnsi="Arial" w:cs="Arial"/>
          <w:sz w:val="28"/>
        </w:rPr>
      </w:pPr>
    </w:p>
    <w:p w14:paraId="0D2F4C59" w14:textId="77777777" w:rsidR="007E0133" w:rsidRDefault="007E0133" w:rsidP="007E0133">
      <w:pPr>
        <w:autoSpaceDE w:val="0"/>
        <w:autoSpaceDN w:val="0"/>
        <w:adjustRightInd w:val="0"/>
        <w:spacing w:after="0" w:line="240" w:lineRule="auto"/>
        <w:jc w:val="both"/>
        <w:rPr>
          <w:rFonts w:ascii="Arial" w:hAnsi="Arial" w:cs="Arial"/>
          <w:sz w:val="28"/>
        </w:rPr>
      </w:pPr>
    </w:p>
    <w:p w14:paraId="6A90BBB0" w14:textId="77777777" w:rsidR="007E0133" w:rsidRDefault="007E0133" w:rsidP="007E0133">
      <w:pPr>
        <w:autoSpaceDE w:val="0"/>
        <w:autoSpaceDN w:val="0"/>
        <w:adjustRightInd w:val="0"/>
        <w:spacing w:after="0" w:line="240" w:lineRule="auto"/>
        <w:jc w:val="both"/>
        <w:rPr>
          <w:rFonts w:ascii="Arial" w:hAnsi="Arial" w:cs="Arial"/>
          <w:sz w:val="28"/>
        </w:rPr>
      </w:pPr>
    </w:p>
    <w:p w14:paraId="4D7D391A" w14:textId="77777777" w:rsidR="007E0133" w:rsidRDefault="007E0133" w:rsidP="007E0133">
      <w:pPr>
        <w:autoSpaceDE w:val="0"/>
        <w:autoSpaceDN w:val="0"/>
        <w:adjustRightInd w:val="0"/>
        <w:spacing w:after="0" w:line="240" w:lineRule="auto"/>
        <w:jc w:val="both"/>
        <w:rPr>
          <w:rFonts w:ascii="Arial" w:hAnsi="Arial" w:cs="Arial"/>
          <w:sz w:val="28"/>
        </w:rPr>
      </w:pPr>
    </w:p>
    <w:p w14:paraId="580473C2" w14:textId="77777777" w:rsidR="007E0133" w:rsidRDefault="007E0133" w:rsidP="007E0133">
      <w:pPr>
        <w:autoSpaceDE w:val="0"/>
        <w:autoSpaceDN w:val="0"/>
        <w:adjustRightInd w:val="0"/>
        <w:spacing w:after="0" w:line="240" w:lineRule="auto"/>
        <w:jc w:val="both"/>
        <w:rPr>
          <w:rFonts w:ascii="Arial" w:hAnsi="Arial" w:cs="Arial"/>
          <w:sz w:val="28"/>
        </w:rPr>
      </w:pPr>
    </w:p>
    <w:p w14:paraId="3DD9C719" w14:textId="77777777" w:rsidR="007E0133" w:rsidRDefault="007E0133" w:rsidP="007E0133">
      <w:pPr>
        <w:autoSpaceDE w:val="0"/>
        <w:autoSpaceDN w:val="0"/>
        <w:adjustRightInd w:val="0"/>
        <w:spacing w:after="0" w:line="240" w:lineRule="auto"/>
        <w:jc w:val="both"/>
        <w:rPr>
          <w:rFonts w:ascii="Arial" w:hAnsi="Arial" w:cs="Arial"/>
          <w:sz w:val="28"/>
        </w:rPr>
      </w:pPr>
    </w:p>
    <w:p w14:paraId="66B7D9F4" w14:textId="77777777" w:rsidR="007E0133" w:rsidRPr="009363EB" w:rsidRDefault="007E0133" w:rsidP="007E0133">
      <w:pPr>
        <w:autoSpaceDE w:val="0"/>
        <w:autoSpaceDN w:val="0"/>
        <w:adjustRightInd w:val="0"/>
        <w:spacing w:after="0" w:line="240" w:lineRule="auto"/>
        <w:jc w:val="both"/>
        <w:rPr>
          <w:sz w:val="20"/>
        </w:rPr>
      </w:pPr>
      <w:r w:rsidRPr="009363EB">
        <w:rPr>
          <w:sz w:val="20"/>
        </w:rPr>
        <w:t>(*) Para los años 2007 al 2017 se presenta el Presupuesto Modificado al cierre de cada ejercicio.</w:t>
      </w:r>
    </w:p>
    <w:p w14:paraId="3631579C" w14:textId="29E67527" w:rsidR="007E0133" w:rsidRPr="009363EB" w:rsidRDefault="007E0133" w:rsidP="007E0133">
      <w:pPr>
        <w:autoSpaceDE w:val="0"/>
        <w:autoSpaceDN w:val="0"/>
        <w:adjustRightInd w:val="0"/>
        <w:spacing w:after="0" w:line="240" w:lineRule="auto"/>
        <w:jc w:val="both"/>
        <w:rPr>
          <w:sz w:val="20"/>
        </w:rPr>
      </w:pPr>
      <w:r w:rsidRPr="009363EB">
        <w:rPr>
          <w:sz w:val="20"/>
        </w:rPr>
        <w:t xml:space="preserve">(p) Para el año 2018, se presenta el Presupuesto Modificado a </w:t>
      </w:r>
      <w:r w:rsidR="002B7EE6" w:rsidRPr="009363EB">
        <w:rPr>
          <w:sz w:val="20"/>
        </w:rPr>
        <w:t>enero</w:t>
      </w:r>
      <w:r w:rsidRPr="009363EB">
        <w:rPr>
          <w:sz w:val="20"/>
        </w:rPr>
        <w:t>.</w:t>
      </w:r>
    </w:p>
    <w:p w14:paraId="1DFAB9B7" w14:textId="77777777" w:rsidR="007E0133" w:rsidRPr="007E0133" w:rsidRDefault="007E0133" w:rsidP="007E0133">
      <w:pPr>
        <w:autoSpaceDE w:val="0"/>
        <w:autoSpaceDN w:val="0"/>
        <w:adjustRightInd w:val="0"/>
        <w:spacing w:after="0" w:line="240" w:lineRule="auto"/>
        <w:jc w:val="both"/>
      </w:pPr>
      <w:r>
        <w:t>Fuente: Unidad Financiera Institucional.</w:t>
      </w:r>
    </w:p>
    <w:p w14:paraId="36B3643E" w14:textId="77777777" w:rsidR="0069103E" w:rsidRPr="0094366F" w:rsidRDefault="0069103E" w:rsidP="0069103E">
      <w:pPr>
        <w:spacing w:after="0" w:line="240" w:lineRule="auto"/>
        <w:jc w:val="both"/>
        <w:rPr>
          <w:rFonts w:eastAsia="Times New Roman" w:cstheme="minorHAnsi"/>
          <w:sz w:val="24"/>
          <w:szCs w:val="24"/>
          <w:lang w:val="es-SV" w:eastAsia="es-SV"/>
        </w:rPr>
      </w:pPr>
    </w:p>
    <w:p w14:paraId="1B19724C" w14:textId="77777777" w:rsidR="0069103E" w:rsidRPr="0094366F" w:rsidRDefault="00FA25A6" w:rsidP="008131CF">
      <w:pPr>
        <w:rPr>
          <w:lang w:val="es-SV" w:eastAsia="es-SV"/>
        </w:rPr>
      </w:pPr>
      <w:r>
        <w:rPr>
          <w:lang w:val="es-SV" w:eastAsia="es-SV"/>
        </w:rPr>
        <w:t>3.</w:t>
      </w:r>
      <w:r w:rsidR="00056010">
        <w:rPr>
          <w:lang w:val="es-SV" w:eastAsia="es-SV"/>
        </w:rPr>
        <w:t>6</w:t>
      </w:r>
      <w:r>
        <w:rPr>
          <w:lang w:val="es-SV" w:eastAsia="es-SV"/>
        </w:rPr>
        <w:t>.3.5</w:t>
      </w:r>
      <w:r w:rsidR="0069103E" w:rsidRPr="0094366F">
        <w:rPr>
          <w:lang w:val="es-SV" w:eastAsia="es-SV"/>
        </w:rPr>
        <w:t xml:space="preserve"> Gasto nacional en SIDA</w:t>
      </w:r>
    </w:p>
    <w:p w14:paraId="3A4283EF" w14:textId="77777777" w:rsidR="0069103E" w:rsidRPr="0094366F" w:rsidRDefault="0069103E" w:rsidP="0069103E">
      <w:pPr>
        <w:spacing w:after="0" w:line="240" w:lineRule="auto"/>
        <w:jc w:val="both"/>
        <w:rPr>
          <w:rFonts w:eastAsia="Times New Roman" w:cstheme="minorHAnsi"/>
          <w:sz w:val="24"/>
          <w:szCs w:val="24"/>
          <w:lang w:val="es-SV" w:eastAsia="es-SV"/>
        </w:rPr>
      </w:pPr>
    </w:p>
    <w:p w14:paraId="24CC35C0" w14:textId="77777777" w:rsidR="0069103E" w:rsidRPr="0094366F" w:rsidRDefault="0069103E" w:rsidP="004F3984">
      <w:pPr>
        <w:spacing w:before="240" w:after="0" w:line="240" w:lineRule="auto"/>
        <w:jc w:val="both"/>
        <w:rPr>
          <w:rFonts w:eastAsia="Times New Roman" w:cstheme="minorHAnsi"/>
          <w:sz w:val="24"/>
          <w:szCs w:val="24"/>
          <w:lang w:val="es-SV" w:eastAsia="es-SV"/>
        </w:rPr>
      </w:pPr>
      <w:r w:rsidRPr="0094366F">
        <w:rPr>
          <w:rFonts w:eastAsia="Times New Roman" w:cstheme="minorHAnsi"/>
          <w:sz w:val="24"/>
          <w:szCs w:val="24"/>
          <w:lang w:val="es-SV" w:eastAsia="es-SV"/>
        </w:rPr>
        <w:t>Para el año 2017 se determinó que el Gasto en Sida contó con un financiamiento de tres sectores: gobierno (80% de los fondos), fuentes internacionales (14%) y fuentes privadas (6%). Sin embargo, esto no implica que se dispone de los suficientes recursos financieros para hacer sostenible y de calidad el abastecimiento de antirretrovirales, insumos diagnósticos y de seguimiento clínico tanto en el nivel central como en toda la red del MINSAL, como con los demás proveedores públicos de servicios de salud coherente con la cantidad de personas que lo requieren año con año.</w:t>
      </w:r>
    </w:p>
    <w:p w14:paraId="4936DCFE" w14:textId="77777777" w:rsidR="0069103E" w:rsidRPr="0094366F" w:rsidRDefault="0069103E" w:rsidP="0069103E">
      <w:pPr>
        <w:spacing w:after="0" w:line="240" w:lineRule="auto"/>
        <w:jc w:val="both"/>
        <w:rPr>
          <w:rFonts w:eastAsia="Times New Roman" w:cstheme="minorHAnsi"/>
          <w:sz w:val="24"/>
          <w:szCs w:val="24"/>
          <w:lang w:val="es-SV" w:eastAsia="es-SV"/>
        </w:rPr>
      </w:pPr>
    </w:p>
    <w:p w14:paraId="58C8D8BC" w14:textId="77777777" w:rsidR="0069103E" w:rsidRPr="0094366F" w:rsidRDefault="0069103E" w:rsidP="0069103E">
      <w:pPr>
        <w:spacing w:after="0" w:line="240" w:lineRule="auto"/>
        <w:jc w:val="both"/>
        <w:rPr>
          <w:rFonts w:eastAsia="Times New Roman" w:cstheme="minorHAnsi"/>
          <w:sz w:val="24"/>
          <w:szCs w:val="24"/>
          <w:lang w:val="es-SV" w:eastAsia="es-SV"/>
        </w:rPr>
      </w:pPr>
      <w:r w:rsidRPr="0094366F">
        <w:rPr>
          <w:rFonts w:eastAsia="Times New Roman" w:cstheme="minorHAnsi"/>
          <w:sz w:val="24"/>
          <w:szCs w:val="24"/>
          <w:lang w:val="es-SV" w:eastAsia="es-SV"/>
        </w:rPr>
        <w:t xml:space="preserve">El porcentaje del presupuesto del MINSAL destinado a gasto en Sida fue de 5.4% en 2017, lo cual indica que se destina un porcentaje muy bajo del presupuesto a este rubro, y el aumento progresivo del mismo no es significativo. Una de las causales de este fenómeno </w:t>
      </w:r>
      <w:r w:rsidRPr="0094366F">
        <w:rPr>
          <w:rFonts w:eastAsia="Times New Roman" w:cstheme="minorHAnsi"/>
          <w:sz w:val="24"/>
          <w:szCs w:val="24"/>
          <w:lang w:val="es-SV" w:eastAsia="es-SV"/>
        </w:rPr>
        <w:lastRenderedPageBreak/>
        <w:t>puede ser que la asignación presupuestaria depende de la decisión del titular en funciones del MINSAL y no por un mecanismo presupuestario o Ley.</w:t>
      </w:r>
    </w:p>
    <w:p w14:paraId="2C2F83AF" w14:textId="77777777" w:rsidR="0069103E" w:rsidRPr="0094366F" w:rsidRDefault="0069103E" w:rsidP="0069103E">
      <w:pPr>
        <w:spacing w:after="0" w:line="240" w:lineRule="auto"/>
        <w:jc w:val="both"/>
        <w:rPr>
          <w:rFonts w:eastAsia="Times New Roman" w:cstheme="minorHAnsi"/>
          <w:sz w:val="24"/>
          <w:szCs w:val="24"/>
          <w:lang w:val="es-SV" w:eastAsia="es-SV"/>
        </w:rPr>
      </w:pPr>
    </w:p>
    <w:p w14:paraId="35DB8CD1" w14:textId="77777777" w:rsidR="0069103E" w:rsidRPr="0094366F" w:rsidRDefault="0069103E" w:rsidP="0069103E">
      <w:pPr>
        <w:spacing w:after="0" w:line="240" w:lineRule="auto"/>
        <w:jc w:val="both"/>
        <w:rPr>
          <w:rFonts w:eastAsia="Times New Roman" w:cstheme="minorHAnsi"/>
          <w:sz w:val="24"/>
          <w:szCs w:val="24"/>
          <w:lang w:val="es-SV" w:eastAsia="es-SV"/>
        </w:rPr>
      </w:pPr>
      <w:r w:rsidRPr="0094366F">
        <w:rPr>
          <w:rFonts w:eastAsia="Times New Roman" w:cstheme="minorHAnsi"/>
          <w:sz w:val="24"/>
          <w:szCs w:val="24"/>
          <w:lang w:val="es-SV" w:eastAsia="es-SV"/>
        </w:rPr>
        <w:t>A ello se suma, según las conclusiones del estudio de Medición del Gasto en Sida de El Salvador (MEGAS) de 2017, la grave disminución del financiamiento del gasto en Sida por parte de cooperación externa. Respecto de 2014, donde se registró un gasto de US$14,771,149, para 2017 ésta fue de US$8,176,872. Es decir que hubo una disminución del 45% ($6,594,277) de los fondos invertidos. Respecto de 2016, la disminución US$2, 626,242 (24%).</w:t>
      </w:r>
    </w:p>
    <w:p w14:paraId="42B60943" w14:textId="77777777" w:rsidR="0069103E" w:rsidRPr="0094366F" w:rsidRDefault="0069103E" w:rsidP="0069103E">
      <w:pPr>
        <w:spacing w:after="0" w:line="240" w:lineRule="auto"/>
        <w:jc w:val="both"/>
        <w:rPr>
          <w:rFonts w:eastAsia="Times New Roman" w:cstheme="minorHAnsi"/>
          <w:sz w:val="24"/>
          <w:szCs w:val="24"/>
          <w:lang w:val="es-SV" w:eastAsia="es-SV"/>
        </w:rPr>
      </w:pPr>
    </w:p>
    <w:p w14:paraId="5C8E3949" w14:textId="77777777" w:rsidR="0069103E" w:rsidRPr="0094366F" w:rsidRDefault="0069103E" w:rsidP="0069103E">
      <w:pPr>
        <w:spacing w:after="0" w:line="240" w:lineRule="auto"/>
        <w:jc w:val="both"/>
        <w:rPr>
          <w:rFonts w:eastAsia="Times New Roman" w:cstheme="minorHAnsi"/>
          <w:sz w:val="24"/>
          <w:szCs w:val="24"/>
          <w:lang w:val="es-SV" w:eastAsia="es-SV"/>
        </w:rPr>
      </w:pPr>
      <w:r w:rsidRPr="0094366F">
        <w:rPr>
          <w:rFonts w:eastAsia="Times New Roman" w:cstheme="minorHAnsi"/>
          <w:sz w:val="24"/>
          <w:szCs w:val="24"/>
          <w:lang w:val="es-SV" w:eastAsia="es-SV"/>
        </w:rPr>
        <w:t>De acuerdo con el Plan Estratégico Nacional del MINSAL (PENM) 2016-2021, hacen falta US$28.07 millones para el desarrollo de las actividades de Prevención y según resultados evidenciados a través del MEGAS (2017), el gasto fue de US$25,0 millones lo que demuestra una brecha de $3,0 millones. Para Atención y tratamiento, según lo proyectado en el PENM 2016-2021 se necesitan US$26.59 millones, pero se ha evidenciado que el gasto cubierto fue de US$26,2 millones para dicha área programática, lo que indica una brecha de US$332,183.</w:t>
      </w:r>
    </w:p>
    <w:p w14:paraId="57389F94" w14:textId="77777777" w:rsidR="0069103E" w:rsidRPr="0094366F" w:rsidRDefault="0069103E" w:rsidP="0069103E">
      <w:pPr>
        <w:spacing w:after="0" w:line="240" w:lineRule="auto"/>
        <w:jc w:val="both"/>
        <w:rPr>
          <w:rFonts w:eastAsia="Times New Roman" w:cstheme="minorHAnsi"/>
          <w:sz w:val="24"/>
          <w:szCs w:val="24"/>
          <w:lang w:val="es-SV" w:eastAsia="es-SV"/>
        </w:rPr>
      </w:pPr>
    </w:p>
    <w:p w14:paraId="324EC67C" w14:textId="77777777" w:rsidR="0069103E" w:rsidRPr="00126C49" w:rsidRDefault="0069103E" w:rsidP="0069103E">
      <w:pPr>
        <w:spacing w:after="0" w:line="240" w:lineRule="auto"/>
        <w:jc w:val="both"/>
        <w:rPr>
          <w:rFonts w:ascii="Times New Roman" w:eastAsia="Times New Roman" w:hAnsi="Times New Roman" w:cs="Times New Roman"/>
          <w:sz w:val="24"/>
          <w:szCs w:val="24"/>
          <w:lang w:val="es-SV" w:eastAsia="es-SV"/>
        </w:rPr>
      </w:pPr>
    </w:p>
    <w:p w14:paraId="13215519" w14:textId="77777777" w:rsidR="0069103E" w:rsidRPr="007E0133" w:rsidRDefault="007E0133" w:rsidP="0069103E">
      <w:pPr>
        <w:spacing w:after="0"/>
        <w:jc w:val="center"/>
        <w:rPr>
          <w:b/>
        </w:rPr>
      </w:pPr>
      <w:r>
        <w:rPr>
          <w:b/>
        </w:rPr>
        <w:t xml:space="preserve">Gráfico 4. </w:t>
      </w:r>
      <w:r w:rsidR="0069103E" w:rsidRPr="007E0133">
        <w:rPr>
          <w:b/>
        </w:rPr>
        <w:t>Fuentes de financiamiento en VIH</w:t>
      </w:r>
    </w:p>
    <w:p w14:paraId="00CA4F97" w14:textId="77777777" w:rsidR="0069103E" w:rsidRPr="00126C49" w:rsidRDefault="00DE4723" w:rsidP="0069103E">
      <w:pPr>
        <w:jc w:val="center"/>
        <w:rPr>
          <w:rFonts w:ascii="Times New Roman" w:hAnsi="Times New Roman" w:cs="Times New Roman"/>
          <w:sz w:val="24"/>
        </w:rPr>
      </w:pPr>
      <w:r w:rsidRPr="00126C49">
        <w:rPr>
          <w:rFonts w:ascii="Times New Roman" w:hAnsi="Times New Roman" w:cs="Times New Roman"/>
          <w:noProof/>
          <w:sz w:val="24"/>
          <w:lang w:val="es-SV" w:eastAsia="es-SV"/>
        </w:rPr>
        <w:drawing>
          <wp:anchor distT="0" distB="0" distL="114300" distR="114300" simplePos="0" relativeHeight="251659264" behindDoc="0" locked="0" layoutInCell="1" allowOverlap="1" wp14:anchorId="3A958DD4" wp14:editId="166EBFF5">
            <wp:simplePos x="0" y="0"/>
            <wp:positionH relativeFrom="margin">
              <wp:posOffset>701040</wp:posOffset>
            </wp:positionH>
            <wp:positionV relativeFrom="paragraph">
              <wp:posOffset>92710</wp:posOffset>
            </wp:positionV>
            <wp:extent cx="4591050" cy="2840377"/>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534" r="26157" b="5943"/>
                    <a:stretch/>
                  </pic:blipFill>
                  <pic:spPr bwMode="auto">
                    <a:xfrm>
                      <a:off x="0" y="0"/>
                      <a:ext cx="4591050" cy="28403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5C0D79" w14:textId="77777777" w:rsidR="0069103E" w:rsidRPr="00126C49" w:rsidRDefault="0069103E" w:rsidP="0069103E">
      <w:pPr>
        <w:jc w:val="center"/>
        <w:rPr>
          <w:rFonts w:ascii="Times New Roman" w:hAnsi="Times New Roman" w:cs="Times New Roman"/>
          <w:sz w:val="24"/>
        </w:rPr>
      </w:pPr>
    </w:p>
    <w:p w14:paraId="227DCEF3" w14:textId="77777777" w:rsidR="0069103E" w:rsidRPr="00126C49" w:rsidRDefault="0069103E" w:rsidP="0069103E">
      <w:pPr>
        <w:jc w:val="center"/>
        <w:rPr>
          <w:rFonts w:ascii="Times New Roman" w:hAnsi="Times New Roman" w:cs="Times New Roman"/>
          <w:sz w:val="24"/>
        </w:rPr>
      </w:pPr>
    </w:p>
    <w:p w14:paraId="4F79062F" w14:textId="77777777" w:rsidR="0069103E" w:rsidRPr="00126C49" w:rsidRDefault="0069103E" w:rsidP="0069103E">
      <w:pPr>
        <w:jc w:val="center"/>
        <w:rPr>
          <w:rFonts w:ascii="Times New Roman" w:hAnsi="Times New Roman" w:cs="Times New Roman"/>
          <w:sz w:val="24"/>
        </w:rPr>
      </w:pPr>
    </w:p>
    <w:p w14:paraId="70EF24F8" w14:textId="77777777" w:rsidR="0069103E" w:rsidRPr="00126C49" w:rsidRDefault="0069103E" w:rsidP="0069103E">
      <w:pPr>
        <w:jc w:val="center"/>
        <w:rPr>
          <w:rFonts w:ascii="Times New Roman" w:hAnsi="Times New Roman" w:cs="Times New Roman"/>
          <w:sz w:val="24"/>
        </w:rPr>
      </w:pPr>
    </w:p>
    <w:p w14:paraId="216A2D84" w14:textId="77777777" w:rsidR="0069103E" w:rsidRPr="00126C49" w:rsidRDefault="0069103E" w:rsidP="0069103E">
      <w:pPr>
        <w:jc w:val="center"/>
        <w:rPr>
          <w:rFonts w:ascii="Times New Roman" w:hAnsi="Times New Roman" w:cs="Times New Roman"/>
          <w:sz w:val="24"/>
        </w:rPr>
      </w:pPr>
    </w:p>
    <w:p w14:paraId="0160D854" w14:textId="77777777" w:rsidR="0069103E" w:rsidRPr="00126C49" w:rsidRDefault="0069103E" w:rsidP="0069103E">
      <w:pPr>
        <w:jc w:val="center"/>
        <w:rPr>
          <w:rFonts w:ascii="Times New Roman" w:hAnsi="Times New Roman" w:cs="Times New Roman"/>
          <w:sz w:val="24"/>
        </w:rPr>
      </w:pPr>
    </w:p>
    <w:p w14:paraId="7B57CAE8" w14:textId="77777777" w:rsidR="0069103E" w:rsidRPr="00126C49" w:rsidRDefault="0069103E" w:rsidP="0069103E">
      <w:pPr>
        <w:jc w:val="center"/>
        <w:rPr>
          <w:rFonts w:ascii="Times New Roman" w:hAnsi="Times New Roman" w:cs="Times New Roman"/>
        </w:rPr>
      </w:pPr>
    </w:p>
    <w:p w14:paraId="72100F8E" w14:textId="77777777" w:rsidR="007E0133" w:rsidRDefault="007E0133" w:rsidP="0069103E">
      <w:pPr>
        <w:jc w:val="center"/>
        <w:rPr>
          <w:rFonts w:ascii="Times New Roman" w:hAnsi="Times New Roman" w:cs="Times New Roman"/>
        </w:rPr>
      </w:pPr>
    </w:p>
    <w:p w14:paraId="6D31A7E7" w14:textId="77777777" w:rsidR="007E0133" w:rsidRDefault="007E0133" w:rsidP="0069103E">
      <w:pPr>
        <w:jc w:val="center"/>
        <w:rPr>
          <w:rFonts w:ascii="Times New Roman" w:hAnsi="Times New Roman" w:cs="Times New Roman"/>
        </w:rPr>
      </w:pPr>
    </w:p>
    <w:p w14:paraId="250349B9" w14:textId="77777777" w:rsidR="0069103E" w:rsidRDefault="0069103E" w:rsidP="0069103E">
      <w:pPr>
        <w:jc w:val="center"/>
        <w:rPr>
          <w:rFonts w:ascii="Times New Roman" w:hAnsi="Times New Roman" w:cs="Times New Roman"/>
          <w:sz w:val="24"/>
        </w:rPr>
      </w:pPr>
      <w:r w:rsidRPr="00126C49">
        <w:rPr>
          <w:rFonts w:ascii="Times New Roman" w:hAnsi="Times New Roman" w:cs="Times New Roman"/>
        </w:rPr>
        <w:t>Fuente: MINSAL, Estudio MEGAS 2017</w:t>
      </w:r>
      <w:r w:rsidRPr="00126C49">
        <w:rPr>
          <w:rFonts w:ascii="Times New Roman" w:hAnsi="Times New Roman" w:cs="Times New Roman"/>
          <w:sz w:val="24"/>
        </w:rPr>
        <w:t>.</w:t>
      </w:r>
    </w:p>
    <w:p w14:paraId="0A2FFAFA" w14:textId="77777777" w:rsidR="00FA25A6" w:rsidRDefault="00FA25A6" w:rsidP="0069103E">
      <w:pPr>
        <w:jc w:val="center"/>
        <w:rPr>
          <w:rFonts w:ascii="Times New Roman" w:hAnsi="Times New Roman" w:cs="Times New Roman"/>
          <w:sz w:val="24"/>
        </w:rPr>
      </w:pPr>
    </w:p>
    <w:p w14:paraId="6DBC0835" w14:textId="77777777" w:rsidR="00FA25A6" w:rsidRDefault="00FA25A6" w:rsidP="0069103E">
      <w:pPr>
        <w:jc w:val="center"/>
        <w:rPr>
          <w:rFonts w:ascii="Times New Roman" w:hAnsi="Times New Roman" w:cs="Times New Roman"/>
          <w:sz w:val="24"/>
        </w:rPr>
      </w:pPr>
    </w:p>
    <w:p w14:paraId="6193CCB7" w14:textId="77777777" w:rsidR="00FA25A6" w:rsidRDefault="00FA25A6" w:rsidP="0069103E">
      <w:pPr>
        <w:jc w:val="center"/>
        <w:rPr>
          <w:rFonts w:ascii="Times New Roman" w:hAnsi="Times New Roman" w:cs="Times New Roman"/>
          <w:sz w:val="24"/>
        </w:rPr>
      </w:pPr>
    </w:p>
    <w:p w14:paraId="7E21853C" w14:textId="77777777" w:rsidR="00FA25A6" w:rsidRDefault="00FA25A6" w:rsidP="0069103E">
      <w:pPr>
        <w:jc w:val="center"/>
        <w:rPr>
          <w:rFonts w:ascii="Times New Roman" w:hAnsi="Times New Roman" w:cs="Times New Roman"/>
          <w:sz w:val="24"/>
        </w:rPr>
      </w:pPr>
    </w:p>
    <w:p w14:paraId="67013931" w14:textId="77777777" w:rsidR="009F0413" w:rsidRPr="0054218B" w:rsidRDefault="002E37AF" w:rsidP="002E37AF">
      <w:pPr>
        <w:pStyle w:val="Ttulo1"/>
        <w:shd w:val="clear" w:color="auto" w:fill="D9E2F3" w:themeFill="accent5" w:themeFillTint="33"/>
        <w:rPr>
          <w:lang w:val="es-MX"/>
        </w:rPr>
      </w:pPr>
      <w:bookmarkStart w:id="17" w:name="_Toc15275134"/>
      <w:r w:rsidRPr="0054218B">
        <w:lastRenderedPageBreak/>
        <w:t>III</w:t>
      </w:r>
      <w:r w:rsidR="009F0413" w:rsidRPr="0054218B">
        <w:rPr>
          <w:lang w:val="es-MX"/>
        </w:rPr>
        <w:t xml:space="preserve">. </w:t>
      </w:r>
      <w:r w:rsidR="009B0941" w:rsidRPr="0054218B">
        <w:rPr>
          <w:lang w:val="es-MX"/>
        </w:rPr>
        <w:t xml:space="preserve">LINEAMIENTOS </w:t>
      </w:r>
      <w:r w:rsidRPr="0054218B">
        <w:rPr>
          <w:lang w:val="es-MX"/>
        </w:rPr>
        <w:t xml:space="preserve">ESTRATÉGICOS </w:t>
      </w:r>
      <w:r w:rsidR="009B0941" w:rsidRPr="0054218B">
        <w:rPr>
          <w:lang w:val="es-MX"/>
        </w:rPr>
        <w:t xml:space="preserve">Y </w:t>
      </w:r>
      <w:r w:rsidRPr="0054218B">
        <w:rPr>
          <w:lang w:val="es-MX"/>
        </w:rPr>
        <w:t xml:space="preserve">PLAN DE ACCIÓN </w:t>
      </w:r>
      <w:r w:rsidR="009B0941" w:rsidRPr="0054218B">
        <w:rPr>
          <w:lang w:val="es-MX"/>
        </w:rPr>
        <w:t>PARA LA S</w:t>
      </w:r>
      <w:r w:rsidR="009F0413" w:rsidRPr="0054218B">
        <w:rPr>
          <w:lang w:val="es-MX"/>
        </w:rPr>
        <w:t>OSTENIBILIDAD</w:t>
      </w:r>
      <w:bookmarkEnd w:id="17"/>
      <w:r w:rsidR="009F0413" w:rsidRPr="0054218B">
        <w:rPr>
          <w:lang w:val="es-MX"/>
        </w:rPr>
        <w:t xml:space="preserve"> </w:t>
      </w:r>
      <w:r w:rsidR="006475C5" w:rsidRPr="0054218B">
        <w:rPr>
          <w:lang w:val="es-MX"/>
        </w:rPr>
        <w:t xml:space="preserve"> </w:t>
      </w:r>
    </w:p>
    <w:p w14:paraId="34FC0A4F" w14:textId="77777777" w:rsidR="00C30266" w:rsidRPr="00BC6282" w:rsidRDefault="00C30266" w:rsidP="009F0413">
      <w:pPr>
        <w:spacing w:after="0" w:line="240" w:lineRule="auto"/>
        <w:rPr>
          <w:rFonts w:ascii="Times New Roman" w:hAnsi="Times New Roman" w:cs="Times New Roman"/>
          <w:sz w:val="28"/>
          <w:szCs w:val="28"/>
          <w:lang w:val="es-MX"/>
        </w:rPr>
      </w:pPr>
    </w:p>
    <w:p w14:paraId="442435B1" w14:textId="77777777" w:rsidR="0033732E" w:rsidRPr="0094366F" w:rsidRDefault="0033732E" w:rsidP="0033732E">
      <w:pPr>
        <w:spacing w:after="0" w:line="240" w:lineRule="auto"/>
        <w:jc w:val="both"/>
        <w:rPr>
          <w:rFonts w:eastAsiaTheme="minorEastAsia" w:cstheme="minorHAnsi"/>
          <w:color w:val="000000" w:themeColor="text1"/>
          <w:kern w:val="24"/>
          <w:sz w:val="24"/>
          <w:szCs w:val="24"/>
          <w:lang w:val="es-PA" w:eastAsia="es-PA"/>
        </w:rPr>
      </w:pPr>
      <w:r w:rsidRPr="0094366F">
        <w:rPr>
          <w:rFonts w:eastAsiaTheme="minorEastAsia" w:cstheme="minorHAnsi"/>
          <w:color w:val="000000" w:themeColor="text1"/>
          <w:kern w:val="24"/>
          <w:sz w:val="24"/>
          <w:szCs w:val="24"/>
          <w:lang w:val="es-PA" w:eastAsia="es-PA"/>
        </w:rPr>
        <w:t xml:space="preserve">Después de conocidos los antecedentes, el contexto de país y el diagnóstico, describe los principales elementos de la visión de país para lograr la sostenibilidad de la respuesta al </w:t>
      </w:r>
      <w:r w:rsidR="00B873BF" w:rsidRPr="0094366F">
        <w:rPr>
          <w:rFonts w:eastAsiaTheme="minorEastAsia" w:cstheme="minorHAnsi"/>
          <w:color w:val="000000" w:themeColor="text1"/>
          <w:kern w:val="24"/>
          <w:sz w:val="24"/>
          <w:szCs w:val="24"/>
          <w:lang w:val="es-PA" w:eastAsia="es-PA"/>
        </w:rPr>
        <w:t>VIH. E</w:t>
      </w:r>
      <w:r w:rsidRPr="0094366F">
        <w:rPr>
          <w:rFonts w:eastAsiaTheme="minorEastAsia" w:cstheme="minorHAnsi"/>
          <w:color w:val="000000" w:themeColor="text1"/>
          <w:kern w:val="24"/>
          <w:sz w:val="24"/>
          <w:szCs w:val="24"/>
          <w:lang w:val="es-PA" w:eastAsia="es-PA"/>
        </w:rPr>
        <w:t>stablece</w:t>
      </w:r>
      <w:r w:rsidR="00C42DDB" w:rsidRPr="0094366F">
        <w:rPr>
          <w:rFonts w:eastAsiaTheme="minorEastAsia" w:cstheme="minorHAnsi"/>
          <w:color w:val="000000" w:themeColor="text1"/>
          <w:kern w:val="24"/>
          <w:sz w:val="24"/>
          <w:szCs w:val="24"/>
          <w:lang w:val="es-PA" w:eastAsia="es-PA"/>
        </w:rPr>
        <w:t xml:space="preserve"> supuestos para situaciones que, </w:t>
      </w:r>
      <w:r w:rsidRPr="0094366F">
        <w:rPr>
          <w:rFonts w:eastAsiaTheme="minorEastAsia" w:cstheme="minorHAnsi"/>
          <w:color w:val="000000" w:themeColor="text1"/>
          <w:kern w:val="24"/>
          <w:sz w:val="24"/>
          <w:szCs w:val="24"/>
          <w:lang w:val="es-PA" w:eastAsia="es-PA"/>
        </w:rPr>
        <w:t>sin ser parte directa del vínculo entre financiamiento, costo-efectividad y gestión/transparencia en VIH, pueden afectar el logro de los objetivos de sostenibilidad</w:t>
      </w:r>
      <w:r w:rsidR="00F961C8" w:rsidRPr="0094366F">
        <w:rPr>
          <w:rFonts w:eastAsiaTheme="minorEastAsia" w:cstheme="minorHAnsi"/>
          <w:color w:val="000000" w:themeColor="text1"/>
          <w:kern w:val="24"/>
          <w:sz w:val="24"/>
          <w:szCs w:val="24"/>
          <w:lang w:val="es-PA" w:eastAsia="es-PA"/>
        </w:rPr>
        <w:t>; por ejemplo</w:t>
      </w:r>
      <w:r w:rsidR="00C42DDB" w:rsidRPr="0094366F">
        <w:rPr>
          <w:rFonts w:eastAsiaTheme="minorEastAsia" w:cstheme="minorHAnsi"/>
          <w:color w:val="000000" w:themeColor="text1"/>
          <w:kern w:val="24"/>
          <w:sz w:val="24"/>
          <w:szCs w:val="24"/>
          <w:lang w:val="es-PA" w:eastAsia="es-PA"/>
        </w:rPr>
        <w:t>,</w:t>
      </w:r>
      <w:r w:rsidR="00F961C8" w:rsidRPr="0094366F">
        <w:rPr>
          <w:rFonts w:eastAsiaTheme="minorEastAsia" w:cstheme="minorHAnsi"/>
          <w:color w:val="000000" w:themeColor="text1"/>
          <w:kern w:val="24"/>
          <w:sz w:val="24"/>
          <w:szCs w:val="24"/>
          <w:lang w:val="es-PA" w:eastAsia="es-PA"/>
        </w:rPr>
        <w:t xml:space="preserve"> aspecto</w:t>
      </w:r>
      <w:r w:rsidR="00C42DDB" w:rsidRPr="0094366F">
        <w:rPr>
          <w:rFonts w:eastAsiaTheme="minorEastAsia" w:cstheme="minorHAnsi"/>
          <w:color w:val="000000" w:themeColor="text1"/>
          <w:kern w:val="24"/>
          <w:sz w:val="24"/>
          <w:szCs w:val="24"/>
          <w:lang w:val="es-PA" w:eastAsia="es-PA"/>
        </w:rPr>
        <w:t xml:space="preserve">s relacionados con la rectoría en </w:t>
      </w:r>
      <w:r w:rsidR="00F961C8" w:rsidRPr="0094366F">
        <w:rPr>
          <w:rFonts w:eastAsiaTheme="minorEastAsia" w:cstheme="minorHAnsi"/>
          <w:color w:val="000000" w:themeColor="text1"/>
          <w:kern w:val="24"/>
          <w:sz w:val="24"/>
          <w:szCs w:val="24"/>
          <w:lang w:val="es-PA" w:eastAsia="es-PA"/>
        </w:rPr>
        <w:t xml:space="preserve">salud, coordinación, transparencia entre otros. </w:t>
      </w:r>
      <w:r w:rsidR="00B873BF" w:rsidRPr="0094366F">
        <w:rPr>
          <w:rFonts w:eastAsiaTheme="minorEastAsia" w:cstheme="minorHAnsi"/>
          <w:color w:val="000000" w:themeColor="text1"/>
          <w:kern w:val="24"/>
          <w:sz w:val="24"/>
          <w:szCs w:val="24"/>
          <w:lang w:val="es-PA" w:eastAsia="es-PA"/>
        </w:rPr>
        <w:t xml:space="preserve">Valora las ventajas, desventajas y oportunidades de los diferentes mecanismos de movilización de recursos en el contexto actual.   </w:t>
      </w:r>
      <w:r w:rsidRPr="0094366F">
        <w:rPr>
          <w:rFonts w:eastAsiaTheme="minorEastAsia" w:cstheme="minorHAnsi"/>
          <w:color w:val="000000" w:themeColor="text1"/>
          <w:kern w:val="24"/>
          <w:sz w:val="24"/>
          <w:szCs w:val="24"/>
          <w:lang w:val="es-PA" w:eastAsia="es-PA"/>
        </w:rPr>
        <w:t xml:space="preserve">A </w:t>
      </w:r>
      <w:r w:rsidR="00C42DDB" w:rsidRPr="0094366F">
        <w:rPr>
          <w:rFonts w:eastAsiaTheme="minorEastAsia" w:cstheme="minorHAnsi"/>
          <w:color w:val="000000" w:themeColor="text1"/>
          <w:kern w:val="24"/>
          <w:sz w:val="24"/>
          <w:szCs w:val="24"/>
          <w:lang w:val="es-PA" w:eastAsia="es-PA"/>
        </w:rPr>
        <w:t>continuación,</w:t>
      </w:r>
      <w:r w:rsidRPr="0094366F">
        <w:rPr>
          <w:rFonts w:eastAsiaTheme="minorEastAsia" w:cstheme="minorHAnsi"/>
          <w:color w:val="000000" w:themeColor="text1"/>
          <w:kern w:val="24"/>
          <w:sz w:val="24"/>
          <w:szCs w:val="24"/>
          <w:lang w:val="es-PA" w:eastAsia="es-PA"/>
        </w:rPr>
        <w:t xml:space="preserve"> se enumeran los principales elementos a considerar</w:t>
      </w:r>
      <w:r w:rsidR="00F961C8" w:rsidRPr="0094366F">
        <w:rPr>
          <w:rFonts w:eastAsiaTheme="minorEastAsia" w:cstheme="minorHAnsi"/>
          <w:color w:val="000000" w:themeColor="text1"/>
          <w:kern w:val="24"/>
          <w:sz w:val="24"/>
          <w:szCs w:val="24"/>
          <w:lang w:val="es-PA" w:eastAsia="es-PA"/>
        </w:rPr>
        <w:t>/desarrollar</w:t>
      </w:r>
      <w:r w:rsidRPr="0094366F">
        <w:rPr>
          <w:rFonts w:eastAsiaTheme="minorEastAsia" w:cstheme="minorHAnsi"/>
          <w:color w:val="000000" w:themeColor="text1"/>
          <w:kern w:val="24"/>
          <w:sz w:val="24"/>
          <w:szCs w:val="24"/>
          <w:lang w:val="es-PA" w:eastAsia="es-PA"/>
        </w:rPr>
        <w:t>:</w:t>
      </w:r>
    </w:p>
    <w:p w14:paraId="3C2C9B98" w14:textId="77777777" w:rsidR="00CD0C19" w:rsidRPr="0094366F" w:rsidRDefault="00CD0C19" w:rsidP="00CD0C19">
      <w:pPr>
        <w:spacing w:after="0" w:line="240" w:lineRule="auto"/>
        <w:rPr>
          <w:rFonts w:cstheme="minorHAnsi"/>
          <w:b/>
          <w:sz w:val="24"/>
          <w:szCs w:val="24"/>
          <w:lang w:val="es-MX"/>
        </w:rPr>
      </w:pPr>
    </w:p>
    <w:p w14:paraId="1659FD53" w14:textId="77777777" w:rsidR="00BC6282" w:rsidRPr="0094366F" w:rsidRDefault="002F40B9" w:rsidP="002E37AF">
      <w:pPr>
        <w:pStyle w:val="Ttulo2"/>
        <w:rPr>
          <w:lang w:val="es-MX"/>
        </w:rPr>
      </w:pPr>
      <w:bookmarkStart w:id="18" w:name="_Toc15275135"/>
      <w:r w:rsidRPr="0094366F">
        <w:rPr>
          <w:lang w:val="es-MX"/>
        </w:rPr>
        <w:t xml:space="preserve">3.1 </w:t>
      </w:r>
      <w:r w:rsidR="00BC6282" w:rsidRPr="0094366F">
        <w:rPr>
          <w:lang w:val="es-MX"/>
        </w:rPr>
        <w:t>Visión</w:t>
      </w:r>
      <w:bookmarkEnd w:id="18"/>
    </w:p>
    <w:p w14:paraId="15580A3C" w14:textId="77777777" w:rsidR="00CD0C19" w:rsidRPr="003D1DAE" w:rsidRDefault="003D1DAE" w:rsidP="003D1DAE">
      <w:pPr>
        <w:spacing w:after="0" w:line="240" w:lineRule="auto"/>
        <w:jc w:val="both"/>
        <w:rPr>
          <w:rFonts w:cstheme="minorHAnsi"/>
          <w:sz w:val="24"/>
          <w:szCs w:val="24"/>
          <w:lang w:val="es-MX"/>
        </w:rPr>
      </w:pPr>
      <w:r w:rsidRPr="003D1DAE">
        <w:rPr>
          <w:rFonts w:cstheme="minorHAnsi"/>
          <w:sz w:val="24"/>
          <w:szCs w:val="24"/>
        </w:rPr>
        <w:t>El Salvador tendrá los recursos financieros nacionales necesarios para financiar acciones y alcanzar los objetivos 90 90 90, modificará el enfoque de las acciones para garantizar su eficiencia y efectividad en la erradicación de la epidemia al 2030.  Para ello se buscarán espacios para aumentar los recursos nacionales, articulados con recursos privados, optimizando acciones costo efectivas en servicios de prevención y atención del VIH. El respeto a los derechos humanos será un eje transversal en el accionar.</w:t>
      </w:r>
    </w:p>
    <w:p w14:paraId="6D8D524C" w14:textId="77777777" w:rsidR="00BC6282" w:rsidRPr="0094366F" w:rsidRDefault="002F40B9" w:rsidP="002E37AF">
      <w:pPr>
        <w:pStyle w:val="Ttulo2"/>
        <w:rPr>
          <w:lang w:val="es-MX"/>
        </w:rPr>
      </w:pPr>
      <w:bookmarkStart w:id="19" w:name="_Toc15275136"/>
      <w:r w:rsidRPr="0094366F">
        <w:rPr>
          <w:lang w:val="es-MX"/>
        </w:rPr>
        <w:t xml:space="preserve">3.2 </w:t>
      </w:r>
      <w:r w:rsidR="00BC6282" w:rsidRPr="0094366F">
        <w:rPr>
          <w:lang w:val="es-MX"/>
        </w:rPr>
        <w:t>Misión</w:t>
      </w:r>
      <w:bookmarkEnd w:id="19"/>
    </w:p>
    <w:p w14:paraId="619B17C8" w14:textId="77777777" w:rsidR="00BC6282" w:rsidRPr="0094366F" w:rsidRDefault="00BC6282" w:rsidP="0098370B">
      <w:pPr>
        <w:spacing w:after="0" w:line="240" w:lineRule="auto"/>
        <w:jc w:val="both"/>
        <w:rPr>
          <w:rFonts w:cstheme="minorHAnsi"/>
          <w:sz w:val="24"/>
          <w:szCs w:val="24"/>
        </w:rPr>
      </w:pPr>
      <w:r w:rsidRPr="0094366F">
        <w:rPr>
          <w:rFonts w:cstheme="minorHAnsi"/>
          <w:sz w:val="24"/>
          <w:szCs w:val="24"/>
        </w:rPr>
        <w:t>Somos un equipo multisectorial comprometido con la respuesta nacional al VIH, dirigido a aumentar los recursos financieros necesarios para que la respuesta al VIH sea efectiva, y lograr su contención al 2030. Buscamos oportunidades de financiamiento nacionales, tanto públicos como privados, así como el diseño e implementación de estrategias costo efectivas que contribuyan al logro de los objetivos 90 90 90.</w:t>
      </w:r>
    </w:p>
    <w:p w14:paraId="15EC3C55" w14:textId="77777777" w:rsidR="009F0413" w:rsidRPr="0094366F" w:rsidRDefault="002F40B9" w:rsidP="002E37AF">
      <w:pPr>
        <w:pStyle w:val="Ttulo2"/>
        <w:rPr>
          <w:lang w:val="es-MX"/>
        </w:rPr>
      </w:pPr>
      <w:bookmarkStart w:id="20" w:name="_Toc15275137"/>
      <w:r w:rsidRPr="0094366F">
        <w:rPr>
          <w:lang w:val="es-MX"/>
        </w:rPr>
        <w:t>3.3 Objetivos</w:t>
      </w:r>
      <w:bookmarkEnd w:id="20"/>
    </w:p>
    <w:p w14:paraId="22D35934" w14:textId="77777777" w:rsidR="00BC6282" w:rsidRPr="00056010" w:rsidRDefault="00BC6282" w:rsidP="00ED565C">
      <w:pPr>
        <w:pStyle w:val="Prrafodelista"/>
        <w:numPr>
          <w:ilvl w:val="0"/>
          <w:numId w:val="18"/>
        </w:numPr>
        <w:spacing w:after="0" w:line="240" w:lineRule="auto"/>
        <w:rPr>
          <w:rFonts w:cstheme="minorHAnsi"/>
          <w:sz w:val="24"/>
          <w:szCs w:val="24"/>
        </w:rPr>
      </w:pPr>
      <w:r w:rsidRPr="00ED565C">
        <w:rPr>
          <w:rFonts w:cstheme="minorHAnsi"/>
          <w:sz w:val="24"/>
          <w:szCs w:val="24"/>
        </w:rPr>
        <w:t xml:space="preserve">Aumentar la movilización de recursos nacionales, tanto públicos como privados, para el desarrollo de acciones costo efectivas dirigidas a la </w:t>
      </w:r>
      <w:r w:rsidRPr="00056010">
        <w:rPr>
          <w:rFonts w:cstheme="minorHAnsi"/>
          <w:sz w:val="24"/>
          <w:szCs w:val="24"/>
        </w:rPr>
        <w:t>contención de la epidemia, con énfasis en poblaciones clave.</w:t>
      </w:r>
    </w:p>
    <w:p w14:paraId="2111EEF1" w14:textId="77777777" w:rsidR="00BC6282" w:rsidRPr="00056010" w:rsidRDefault="00BC6282" w:rsidP="00ED565C">
      <w:pPr>
        <w:pStyle w:val="Prrafodelista"/>
        <w:numPr>
          <w:ilvl w:val="0"/>
          <w:numId w:val="18"/>
        </w:numPr>
        <w:spacing w:after="0" w:line="240" w:lineRule="auto"/>
        <w:rPr>
          <w:rFonts w:cstheme="minorHAnsi"/>
          <w:sz w:val="24"/>
          <w:szCs w:val="24"/>
        </w:rPr>
      </w:pPr>
      <w:r w:rsidRPr="00056010">
        <w:rPr>
          <w:rFonts w:cstheme="minorHAnsi"/>
          <w:sz w:val="24"/>
          <w:szCs w:val="24"/>
        </w:rPr>
        <w:t>Implementar acciones costo efectivas que contribuyan a optimizar los recursos financieros existentes.</w:t>
      </w:r>
    </w:p>
    <w:p w14:paraId="48085F3A" w14:textId="77777777" w:rsidR="004F3984" w:rsidRPr="00056010" w:rsidRDefault="002E37AF" w:rsidP="00ED565C">
      <w:pPr>
        <w:pStyle w:val="Prrafodelista"/>
        <w:numPr>
          <w:ilvl w:val="0"/>
          <w:numId w:val="18"/>
        </w:numPr>
        <w:spacing w:after="0" w:line="240" w:lineRule="auto"/>
        <w:rPr>
          <w:rFonts w:cstheme="minorHAnsi"/>
          <w:sz w:val="24"/>
          <w:szCs w:val="24"/>
        </w:rPr>
      </w:pPr>
      <w:r w:rsidRPr="00056010">
        <w:rPr>
          <w:rFonts w:cstheme="minorHAnsi"/>
          <w:sz w:val="24"/>
          <w:szCs w:val="24"/>
        </w:rPr>
        <w:t>Fortalecer el marco de políticas requeridas para la sostenibilidad y su implementación</w:t>
      </w:r>
    </w:p>
    <w:p w14:paraId="043A1F72" w14:textId="77777777" w:rsidR="0030469E" w:rsidRPr="0094366F" w:rsidRDefault="002F40B9" w:rsidP="002E37AF">
      <w:pPr>
        <w:pStyle w:val="Ttulo2"/>
        <w:rPr>
          <w:lang w:val="es-MX"/>
        </w:rPr>
      </w:pPr>
      <w:bookmarkStart w:id="21" w:name="_Toc15275138"/>
      <w:r w:rsidRPr="0094366F">
        <w:rPr>
          <w:lang w:val="es-MX"/>
        </w:rPr>
        <w:t>3.4 Principios</w:t>
      </w:r>
      <w:bookmarkEnd w:id="21"/>
      <w:r w:rsidRPr="0094366F">
        <w:rPr>
          <w:lang w:val="es-MX"/>
        </w:rPr>
        <w:t xml:space="preserve"> </w:t>
      </w:r>
    </w:p>
    <w:p w14:paraId="44D5170E" w14:textId="77777777" w:rsidR="00BC6282" w:rsidRPr="00ED565C" w:rsidRDefault="00BC6282" w:rsidP="00ED565C">
      <w:pPr>
        <w:pStyle w:val="Prrafodelista"/>
        <w:numPr>
          <w:ilvl w:val="0"/>
          <w:numId w:val="21"/>
        </w:numPr>
        <w:spacing w:after="0" w:line="240" w:lineRule="auto"/>
        <w:rPr>
          <w:rFonts w:cstheme="minorHAnsi"/>
          <w:sz w:val="24"/>
          <w:szCs w:val="24"/>
          <w:lang w:val="es-MX"/>
        </w:rPr>
      </w:pPr>
      <w:r w:rsidRPr="00ED565C">
        <w:rPr>
          <w:rFonts w:cstheme="minorHAnsi"/>
          <w:sz w:val="24"/>
          <w:szCs w:val="24"/>
          <w:lang w:val="es-MX"/>
        </w:rPr>
        <w:t xml:space="preserve">Universalidad en salud integración y vinculación con los sectores en la región. </w:t>
      </w:r>
    </w:p>
    <w:p w14:paraId="3DE2483B" w14:textId="77777777" w:rsidR="00BC6282" w:rsidRPr="00ED565C" w:rsidRDefault="00BC6282" w:rsidP="00ED565C">
      <w:pPr>
        <w:pStyle w:val="Prrafodelista"/>
        <w:numPr>
          <w:ilvl w:val="0"/>
          <w:numId w:val="21"/>
        </w:numPr>
        <w:spacing w:after="0" w:line="240" w:lineRule="auto"/>
        <w:rPr>
          <w:rFonts w:cstheme="minorHAnsi"/>
          <w:sz w:val="24"/>
          <w:szCs w:val="24"/>
          <w:lang w:val="es-MX"/>
        </w:rPr>
      </w:pPr>
      <w:r w:rsidRPr="00ED565C">
        <w:rPr>
          <w:rFonts w:cstheme="minorHAnsi"/>
          <w:sz w:val="24"/>
          <w:szCs w:val="24"/>
          <w:lang w:val="es-MX"/>
        </w:rPr>
        <w:t xml:space="preserve">Rectoría de los gobiernos en la región. </w:t>
      </w:r>
    </w:p>
    <w:p w14:paraId="2CF9D89A" w14:textId="77777777" w:rsidR="00BC6282" w:rsidRPr="00ED565C" w:rsidRDefault="00BC6282" w:rsidP="00ED565C">
      <w:pPr>
        <w:pStyle w:val="Prrafodelista"/>
        <w:numPr>
          <w:ilvl w:val="0"/>
          <w:numId w:val="21"/>
        </w:numPr>
        <w:spacing w:after="0" w:line="240" w:lineRule="auto"/>
        <w:rPr>
          <w:rFonts w:cstheme="minorHAnsi"/>
          <w:sz w:val="24"/>
          <w:szCs w:val="24"/>
          <w:lang w:val="es-MX"/>
        </w:rPr>
      </w:pPr>
      <w:r w:rsidRPr="00ED565C">
        <w:rPr>
          <w:rFonts w:cstheme="minorHAnsi"/>
          <w:sz w:val="24"/>
          <w:szCs w:val="24"/>
          <w:lang w:val="es-MX"/>
        </w:rPr>
        <w:t>Derechos Humanos protección y promoción de los derechos humanos, de igualdad entre los sexos y de la equidad en el derecho a la salud.</w:t>
      </w:r>
    </w:p>
    <w:p w14:paraId="07F74545" w14:textId="77777777" w:rsidR="00BC6282" w:rsidRPr="00ED565C" w:rsidRDefault="00BC6282" w:rsidP="00ED565C">
      <w:pPr>
        <w:pStyle w:val="Prrafodelista"/>
        <w:numPr>
          <w:ilvl w:val="0"/>
          <w:numId w:val="21"/>
        </w:numPr>
        <w:spacing w:after="0" w:line="240" w:lineRule="auto"/>
        <w:rPr>
          <w:rFonts w:cstheme="minorHAnsi"/>
          <w:sz w:val="24"/>
          <w:szCs w:val="24"/>
          <w:lang w:val="es-MX"/>
        </w:rPr>
      </w:pPr>
      <w:r w:rsidRPr="00ED565C">
        <w:rPr>
          <w:rFonts w:cstheme="minorHAnsi"/>
          <w:sz w:val="24"/>
          <w:szCs w:val="24"/>
          <w:lang w:val="es-MX"/>
        </w:rPr>
        <w:t>Alianzas para obtener mayor impacto.</w:t>
      </w:r>
    </w:p>
    <w:p w14:paraId="342919D2" w14:textId="77777777" w:rsidR="00BC6282" w:rsidRPr="00ED565C" w:rsidRDefault="00BC6282" w:rsidP="00ED565C">
      <w:pPr>
        <w:pStyle w:val="Prrafodelista"/>
        <w:numPr>
          <w:ilvl w:val="0"/>
          <w:numId w:val="21"/>
        </w:numPr>
        <w:spacing w:after="0" w:line="240" w:lineRule="auto"/>
        <w:rPr>
          <w:rFonts w:cstheme="minorHAnsi"/>
          <w:sz w:val="24"/>
          <w:szCs w:val="24"/>
          <w:lang w:val="es-MX"/>
        </w:rPr>
      </w:pPr>
      <w:r w:rsidRPr="00ED565C">
        <w:rPr>
          <w:rFonts w:cstheme="minorHAnsi"/>
          <w:sz w:val="24"/>
          <w:szCs w:val="24"/>
          <w:lang w:val="es-MX"/>
        </w:rPr>
        <w:t>Participación activa de las personas con VIH, Poblaciones prioritarias y la comunidad.</w:t>
      </w:r>
    </w:p>
    <w:p w14:paraId="27D05825" w14:textId="77777777" w:rsidR="0030469E" w:rsidRPr="0094366F" w:rsidRDefault="0030469E" w:rsidP="00BC6282">
      <w:pPr>
        <w:spacing w:after="0" w:line="240" w:lineRule="auto"/>
        <w:rPr>
          <w:rFonts w:cstheme="minorHAnsi"/>
          <w:sz w:val="24"/>
          <w:szCs w:val="24"/>
          <w:lang w:val="es-MX"/>
        </w:rPr>
      </w:pPr>
    </w:p>
    <w:p w14:paraId="7ED24886" w14:textId="77777777" w:rsidR="0023513A" w:rsidRDefault="0023513A" w:rsidP="00BC6282">
      <w:pPr>
        <w:spacing w:after="0" w:line="240" w:lineRule="auto"/>
        <w:rPr>
          <w:rFonts w:ascii="Times New Roman" w:hAnsi="Times New Roman" w:cs="Times New Roman"/>
          <w:sz w:val="24"/>
          <w:szCs w:val="24"/>
          <w:lang w:val="es-MX"/>
        </w:rPr>
        <w:sectPr w:rsidR="0023513A" w:rsidSect="00FF5492">
          <w:headerReference w:type="default" r:id="rId15"/>
          <w:footerReference w:type="default" r:id="rId16"/>
          <w:pgSz w:w="12240" w:h="15840"/>
          <w:pgMar w:top="1417" w:right="1701" w:bottom="1417" w:left="1701" w:header="708" w:footer="708" w:gutter="0"/>
          <w:pgNumType w:start="0"/>
          <w:cols w:space="708"/>
          <w:titlePg/>
          <w:docGrid w:linePitch="360"/>
        </w:sectPr>
      </w:pPr>
    </w:p>
    <w:p w14:paraId="643528A6" w14:textId="77777777" w:rsidR="009F0413" w:rsidRPr="00553191" w:rsidRDefault="002E37AF" w:rsidP="008D5BA7">
      <w:pPr>
        <w:pStyle w:val="Ttulo2"/>
        <w:rPr>
          <w:lang w:val="es-MX"/>
        </w:rPr>
      </w:pPr>
      <w:bookmarkStart w:id="22" w:name="_Toc15275139"/>
      <w:r>
        <w:rPr>
          <w:lang w:val="es-MX"/>
        </w:rPr>
        <w:lastRenderedPageBreak/>
        <w:t>3.5</w:t>
      </w:r>
      <w:r w:rsidR="00553191" w:rsidRPr="00553191">
        <w:rPr>
          <w:lang w:val="es-MX"/>
        </w:rPr>
        <w:t xml:space="preserve"> </w:t>
      </w:r>
      <w:r w:rsidR="008D5BA7">
        <w:rPr>
          <w:lang w:val="es-MX"/>
        </w:rPr>
        <w:t xml:space="preserve">Plan de </w:t>
      </w:r>
      <w:r w:rsidR="008D5BA7" w:rsidRPr="008D5BA7">
        <w:t>acción</w:t>
      </w:r>
      <w:r w:rsidR="008D5BA7">
        <w:rPr>
          <w:lang w:val="es-MX"/>
        </w:rPr>
        <w:t xml:space="preserve"> </w:t>
      </w:r>
      <w:r w:rsidR="008D5BA7" w:rsidRPr="00553191">
        <w:rPr>
          <w:lang w:val="es-MX"/>
        </w:rPr>
        <w:t>para la sostenibilidad</w:t>
      </w:r>
      <w:bookmarkEnd w:id="22"/>
    </w:p>
    <w:p w14:paraId="66655EC4" w14:textId="77777777" w:rsidR="004F10BB" w:rsidRDefault="004F10BB" w:rsidP="004F10BB">
      <w:pPr>
        <w:pStyle w:val="Prrafodelista"/>
        <w:spacing w:after="0" w:line="240" w:lineRule="auto"/>
        <w:ind w:left="360"/>
        <w:rPr>
          <w:rFonts w:cstheme="minorHAnsi"/>
          <w:b/>
          <w:sz w:val="24"/>
          <w:szCs w:val="24"/>
          <w:lang w:val="es-MX"/>
        </w:rPr>
      </w:pPr>
    </w:p>
    <w:p w14:paraId="59F165B6" w14:textId="77777777" w:rsidR="008D5BA7" w:rsidRPr="008D5BA7" w:rsidRDefault="008D5BA7" w:rsidP="008D5BA7">
      <w:pPr>
        <w:jc w:val="both"/>
        <w:rPr>
          <w:lang w:val="es-MX"/>
        </w:rPr>
      </w:pPr>
      <w:r w:rsidRPr="008D5BA7">
        <w:rPr>
          <w:lang w:val="es-MX"/>
        </w:rPr>
        <w:t xml:space="preserve">El </w:t>
      </w:r>
      <w:r w:rsidR="000B1070" w:rsidRPr="008D5BA7">
        <w:rPr>
          <w:lang w:val="es-MX"/>
        </w:rPr>
        <w:t xml:space="preserve">Plan de Sostenibilidad 2019-2023 responde a </w:t>
      </w:r>
      <w:r w:rsidRPr="008D5BA7">
        <w:rPr>
          <w:lang w:val="es-MX"/>
        </w:rPr>
        <w:t>las brechas identificadas en el análisis de situación de país</w:t>
      </w:r>
      <w:r>
        <w:rPr>
          <w:lang w:val="es-MX"/>
        </w:rPr>
        <w:t>, a</w:t>
      </w:r>
      <w:r w:rsidRPr="008D5BA7">
        <w:rPr>
          <w:lang w:val="es-MX"/>
        </w:rPr>
        <w:t xml:space="preserve">unque se reconoce que </w:t>
      </w:r>
      <w:r w:rsidR="000B1070" w:rsidRPr="008D5BA7">
        <w:rPr>
          <w:lang w:val="es-MX"/>
        </w:rPr>
        <w:t xml:space="preserve">varios de los problemas </w:t>
      </w:r>
      <w:r w:rsidRPr="008D5BA7">
        <w:rPr>
          <w:lang w:val="es-MX"/>
        </w:rPr>
        <w:t xml:space="preserve">y soluciones </w:t>
      </w:r>
      <w:r w:rsidR="000B1070" w:rsidRPr="008D5BA7">
        <w:rPr>
          <w:lang w:val="es-MX"/>
        </w:rPr>
        <w:t>de sostenibilidad están relacionados</w:t>
      </w:r>
      <w:r>
        <w:rPr>
          <w:lang w:val="es-MX"/>
        </w:rPr>
        <w:t>.</w:t>
      </w:r>
    </w:p>
    <w:p w14:paraId="1CD7CF29" w14:textId="77777777" w:rsidR="000B1070" w:rsidRPr="008D5BA7" w:rsidRDefault="000B1070" w:rsidP="000B1070">
      <w:pPr>
        <w:rPr>
          <w:lang w:val="es-MX"/>
        </w:rPr>
      </w:pPr>
    </w:p>
    <w:p w14:paraId="1E331BC8" w14:textId="77777777" w:rsidR="004F3984" w:rsidRPr="002E37AF" w:rsidRDefault="002E37AF" w:rsidP="008D5BA7">
      <w:pPr>
        <w:pStyle w:val="Ttulo3"/>
      </w:pPr>
      <w:bookmarkStart w:id="23" w:name="_Toc15275140"/>
      <w:r w:rsidRPr="008D5BA7">
        <w:rPr>
          <w:lang w:val="es-MX"/>
        </w:rPr>
        <w:t>3.5.1 Á</w:t>
      </w:r>
      <w:r w:rsidRPr="008D5BA7">
        <w:t>mbito económico</w:t>
      </w:r>
      <w:r w:rsidR="00FF5492">
        <w:t>-</w:t>
      </w:r>
      <w:r w:rsidRPr="008D5BA7">
        <w:t>financiero</w:t>
      </w:r>
      <w:bookmarkEnd w:id="23"/>
    </w:p>
    <w:p w14:paraId="29BD90DD" w14:textId="77777777" w:rsidR="009B0941" w:rsidRDefault="009B0941" w:rsidP="009B0941">
      <w:pPr>
        <w:rPr>
          <w:lang w:val="es-MX"/>
        </w:rPr>
      </w:pPr>
    </w:p>
    <w:p w14:paraId="686B3384" w14:textId="77777777" w:rsidR="002324AF" w:rsidRPr="00553191" w:rsidRDefault="008D5BA7" w:rsidP="009B0941">
      <w:pPr>
        <w:rPr>
          <w:lang w:val="es-MX"/>
        </w:rPr>
      </w:pPr>
      <w:r>
        <w:rPr>
          <w:lang w:val="es-MX"/>
        </w:rPr>
        <w:t>3.5</w:t>
      </w:r>
      <w:r w:rsidR="002F40B9" w:rsidRPr="00553191">
        <w:rPr>
          <w:lang w:val="es-MX"/>
        </w:rPr>
        <w:t xml:space="preserve">.1.1 </w:t>
      </w:r>
      <w:r w:rsidR="00B51BB1" w:rsidRPr="00553191">
        <w:rPr>
          <w:lang w:val="es-MX"/>
        </w:rPr>
        <w:t>Financiamiento público</w:t>
      </w:r>
    </w:p>
    <w:p w14:paraId="73A448DC" w14:textId="77777777" w:rsidR="0077324A" w:rsidRDefault="0077324A" w:rsidP="00CD454D">
      <w:pPr>
        <w:spacing w:after="0" w:line="240" w:lineRule="auto"/>
        <w:rPr>
          <w:rFonts w:ascii="Times New Roman" w:hAnsi="Times New Roman" w:cs="Times New Roman"/>
          <w:sz w:val="24"/>
          <w:szCs w:val="24"/>
          <w:lang w:val="es-MX"/>
        </w:rPr>
      </w:pPr>
    </w:p>
    <w:tbl>
      <w:tblPr>
        <w:tblStyle w:val="Tablaconcuadrcula"/>
        <w:tblW w:w="5000" w:type="pct"/>
        <w:tblLook w:val="04A0" w:firstRow="1" w:lastRow="0" w:firstColumn="1" w:lastColumn="0" w:noHBand="0" w:noVBand="1"/>
      </w:tblPr>
      <w:tblGrid>
        <w:gridCol w:w="2710"/>
        <w:gridCol w:w="2043"/>
        <w:gridCol w:w="2024"/>
        <w:gridCol w:w="2139"/>
        <w:gridCol w:w="1892"/>
        <w:gridCol w:w="2186"/>
      </w:tblGrid>
      <w:tr w:rsidR="005F7825" w:rsidRPr="00EE1739" w14:paraId="26535E50" w14:textId="77777777" w:rsidTr="00C174CF">
        <w:trPr>
          <w:trHeight w:val="610"/>
        </w:trPr>
        <w:tc>
          <w:tcPr>
            <w:tcW w:w="1043" w:type="pct"/>
            <w:shd w:val="clear" w:color="auto" w:fill="D5DCE4" w:themeFill="text2" w:themeFillTint="33"/>
            <w:hideMark/>
          </w:tcPr>
          <w:p w14:paraId="008C0E12" w14:textId="77777777" w:rsidR="005F7825" w:rsidRPr="0077324A" w:rsidRDefault="005F7825" w:rsidP="0077324A">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 xml:space="preserve">Líneas de acción de la estrategia </w:t>
            </w:r>
          </w:p>
        </w:tc>
        <w:tc>
          <w:tcPr>
            <w:tcW w:w="786" w:type="pct"/>
            <w:shd w:val="clear" w:color="auto" w:fill="D5DCE4" w:themeFill="text2" w:themeFillTint="33"/>
            <w:hideMark/>
          </w:tcPr>
          <w:p w14:paraId="18047C9E" w14:textId="77777777" w:rsidR="005F7825" w:rsidRDefault="005F7825" w:rsidP="0077324A">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Situación actual</w:t>
            </w:r>
          </w:p>
          <w:p w14:paraId="7F2D7617" w14:textId="77777777" w:rsidR="005F7825" w:rsidRPr="0077324A" w:rsidRDefault="005F7825" w:rsidP="0030469E">
            <w:pPr>
              <w:rPr>
                <w:rFonts w:ascii="Calibri" w:eastAsia="Times New Roman" w:hAnsi="Calibri" w:cs="Times New Roman"/>
                <w:b/>
                <w:bCs/>
                <w:color w:val="000000"/>
                <w:sz w:val="18"/>
                <w:szCs w:val="18"/>
                <w:lang w:val="es-SV" w:eastAsia="es-SV"/>
              </w:rPr>
            </w:pPr>
          </w:p>
        </w:tc>
        <w:tc>
          <w:tcPr>
            <w:tcW w:w="779" w:type="pct"/>
            <w:shd w:val="clear" w:color="auto" w:fill="D5DCE4" w:themeFill="text2" w:themeFillTint="33"/>
            <w:hideMark/>
          </w:tcPr>
          <w:p w14:paraId="0E183AA5" w14:textId="77777777" w:rsidR="005F7825" w:rsidRPr="0077324A" w:rsidRDefault="005F7825" w:rsidP="0077324A">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 xml:space="preserve">Oportunidades </w:t>
            </w:r>
          </w:p>
          <w:p w14:paraId="528E858F" w14:textId="77777777" w:rsidR="005F7825" w:rsidRPr="0077324A" w:rsidRDefault="005F7825" w:rsidP="0077324A">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color w:val="000000"/>
                <w:sz w:val="18"/>
                <w:szCs w:val="18"/>
                <w:lang w:val="es-SV" w:eastAsia="es-SV"/>
              </w:rPr>
              <w:t> </w:t>
            </w:r>
          </w:p>
        </w:tc>
        <w:tc>
          <w:tcPr>
            <w:tcW w:w="823" w:type="pct"/>
            <w:shd w:val="clear" w:color="auto" w:fill="D5DCE4" w:themeFill="text2" w:themeFillTint="33"/>
            <w:hideMark/>
          </w:tcPr>
          <w:p w14:paraId="40A6B2F0" w14:textId="77777777" w:rsidR="005F7825" w:rsidRPr="0077324A" w:rsidRDefault="005F7825" w:rsidP="00EE1739">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Desafíos</w:t>
            </w:r>
          </w:p>
        </w:tc>
        <w:tc>
          <w:tcPr>
            <w:tcW w:w="728" w:type="pct"/>
            <w:shd w:val="clear" w:color="auto" w:fill="D5DCE4" w:themeFill="text2" w:themeFillTint="33"/>
            <w:hideMark/>
          </w:tcPr>
          <w:p w14:paraId="562B81EB" w14:textId="77777777" w:rsidR="005F7825" w:rsidRPr="0077324A" w:rsidRDefault="005F7825" w:rsidP="0077324A">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 xml:space="preserve"> Meta (en base a brechas y prioridades) </w:t>
            </w:r>
          </w:p>
        </w:tc>
        <w:tc>
          <w:tcPr>
            <w:tcW w:w="841" w:type="pct"/>
            <w:shd w:val="clear" w:color="auto" w:fill="D5DCE4" w:themeFill="text2" w:themeFillTint="33"/>
            <w:hideMark/>
          </w:tcPr>
          <w:p w14:paraId="5E240151" w14:textId="77777777" w:rsidR="005F7825" w:rsidRPr="0077324A" w:rsidRDefault="005F7825" w:rsidP="0077324A">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Responsables de actividades</w:t>
            </w:r>
          </w:p>
        </w:tc>
      </w:tr>
      <w:tr w:rsidR="005051AE" w:rsidRPr="00EE1739" w14:paraId="013674BA" w14:textId="77777777" w:rsidTr="005F7825">
        <w:trPr>
          <w:trHeight w:val="1934"/>
        </w:trPr>
        <w:tc>
          <w:tcPr>
            <w:tcW w:w="1043" w:type="pct"/>
            <w:hideMark/>
          </w:tcPr>
          <w:p w14:paraId="6755ED64" w14:textId="77777777" w:rsidR="00EE1739" w:rsidRPr="0077324A" w:rsidRDefault="00EE1739" w:rsidP="0077324A">
            <w:pP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1.</w:t>
            </w:r>
            <w:r w:rsidR="00E5690F">
              <w:rPr>
                <w:rFonts w:ascii="Calibri" w:eastAsia="Times New Roman" w:hAnsi="Calibri" w:cs="Times New Roman"/>
                <w:b/>
                <w:bCs/>
                <w:color w:val="000000"/>
                <w:sz w:val="18"/>
                <w:szCs w:val="18"/>
                <w:lang w:val="es-SV" w:eastAsia="es-SV"/>
              </w:rPr>
              <w:t xml:space="preserve"> </w:t>
            </w:r>
            <w:r w:rsidRPr="0077324A">
              <w:rPr>
                <w:rFonts w:ascii="Calibri" w:eastAsia="Times New Roman" w:hAnsi="Calibri" w:cs="Times New Roman"/>
                <w:b/>
                <w:bCs/>
                <w:color w:val="000000"/>
                <w:sz w:val="18"/>
                <w:szCs w:val="18"/>
                <w:lang w:val="es-SV" w:eastAsia="es-SV"/>
              </w:rPr>
              <w:t xml:space="preserve">Movilización de recursos mediante el incremento del presupuesto de fondos públicos para VIH que permita aumentar  la proporción de gastos cubiertos con fondos nacionales, cubrir necesidades actuales y el aumento de cobertura requeridos </w:t>
            </w:r>
          </w:p>
        </w:tc>
        <w:tc>
          <w:tcPr>
            <w:tcW w:w="786" w:type="pct"/>
            <w:hideMark/>
          </w:tcPr>
          <w:p w14:paraId="6680F65C" w14:textId="2A5F4035" w:rsidR="00EE1739" w:rsidRPr="0077324A" w:rsidRDefault="00EF1D4D" w:rsidP="0077324A">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L</w:t>
            </w:r>
            <w:r w:rsidR="00EE1739" w:rsidRPr="0077324A">
              <w:rPr>
                <w:rFonts w:ascii="Calibri" w:eastAsia="Times New Roman" w:hAnsi="Calibri" w:cs="Times New Roman"/>
                <w:color w:val="000000"/>
                <w:sz w:val="18"/>
                <w:szCs w:val="18"/>
                <w:lang w:val="es-SV" w:eastAsia="es-SV"/>
              </w:rPr>
              <w:t>a inversión actual es de $ 57 millones</w:t>
            </w:r>
            <w:r w:rsidR="00EE1739">
              <w:rPr>
                <w:rFonts w:ascii="Calibri" w:eastAsia="Times New Roman" w:hAnsi="Calibri" w:cs="Times New Roman"/>
                <w:color w:val="000000"/>
                <w:sz w:val="18"/>
                <w:szCs w:val="18"/>
                <w:lang w:val="es-SV" w:eastAsia="es-SV"/>
              </w:rPr>
              <w:t xml:space="preserve"> </w:t>
            </w:r>
            <w:r w:rsidR="00EE1739" w:rsidRPr="0077324A">
              <w:rPr>
                <w:rFonts w:ascii="Calibri" w:eastAsia="Times New Roman" w:hAnsi="Calibri" w:cs="Times New Roman"/>
                <w:color w:val="000000"/>
                <w:sz w:val="18"/>
                <w:szCs w:val="18"/>
                <w:lang w:val="es-SV" w:eastAsia="es-SV"/>
              </w:rPr>
              <w:t xml:space="preserve">(MEGAS)y la inversión requerida para el 2019 es de $ </w:t>
            </w:r>
            <w:r w:rsidR="0090521B">
              <w:rPr>
                <w:rFonts w:ascii="Calibri" w:eastAsia="Times New Roman" w:hAnsi="Calibri" w:cs="Times New Roman"/>
                <w:color w:val="000000"/>
                <w:sz w:val="18"/>
                <w:szCs w:val="18"/>
                <w:lang w:val="es-SV" w:eastAsia="es-SV"/>
              </w:rPr>
              <w:t>72 millones, la subvención del Fondo M</w:t>
            </w:r>
            <w:r w:rsidR="00EE1739" w:rsidRPr="0077324A">
              <w:rPr>
                <w:rFonts w:ascii="Calibri" w:eastAsia="Times New Roman" w:hAnsi="Calibri" w:cs="Times New Roman"/>
                <w:color w:val="000000"/>
                <w:sz w:val="18"/>
                <w:szCs w:val="18"/>
                <w:lang w:val="es-SV" w:eastAsia="es-SV"/>
              </w:rPr>
              <w:t>u</w:t>
            </w:r>
            <w:r w:rsidR="0023513A">
              <w:rPr>
                <w:rFonts w:ascii="Calibri" w:eastAsia="Times New Roman" w:hAnsi="Calibri" w:cs="Times New Roman"/>
                <w:color w:val="000000"/>
                <w:sz w:val="18"/>
                <w:szCs w:val="18"/>
                <w:lang w:val="es-SV" w:eastAsia="es-SV"/>
              </w:rPr>
              <w:t>ndial finaliza el 2021 y el GOES</w:t>
            </w:r>
            <w:r w:rsidR="00EE1739" w:rsidRPr="0077324A">
              <w:rPr>
                <w:rFonts w:ascii="Calibri" w:eastAsia="Times New Roman" w:hAnsi="Calibri" w:cs="Times New Roman"/>
                <w:color w:val="000000"/>
                <w:sz w:val="18"/>
                <w:szCs w:val="18"/>
                <w:lang w:val="es-SV" w:eastAsia="es-SV"/>
              </w:rPr>
              <w:t xml:space="preserve"> tendría que asumir 9 millones de dólares</w:t>
            </w:r>
          </w:p>
        </w:tc>
        <w:tc>
          <w:tcPr>
            <w:tcW w:w="779" w:type="pct"/>
            <w:hideMark/>
          </w:tcPr>
          <w:p w14:paraId="7C7809E0" w14:textId="75302B51" w:rsidR="00EE1739" w:rsidRPr="0077324A" w:rsidRDefault="00EF1D4D" w:rsidP="00EF1D4D">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MINSAL asigna recursos al Programa de VIH anualmente.  A</w:t>
            </w:r>
            <w:r w:rsidR="00EE1739" w:rsidRPr="0077324A">
              <w:rPr>
                <w:rFonts w:ascii="Calibri" w:eastAsia="Times New Roman" w:hAnsi="Calibri" w:cs="Times New Roman"/>
                <w:color w:val="000000"/>
                <w:sz w:val="18"/>
                <w:szCs w:val="18"/>
                <w:lang w:val="es-SV" w:eastAsia="es-SV"/>
              </w:rPr>
              <w:t xml:space="preserve">plicar subsidios cruzados ISSS, Nueva ley de VIH que asigna </w:t>
            </w:r>
            <w:r w:rsidR="004D5650">
              <w:rPr>
                <w:rFonts w:ascii="Calibri" w:eastAsia="Times New Roman" w:hAnsi="Calibri" w:cs="Times New Roman"/>
                <w:color w:val="000000"/>
                <w:sz w:val="18"/>
                <w:szCs w:val="18"/>
                <w:lang w:val="es-SV" w:eastAsia="es-SV"/>
              </w:rPr>
              <w:t>22 atribuciones a MINSAL.</w:t>
            </w:r>
          </w:p>
        </w:tc>
        <w:tc>
          <w:tcPr>
            <w:tcW w:w="823" w:type="pct"/>
            <w:hideMark/>
          </w:tcPr>
          <w:p w14:paraId="241FCA24" w14:textId="77777777" w:rsidR="00EE1739" w:rsidRPr="0077324A" w:rsidRDefault="00EE1739" w:rsidP="00EE1739">
            <w:pPr>
              <w:jc w:val="center"/>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Priorización del VIH desde la Secretaria Técnica de la Presidencia(PQD) en la agenda nacional y regional(SICA)</w:t>
            </w:r>
          </w:p>
        </w:tc>
        <w:tc>
          <w:tcPr>
            <w:tcW w:w="728" w:type="pct"/>
            <w:hideMark/>
          </w:tcPr>
          <w:p w14:paraId="729A92FA" w14:textId="77777777" w:rsidR="00EE1739" w:rsidRPr="0077324A" w:rsidRDefault="0090521B" w:rsidP="0077324A">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 xml:space="preserve">Incremento de un 1% </w:t>
            </w:r>
            <w:r w:rsidR="00EE1739" w:rsidRPr="0077324A">
              <w:rPr>
                <w:rFonts w:ascii="Calibri" w:eastAsia="Times New Roman" w:hAnsi="Calibri" w:cs="Times New Roman"/>
                <w:color w:val="000000"/>
                <w:sz w:val="18"/>
                <w:szCs w:val="18"/>
                <w:lang w:val="es-SV" w:eastAsia="es-SV"/>
              </w:rPr>
              <w:t>anual en el presupuesto para la respuesta al VIH</w:t>
            </w:r>
            <w:r>
              <w:rPr>
                <w:rFonts w:ascii="Calibri" w:eastAsia="Times New Roman" w:hAnsi="Calibri" w:cs="Times New Roman"/>
                <w:color w:val="000000"/>
                <w:sz w:val="18"/>
                <w:szCs w:val="18"/>
                <w:lang w:val="es-SV" w:eastAsia="es-SV"/>
              </w:rPr>
              <w:t>.</w:t>
            </w:r>
            <w:r>
              <w:rPr>
                <w:rStyle w:val="Refdenotaalpie"/>
                <w:rFonts w:ascii="Calibri" w:eastAsia="Times New Roman" w:hAnsi="Calibri" w:cs="Times New Roman"/>
                <w:color w:val="000000"/>
                <w:sz w:val="18"/>
                <w:szCs w:val="18"/>
                <w:lang w:val="es-SV" w:eastAsia="es-SV"/>
              </w:rPr>
              <w:footnoteReference w:id="1"/>
            </w:r>
          </w:p>
        </w:tc>
        <w:tc>
          <w:tcPr>
            <w:tcW w:w="841" w:type="pct"/>
            <w:hideMark/>
          </w:tcPr>
          <w:p w14:paraId="2F058119" w14:textId="77777777" w:rsidR="00EE1739" w:rsidRPr="0077324A" w:rsidRDefault="00EE1739" w:rsidP="004D5650">
            <w:pPr>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 xml:space="preserve">MINSAL, </w:t>
            </w:r>
            <w:r w:rsidR="006A709B">
              <w:rPr>
                <w:rFonts w:ascii="Calibri" w:eastAsia="Times New Roman" w:hAnsi="Calibri" w:cs="Times New Roman"/>
                <w:color w:val="000000"/>
                <w:sz w:val="18"/>
                <w:szCs w:val="18"/>
                <w:lang w:val="es-SV" w:eastAsia="es-SV"/>
              </w:rPr>
              <w:t>ISSS, Ministerio de Hacienda, Dirección General de Presupues</w:t>
            </w:r>
            <w:r w:rsidR="004D5650">
              <w:rPr>
                <w:rFonts w:ascii="Calibri" w:eastAsia="Times New Roman" w:hAnsi="Calibri" w:cs="Times New Roman"/>
                <w:color w:val="000000"/>
                <w:sz w:val="18"/>
                <w:szCs w:val="18"/>
                <w:lang w:val="es-SV" w:eastAsia="es-SV"/>
              </w:rPr>
              <w:t>to, Asamblea Legislativa, Organización de Personas con VIH.</w:t>
            </w:r>
          </w:p>
        </w:tc>
      </w:tr>
    </w:tbl>
    <w:p w14:paraId="2128B27A" w14:textId="77777777" w:rsidR="009B0941" w:rsidRDefault="009B0941"/>
    <w:tbl>
      <w:tblPr>
        <w:tblStyle w:val="Tablaconcuadrcula"/>
        <w:tblW w:w="4993" w:type="pct"/>
        <w:tblLook w:val="04A0" w:firstRow="1" w:lastRow="0" w:firstColumn="1" w:lastColumn="0" w:noHBand="0" w:noVBand="1"/>
      </w:tblPr>
      <w:tblGrid>
        <w:gridCol w:w="9972"/>
        <w:gridCol w:w="620"/>
        <w:gridCol w:w="641"/>
        <w:gridCol w:w="581"/>
        <w:gridCol w:w="581"/>
        <w:gridCol w:w="581"/>
      </w:tblGrid>
      <w:tr w:rsidR="007D201C" w:rsidRPr="00EE1739" w14:paraId="46500C58" w14:textId="77777777" w:rsidTr="007D201C">
        <w:trPr>
          <w:trHeight w:val="276"/>
        </w:trPr>
        <w:tc>
          <w:tcPr>
            <w:tcW w:w="3843" w:type="pct"/>
          </w:tcPr>
          <w:p w14:paraId="3153C0EC" w14:textId="77777777" w:rsidR="007D201C" w:rsidRPr="00EE1739" w:rsidRDefault="007D201C" w:rsidP="003710E1">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 xml:space="preserve">Acciones / </w:t>
            </w:r>
            <w:r w:rsidRPr="00EE1739">
              <w:rPr>
                <w:rFonts w:ascii="Calibri" w:eastAsia="Times New Roman" w:hAnsi="Calibri" w:cs="Times New Roman"/>
                <w:b/>
                <w:color w:val="000000"/>
                <w:sz w:val="18"/>
                <w:szCs w:val="18"/>
                <w:lang w:val="es-SV" w:eastAsia="es-SV"/>
              </w:rPr>
              <w:t>Periodo de ejecución</w:t>
            </w:r>
          </w:p>
        </w:tc>
        <w:tc>
          <w:tcPr>
            <w:tcW w:w="239" w:type="pct"/>
          </w:tcPr>
          <w:p w14:paraId="751CF177" w14:textId="77777777" w:rsidR="007D201C" w:rsidRPr="00EE1739" w:rsidRDefault="007D201C" w:rsidP="003710E1">
            <w:pPr>
              <w:rPr>
                <w:rFonts w:ascii="Calibri" w:eastAsia="Times New Roman" w:hAnsi="Calibri" w:cs="Times New Roman"/>
                <w:b/>
                <w:color w:val="000000"/>
                <w:sz w:val="18"/>
                <w:szCs w:val="18"/>
                <w:lang w:val="es-SV" w:eastAsia="es-SV"/>
              </w:rPr>
            </w:pPr>
            <w:r w:rsidRPr="00EE1739">
              <w:rPr>
                <w:rFonts w:ascii="Calibri" w:eastAsia="Times New Roman" w:hAnsi="Calibri" w:cs="Times New Roman"/>
                <w:b/>
                <w:color w:val="000000"/>
                <w:sz w:val="18"/>
                <w:szCs w:val="18"/>
                <w:lang w:val="es-SV" w:eastAsia="es-SV"/>
              </w:rPr>
              <w:t>2019</w:t>
            </w:r>
          </w:p>
          <w:p w14:paraId="72684E9D" w14:textId="77777777" w:rsidR="007D201C" w:rsidRPr="00EE1739" w:rsidRDefault="007D201C" w:rsidP="003710E1">
            <w:pPr>
              <w:rPr>
                <w:rFonts w:ascii="Calibri" w:eastAsia="Times New Roman" w:hAnsi="Calibri" w:cs="Times New Roman"/>
                <w:b/>
                <w:color w:val="000000"/>
                <w:sz w:val="18"/>
                <w:szCs w:val="18"/>
                <w:lang w:val="es-SV" w:eastAsia="es-SV"/>
              </w:rPr>
            </w:pPr>
            <w:r w:rsidRPr="0077324A">
              <w:rPr>
                <w:rFonts w:ascii="Calibri" w:eastAsia="Times New Roman" w:hAnsi="Calibri" w:cs="Times New Roman"/>
                <w:b/>
                <w:color w:val="000000"/>
                <w:sz w:val="18"/>
                <w:szCs w:val="18"/>
                <w:lang w:val="es-SV" w:eastAsia="es-SV"/>
              </w:rPr>
              <w:t> </w:t>
            </w:r>
          </w:p>
        </w:tc>
        <w:tc>
          <w:tcPr>
            <w:tcW w:w="247" w:type="pct"/>
          </w:tcPr>
          <w:p w14:paraId="269CC051" w14:textId="77777777" w:rsidR="007D201C" w:rsidRPr="00EE1739" w:rsidRDefault="007D201C" w:rsidP="003710E1">
            <w:pPr>
              <w:rPr>
                <w:rFonts w:ascii="Calibri" w:eastAsia="Times New Roman" w:hAnsi="Calibri" w:cs="Times New Roman"/>
                <w:b/>
                <w:color w:val="000000"/>
                <w:sz w:val="18"/>
                <w:szCs w:val="18"/>
                <w:lang w:val="es-SV" w:eastAsia="es-SV"/>
              </w:rPr>
            </w:pPr>
            <w:r w:rsidRPr="00EE1739">
              <w:rPr>
                <w:rFonts w:ascii="Calibri" w:eastAsia="Times New Roman" w:hAnsi="Calibri" w:cs="Times New Roman"/>
                <w:b/>
                <w:color w:val="000000"/>
                <w:sz w:val="18"/>
                <w:szCs w:val="18"/>
                <w:lang w:val="es-SV" w:eastAsia="es-SV"/>
              </w:rPr>
              <w:t>2020</w:t>
            </w:r>
          </w:p>
        </w:tc>
        <w:tc>
          <w:tcPr>
            <w:tcW w:w="224" w:type="pct"/>
          </w:tcPr>
          <w:p w14:paraId="668AB0D3" w14:textId="77777777" w:rsidR="007D201C" w:rsidRPr="00EE1739" w:rsidRDefault="007D201C" w:rsidP="003710E1">
            <w:pPr>
              <w:rPr>
                <w:rFonts w:ascii="Calibri" w:eastAsia="Times New Roman" w:hAnsi="Calibri" w:cs="Times New Roman"/>
                <w:b/>
                <w:color w:val="000000"/>
                <w:sz w:val="18"/>
                <w:szCs w:val="18"/>
                <w:lang w:val="es-SV" w:eastAsia="es-SV"/>
              </w:rPr>
            </w:pPr>
            <w:r w:rsidRPr="00EE1739">
              <w:rPr>
                <w:rFonts w:ascii="Calibri" w:eastAsia="Times New Roman" w:hAnsi="Calibri" w:cs="Times New Roman"/>
                <w:b/>
                <w:color w:val="000000"/>
                <w:sz w:val="18"/>
                <w:szCs w:val="18"/>
                <w:lang w:val="es-SV" w:eastAsia="es-SV"/>
              </w:rPr>
              <w:t>2021</w:t>
            </w:r>
          </w:p>
        </w:tc>
        <w:tc>
          <w:tcPr>
            <w:tcW w:w="224" w:type="pct"/>
          </w:tcPr>
          <w:p w14:paraId="71AE80D7" w14:textId="77777777" w:rsidR="007D201C" w:rsidRPr="00EE1739" w:rsidRDefault="007D201C" w:rsidP="003710E1">
            <w:pPr>
              <w:rPr>
                <w:rFonts w:ascii="Calibri" w:eastAsia="Times New Roman" w:hAnsi="Calibri" w:cs="Times New Roman"/>
                <w:b/>
                <w:color w:val="000000"/>
                <w:sz w:val="18"/>
                <w:szCs w:val="18"/>
                <w:lang w:val="es-SV" w:eastAsia="es-SV"/>
              </w:rPr>
            </w:pPr>
            <w:r w:rsidRPr="00EE1739">
              <w:rPr>
                <w:rFonts w:ascii="Calibri" w:eastAsia="Times New Roman" w:hAnsi="Calibri" w:cs="Times New Roman"/>
                <w:b/>
                <w:color w:val="000000"/>
                <w:sz w:val="18"/>
                <w:szCs w:val="18"/>
                <w:lang w:val="es-SV" w:eastAsia="es-SV"/>
              </w:rPr>
              <w:t>2022</w:t>
            </w:r>
          </w:p>
        </w:tc>
        <w:tc>
          <w:tcPr>
            <w:tcW w:w="224" w:type="pct"/>
          </w:tcPr>
          <w:p w14:paraId="4E91B16A" w14:textId="77777777" w:rsidR="007D201C" w:rsidRPr="00EE1739" w:rsidRDefault="007D201C" w:rsidP="003710E1">
            <w:pPr>
              <w:rPr>
                <w:rFonts w:ascii="Calibri" w:eastAsia="Times New Roman" w:hAnsi="Calibri" w:cs="Times New Roman"/>
                <w:b/>
                <w:color w:val="000000"/>
                <w:sz w:val="18"/>
                <w:szCs w:val="18"/>
                <w:lang w:val="es-SV" w:eastAsia="es-SV"/>
              </w:rPr>
            </w:pPr>
            <w:r w:rsidRPr="00EE1739">
              <w:rPr>
                <w:rFonts w:ascii="Calibri" w:eastAsia="Times New Roman" w:hAnsi="Calibri" w:cs="Times New Roman"/>
                <w:b/>
                <w:color w:val="000000"/>
                <w:sz w:val="18"/>
                <w:szCs w:val="18"/>
                <w:lang w:val="es-SV" w:eastAsia="es-SV"/>
              </w:rPr>
              <w:t>2023</w:t>
            </w:r>
          </w:p>
        </w:tc>
      </w:tr>
      <w:tr w:rsidR="007D201C" w:rsidRPr="00EE1739" w14:paraId="604858F6" w14:textId="77777777" w:rsidTr="007D201C">
        <w:trPr>
          <w:trHeight w:val="426"/>
        </w:trPr>
        <w:tc>
          <w:tcPr>
            <w:tcW w:w="3843" w:type="pct"/>
            <w:hideMark/>
          </w:tcPr>
          <w:p w14:paraId="07F667D6" w14:textId="77777777" w:rsidR="007D201C" w:rsidRPr="0077324A" w:rsidRDefault="007D201C" w:rsidP="003710E1">
            <w:pPr>
              <w:rPr>
                <w:rFonts w:ascii="Calibri" w:eastAsia="Times New Roman" w:hAnsi="Calibri" w:cs="Times New Roman"/>
                <w:color w:val="000000"/>
                <w:sz w:val="18"/>
                <w:szCs w:val="18"/>
                <w:lang w:val="es-SV" w:eastAsia="es-SV"/>
              </w:rPr>
            </w:pPr>
            <w:r w:rsidRPr="00BC4BA2">
              <w:rPr>
                <w:rFonts w:ascii="Calibri" w:eastAsia="Times New Roman" w:hAnsi="Calibri" w:cs="Times New Roman"/>
                <w:color w:val="000000"/>
                <w:sz w:val="18"/>
                <w:szCs w:val="18"/>
                <w:lang w:val="es-SV" w:eastAsia="es-SV"/>
              </w:rPr>
              <w:t>Análisis de las necesidades proyectadas para cubrir las brechas financieras de la respuesta nacional al VIH</w:t>
            </w:r>
          </w:p>
        </w:tc>
        <w:tc>
          <w:tcPr>
            <w:tcW w:w="239" w:type="pct"/>
            <w:hideMark/>
          </w:tcPr>
          <w:p w14:paraId="12FA2462" w14:textId="77777777" w:rsidR="007D201C" w:rsidRPr="0077324A" w:rsidRDefault="007D201C" w:rsidP="003710E1">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47" w:type="pct"/>
          </w:tcPr>
          <w:p w14:paraId="21527A74" w14:textId="77777777" w:rsidR="007D201C" w:rsidRDefault="007D201C" w:rsidP="003710E1">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p w14:paraId="7430661D" w14:textId="77777777" w:rsidR="007D201C" w:rsidRPr="0077324A" w:rsidRDefault="007D201C" w:rsidP="003710E1">
            <w:pPr>
              <w:jc w:val="center"/>
              <w:rPr>
                <w:rFonts w:ascii="Calibri" w:eastAsia="Times New Roman" w:hAnsi="Calibri" w:cs="Times New Roman"/>
                <w:color w:val="000000"/>
                <w:sz w:val="18"/>
                <w:szCs w:val="18"/>
                <w:lang w:val="es-SV" w:eastAsia="es-SV"/>
              </w:rPr>
            </w:pPr>
          </w:p>
        </w:tc>
        <w:tc>
          <w:tcPr>
            <w:tcW w:w="224" w:type="pct"/>
          </w:tcPr>
          <w:p w14:paraId="7FCA6CA7" w14:textId="77777777" w:rsidR="007D201C" w:rsidRPr="0077324A" w:rsidRDefault="007D201C" w:rsidP="003710E1">
            <w:pPr>
              <w:jc w:val="center"/>
              <w:rPr>
                <w:rFonts w:ascii="Calibri" w:eastAsia="Times New Roman" w:hAnsi="Calibri" w:cs="Times New Roman"/>
                <w:color w:val="000000"/>
                <w:sz w:val="18"/>
                <w:szCs w:val="18"/>
                <w:lang w:val="es-SV" w:eastAsia="es-SV"/>
              </w:rPr>
            </w:pPr>
          </w:p>
        </w:tc>
        <w:tc>
          <w:tcPr>
            <w:tcW w:w="224" w:type="pct"/>
          </w:tcPr>
          <w:p w14:paraId="13B74845" w14:textId="77777777" w:rsidR="007D201C" w:rsidRPr="0077324A" w:rsidRDefault="007D201C" w:rsidP="003710E1">
            <w:pPr>
              <w:jc w:val="center"/>
              <w:rPr>
                <w:rFonts w:ascii="Calibri" w:eastAsia="Times New Roman" w:hAnsi="Calibri" w:cs="Times New Roman"/>
                <w:color w:val="000000"/>
                <w:sz w:val="18"/>
                <w:szCs w:val="18"/>
                <w:lang w:val="es-SV" w:eastAsia="es-SV"/>
              </w:rPr>
            </w:pPr>
          </w:p>
        </w:tc>
        <w:tc>
          <w:tcPr>
            <w:tcW w:w="224" w:type="pct"/>
          </w:tcPr>
          <w:p w14:paraId="795C2D72" w14:textId="77777777" w:rsidR="007D201C" w:rsidRPr="0077324A" w:rsidRDefault="007D201C" w:rsidP="003710E1">
            <w:pPr>
              <w:jc w:val="center"/>
              <w:rPr>
                <w:rFonts w:ascii="Calibri" w:eastAsia="Times New Roman" w:hAnsi="Calibri" w:cs="Times New Roman"/>
                <w:color w:val="000000"/>
                <w:sz w:val="18"/>
                <w:szCs w:val="18"/>
                <w:lang w:val="es-SV" w:eastAsia="es-SV"/>
              </w:rPr>
            </w:pPr>
          </w:p>
        </w:tc>
      </w:tr>
      <w:tr w:rsidR="007D201C" w:rsidRPr="00EE1739" w14:paraId="707B4BE5" w14:textId="77777777" w:rsidTr="007D201C">
        <w:trPr>
          <w:trHeight w:val="546"/>
        </w:trPr>
        <w:tc>
          <w:tcPr>
            <w:tcW w:w="3843" w:type="pct"/>
            <w:hideMark/>
          </w:tcPr>
          <w:p w14:paraId="5289BA98" w14:textId="77777777" w:rsidR="007D201C" w:rsidRPr="0077324A" w:rsidRDefault="007D201C" w:rsidP="003710E1">
            <w:pPr>
              <w:rPr>
                <w:rFonts w:ascii="Calibri" w:eastAsia="Times New Roman" w:hAnsi="Calibri" w:cs="Times New Roman"/>
                <w:color w:val="000000"/>
                <w:sz w:val="18"/>
                <w:szCs w:val="18"/>
                <w:lang w:val="es-SV" w:eastAsia="es-SV"/>
              </w:rPr>
            </w:pPr>
            <w:r w:rsidRPr="00BC4BA2">
              <w:rPr>
                <w:rFonts w:ascii="Calibri" w:eastAsia="Times New Roman" w:hAnsi="Calibri" w:cs="Times New Roman"/>
                <w:color w:val="000000"/>
                <w:sz w:val="18"/>
                <w:szCs w:val="18"/>
                <w:lang w:val="es-SV" w:eastAsia="es-SV"/>
              </w:rPr>
              <w:t>Analizar los procesos de compra en insumos y reactivos entre nivel central y nivel Hospitalario y establecer pará</w:t>
            </w:r>
            <w:r>
              <w:rPr>
                <w:rFonts w:ascii="Calibri" w:eastAsia="Times New Roman" w:hAnsi="Calibri" w:cs="Times New Roman"/>
                <w:color w:val="000000"/>
                <w:sz w:val="18"/>
                <w:szCs w:val="18"/>
                <w:lang w:val="es-SV" w:eastAsia="es-SV"/>
              </w:rPr>
              <w:t>metro</w:t>
            </w:r>
            <w:r w:rsidRPr="00BC4BA2">
              <w:rPr>
                <w:rFonts w:ascii="Calibri" w:eastAsia="Times New Roman" w:hAnsi="Calibri" w:cs="Times New Roman"/>
                <w:color w:val="000000"/>
                <w:sz w:val="18"/>
                <w:szCs w:val="18"/>
                <w:lang w:val="es-SV" w:eastAsia="es-SV"/>
              </w:rPr>
              <w:t>s para hacer compras eficientes para el MINSAL</w:t>
            </w:r>
          </w:p>
        </w:tc>
        <w:tc>
          <w:tcPr>
            <w:tcW w:w="239" w:type="pct"/>
            <w:hideMark/>
          </w:tcPr>
          <w:p w14:paraId="08C84246" w14:textId="77777777" w:rsidR="007D201C" w:rsidRPr="0077324A" w:rsidRDefault="007D201C" w:rsidP="003710E1">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47" w:type="pct"/>
          </w:tcPr>
          <w:p w14:paraId="05A31DDF" w14:textId="77777777" w:rsidR="007D201C" w:rsidRPr="0077324A" w:rsidRDefault="007D201C" w:rsidP="003710E1">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5DBDAE74" w14:textId="77777777" w:rsidR="007D201C" w:rsidRPr="0077324A" w:rsidRDefault="007D201C" w:rsidP="003710E1">
            <w:pPr>
              <w:rPr>
                <w:rFonts w:ascii="Calibri" w:eastAsia="Times New Roman" w:hAnsi="Calibri" w:cs="Times New Roman"/>
                <w:color w:val="000000"/>
                <w:sz w:val="18"/>
                <w:szCs w:val="18"/>
                <w:lang w:val="es-SV" w:eastAsia="es-SV"/>
              </w:rPr>
            </w:pPr>
          </w:p>
        </w:tc>
        <w:tc>
          <w:tcPr>
            <w:tcW w:w="224" w:type="pct"/>
          </w:tcPr>
          <w:p w14:paraId="50DA8C0E" w14:textId="77777777" w:rsidR="007D201C" w:rsidRPr="0077324A" w:rsidRDefault="007D201C" w:rsidP="003710E1">
            <w:pPr>
              <w:rPr>
                <w:rFonts w:ascii="Calibri" w:eastAsia="Times New Roman" w:hAnsi="Calibri" w:cs="Times New Roman"/>
                <w:color w:val="000000"/>
                <w:sz w:val="18"/>
                <w:szCs w:val="18"/>
                <w:lang w:val="es-SV" w:eastAsia="es-SV"/>
              </w:rPr>
            </w:pPr>
          </w:p>
        </w:tc>
        <w:tc>
          <w:tcPr>
            <w:tcW w:w="224" w:type="pct"/>
          </w:tcPr>
          <w:p w14:paraId="6B3BCED9" w14:textId="77777777" w:rsidR="007D201C" w:rsidRPr="0077324A" w:rsidRDefault="007D201C" w:rsidP="003710E1">
            <w:pPr>
              <w:rPr>
                <w:rFonts w:ascii="Calibri" w:eastAsia="Times New Roman" w:hAnsi="Calibri" w:cs="Times New Roman"/>
                <w:color w:val="000000"/>
                <w:sz w:val="18"/>
                <w:szCs w:val="18"/>
                <w:lang w:val="es-SV" w:eastAsia="es-SV"/>
              </w:rPr>
            </w:pPr>
          </w:p>
        </w:tc>
      </w:tr>
      <w:tr w:rsidR="007D201C" w:rsidRPr="00EE1739" w14:paraId="23C2FCBD" w14:textId="77777777" w:rsidTr="007D201C">
        <w:trPr>
          <w:trHeight w:val="420"/>
        </w:trPr>
        <w:tc>
          <w:tcPr>
            <w:tcW w:w="3843" w:type="pct"/>
            <w:hideMark/>
          </w:tcPr>
          <w:p w14:paraId="451B9424" w14:textId="77777777" w:rsidR="007D201C" w:rsidRPr="0077324A" w:rsidRDefault="007D201C" w:rsidP="00CB6B09">
            <w:pPr>
              <w:rPr>
                <w:rFonts w:ascii="Calibri" w:eastAsia="Times New Roman" w:hAnsi="Calibri" w:cs="Times New Roman"/>
                <w:color w:val="000000"/>
                <w:sz w:val="18"/>
                <w:szCs w:val="18"/>
                <w:lang w:val="es-SV" w:eastAsia="es-SV"/>
              </w:rPr>
            </w:pPr>
            <w:r w:rsidRPr="00BC4BA2">
              <w:rPr>
                <w:rFonts w:ascii="Calibri" w:eastAsia="Times New Roman" w:hAnsi="Calibri" w:cs="Times New Roman"/>
                <w:color w:val="000000"/>
                <w:sz w:val="18"/>
                <w:szCs w:val="18"/>
                <w:lang w:val="es-SV" w:eastAsia="es-SV"/>
              </w:rPr>
              <w:lastRenderedPageBreak/>
              <w:t>Elaboración de presupuesto de VIH basado en resultados en los diferentes niveles de</w:t>
            </w:r>
            <w:r>
              <w:rPr>
                <w:rFonts w:ascii="Calibri" w:eastAsia="Times New Roman" w:hAnsi="Calibri" w:cs="Times New Roman"/>
                <w:color w:val="000000"/>
                <w:sz w:val="18"/>
                <w:szCs w:val="18"/>
                <w:lang w:val="es-SV" w:eastAsia="es-SV"/>
              </w:rPr>
              <w:t xml:space="preserve"> atención para el MINSAL. S</w:t>
            </w:r>
            <w:r w:rsidRPr="00BC4BA2">
              <w:rPr>
                <w:rFonts w:ascii="Calibri" w:eastAsia="Times New Roman" w:hAnsi="Calibri" w:cs="Times New Roman"/>
                <w:color w:val="000000"/>
                <w:sz w:val="18"/>
                <w:szCs w:val="18"/>
                <w:lang w:val="es-SV" w:eastAsia="es-SV"/>
              </w:rPr>
              <w:t xml:space="preserve">esiones de trabajo con el PNS/MINSAL para lograr que el presupuesto anual cuente con objetivos / metas medibles coordinadas con el presupuesto anual de VIH.  </w:t>
            </w:r>
          </w:p>
        </w:tc>
        <w:tc>
          <w:tcPr>
            <w:tcW w:w="239" w:type="pct"/>
            <w:hideMark/>
          </w:tcPr>
          <w:p w14:paraId="4E0EFDF9"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47" w:type="pct"/>
          </w:tcPr>
          <w:p w14:paraId="30320B94"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0AF3099B"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28C434CF"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0A2AB734"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r>
      <w:tr w:rsidR="007D201C" w:rsidRPr="00EE1739" w14:paraId="62A409A8" w14:textId="77777777" w:rsidTr="007D201C">
        <w:trPr>
          <w:trHeight w:val="562"/>
        </w:trPr>
        <w:tc>
          <w:tcPr>
            <w:tcW w:w="3843" w:type="pct"/>
          </w:tcPr>
          <w:p w14:paraId="0A66B701" w14:textId="77777777" w:rsidR="007D201C" w:rsidRPr="00BC4BA2" w:rsidRDefault="007D201C" w:rsidP="00CB6B09">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eastAsia="es-SV"/>
              </w:rPr>
              <w:t>Reuniones</w:t>
            </w:r>
            <w:r w:rsidRPr="00BC4BA2">
              <w:rPr>
                <w:rFonts w:ascii="Calibri" w:eastAsia="Times New Roman" w:hAnsi="Calibri" w:cs="Times New Roman"/>
                <w:color w:val="000000"/>
                <w:sz w:val="18"/>
                <w:szCs w:val="18"/>
                <w:lang w:val="es-SV" w:eastAsia="es-SV"/>
              </w:rPr>
              <w:t xml:space="preserve"> de trabajo con el PNS para el proceso de planificación del presupuesto, para que destine todos los recursos nacionales específicamente hacia las áreas geográficas con mayores cargas.</w:t>
            </w:r>
          </w:p>
        </w:tc>
        <w:tc>
          <w:tcPr>
            <w:tcW w:w="239" w:type="pct"/>
          </w:tcPr>
          <w:p w14:paraId="21875AC3"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47" w:type="pct"/>
          </w:tcPr>
          <w:p w14:paraId="60B1A38F"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19DC920C"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3DDB9BD2"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2CF58961"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r>
      <w:tr w:rsidR="007D201C" w:rsidRPr="00EE1739" w14:paraId="4CE96444" w14:textId="77777777" w:rsidTr="007D201C">
        <w:trPr>
          <w:trHeight w:val="561"/>
        </w:trPr>
        <w:tc>
          <w:tcPr>
            <w:tcW w:w="3843" w:type="pct"/>
          </w:tcPr>
          <w:p w14:paraId="4A134D72" w14:textId="77777777" w:rsidR="007D201C" w:rsidRPr="00BC4BA2" w:rsidRDefault="007D201C" w:rsidP="00CB6B09">
            <w:pPr>
              <w:rPr>
                <w:rFonts w:ascii="Calibri" w:eastAsia="Times New Roman" w:hAnsi="Calibri" w:cs="Times New Roman"/>
                <w:color w:val="000000"/>
                <w:sz w:val="18"/>
                <w:szCs w:val="18"/>
                <w:lang w:val="es-SV" w:eastAsia="es-SV"/>
              </w:rPr>
            </w:pPr>
            <w:r w:rsidRPr="00BC4BA2">
              <w:rPr>
                <w:rFonts w:ascii="Calibri" w:eastAsia="Times New Roman" w:hAnsi="Calibri" w:cs="Times New Roman"/>
                <w:color w:val="000000"/>
                <w:sz w:val="18"/>
                <w:szCs w:val="18"/>
                <w:lang w:val="es-SV" w:eastAsia="es-SV"/>
              </w:rPr>
              <w:t xml:space="preserve">Análisis de monitoreo trimestral y reporte de la ejecución del presupuesto 2018-2019 de ARVs e identificación de aspectos críticos cuando la ejecución presupuestaria para ARV es menor a 70%.  </w:t>
            </w:r>
          </w:p>
        </w:tc>
        <w:tc>
          <w:tcPr>
            <w:tcW w:w="239" w:type="pct"/>
          </w:tcPr>
          <w:p w14:paraId="618ED8F7"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47" w:type="pct"/>
          </w:tcPr>
          <w:p w14:paraId="402671AB"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1DE38337"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3C2DA382"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3DE6737D"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r>
      <w:tr w:rsidR="007D201C" w:rsidRPr="00EE1739" w14:paraId="6C19C56D" w14:textId="77777777" w:rsidTr="007D201C">
        <w:trPr>
          <w:trHeight w:val="404"/>
        </w:trPr>
        <w:tc>
          <w:tcPr>
            <w:tcW w:w="3843" w:type="pct"/>
          </w:tcPr>
          <w:p w14:paraId="30B86716" w14:textId="77777777" w:rsidR="007D201C" w:rsidRPr="00BC4BA2" w:rsidRDefault="007D201C" w:rsidP="00CB6B09">
            <w:pPr>
              <w:rPr>
                <w:rFonts w:ascii="Calibri" w:eastAsia="Times New Roman" w:hAnsi="Calibri" w:cs="Times New Roman"/>
                <w:color w:val="000000"/>
                <w:sz w:val="18"/>
                <w:szCs w:val="18"/>
                <w:lang w:val="es-SV" w:eastAsia="es-SV"/>
              </w:rPr>
            </w:pPr>
            <w:r w:rsidRPr="00BC4BA2">
              <w:rPr>
                <w:rFonts w:ascii="Calibri" w:eastAsia="Times New Roman" w:hAnsi="Calibri" w:cs="Times New Roman"/>
                <w:color w:val="000000"/>
                <w:sz w:val="18"/>
                <w:szCs w:val="18"/>
                <w:lang w:val="es-SV" w:eastAsia="es-SV"/>
              </w:rPr>
              <w:t>Cabildeo con el MINSAL, Asamblea Legislativa y Ministerio de Hacienda para solicitar el incremento del presupuesto de VIH a la Asamblea Legislativa, MH, autoridades del MINSAL.</w:t>
            </w:r>
          </w:p>
        </w:tc>
        <w:tc>
          <w:tcPr>
            <w:tcW w:w="239" w:type="pct"/>
          </w:tcPr>
          <w:p w14:paraId="2D577D6D"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47" w:type="pct"/>
          </w:tcPr>
          <w:p w14:paraId="10738E8D"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3C30636E"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2763533F"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287D5B06"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r>
      <w:tr w:rsidR="007D201C" w:rsidRPr="00EE1739" w14:paraId="0766C37A" w14:textId="77777777" w:rsidTr="007D201C">
        <w:trPr>
          <w:trHeight w:val="524"/>
        </w:trPr>
        <w:tc>
          <w:tcPr>
            <w:tcW w:w="3843" w:type="pct"/>
          </w:tcPr>
          <w:p w14:paraId="33B7D50B" w14:textId="77777777" w:rsidR="007D201C" w:rsidRPr="00BC4BA2" w:rsidRDefault="007D201C" w:rsidP="00CB6B09">
            <w:pPr>
              <w:rPr>
                <w:rFonts w:ascii="Calibri" w:eastAsia="Times New Roman" w:hAnsi="Calibri" w:cs="Times New Roman"/>
                <w:color w:val="000000"/>
                <w:sz w:val="18"/>
                <w:szCs w:val="18"/>
                <w:lang w:val="es-SV" w:eastAsia="es-SV"/>
              </w:rPr>
            </w:pPr>
            <w:r w:rsidRPr="00BC4BA2">
              <w:rPr>
                <w:rFonts w:ascii="Calibri" w:eastAsia="Times New Roman" w:hAnsi="Calibri" w:cs="Times New Roman"/>
                <w:color w:val="000000"/>
                <w:sz w:val="18"/>
                <w:szCs w:val="18"/>
                <w:lang w:val="es-SV" w:eastAsia="es-SV"/>
              </w:rPr>
              <w:t xml:space="preserve">Taller con el MINSAL y Organizaciones de Sociedad Civil para lograr que la Asamblea Legislativa apruebe financiamiento explícito para VIH en el presupuesto nacional, preferiblemente que incluya programas en cada Ministerio.  </w:t>
            </w:r>
          </w:p>
        </w:tc>
        <w:tc>
          <w:tcPr>
            <w:tcW w:w="239" w:type="pct"/>
          </w:tcPr>
          <w:p w14:paraId="2E74D6F2"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47" w:type="pct"/>
          </w:tcPr>
          <w:p w14:paraId="5366D47C"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2AF27955"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33257504"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3F06EAB4"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r>
      <w:tr w:rsidR="007D201C" w:rsidRPr="00EE1739" w14:paraId="4429C978" w14:textId="77777777" w:rsidTr="007D201C">
        <w:trPr>
          <w:trHeight w:val="417"/>
        </w:trPr>
        <w:tc>
          <w:tcPr>
            <w:tcW w:w="3843" w:type="pct"/>
          </w:tcPr>
          <w:p w14:paraId="0C65C8C2" w14:textId="77777777" w:rsidR="007D201C" w:rsidRPr="00BC4BA2" w:rsidRDefault="007D201C" w:rsidP="00CB6B09">
            <w:pPr>
              <w:rPr>
                <w:rFonts w:ascii="Calibri" w:eastAsia="Times New Roman" w:hAnsi="Calibri" w:cs="Times New Roman"/>
                <w:color w:val="000000"/>
                <w:sz w:val="18"/>
                <w:szCs w:val="18"/>
                <w:lang w:val="es-SV" w:eastAsia="es-SV"/>
              </w:rPr>
            </w:pPr>
            <w:r w:rsidRPr="00BC4BA2">
              <w:rPr>
                <w:rFonts w:ascii="Calibri" w:eastAsia="Times New Roman" w:hAnsi="Calibri" w:cs="Times New Roman"/>
                <w:color w:val="000000"/>
                <w:sz w:val="18"/>
                <w:szCs w:val="18"/>
                <w:lang w:val="es-SV" w:eastAsia="es-SV"/>
              </w:rPr>
              <w:t>Atraer recursos financieros por medio de canje de deuda (Unión Europea)</w:t>
            </w:r>
          </w:p>
        </w:tc>
        <w:tc>
          <w:tcPr>
            <w:tcW w:w="239" w:type="pct"/>
          </w:tcPr>
          <w:p w14:paraId="37D37F1D"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47" w:type="pct"/>
          </w:tcPr>
          <w:p w14:paraId="47C03DB2"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350BBE6A"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1E94BFCD"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4B8EE667"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r>
    </w:tbl>
    <w:p w14:paraId="1222E873" w14:textId="77777777" w:rsidR="005051AE" w:rsidRDefault="005051AE"/>
    <w:tbl>
      <w:tblPr>
        <w:tblStyle w:val="Tablaconcuadrcula"/>
        <w:tblW w:w="5000" w:type="pct"/>
        <w:tblLook w:val="04A0" w:firstRow="1" w:lastRow="0" w:firstColumn="1" w:lastColumn="0" w:noHBand="0" w:noVBand="1"/>
      </w:tblPr>
      <w:tblGrid>
        <w:gridCol w:w="2710"/>
        <w:gridCol w:w="1679"/>
        <w:gridCol w:w="2695"/>
        <w:gridCol w:w="1832"/>
        <w:gridCol w:w="1892"/>
        <w:gridCol w:w="2186"/>
      </w:tblGrid>
      <w:tr w:rsidR="005F7825" w:rsidRPr="0077324A" w14:paraId="21CE84C3" w14:textId="77777777" w:rsidTr="004D5650">
        <w:trPr>
          <w:trHeight w:val="610"/>
        </w:trPr>
        <w:tc>
          <w:tcPr>
            <w:tcW w:w="1043" w:type="pct"/>
            <w:shd w:val="clear" w:color="auto" w:fill="D5DCE4" w:themeFill="text2" w:themeFillTint="33"/>
            <w:hideMark/>
          </w:tcPr>
          <w:p w14:paraId="603C2DCF" w14:textId="77777777" w:rsidR="005F7825" w:rsidRPr="0077324A" w:rsidRDefault="005F7825" w:rsidP="00312362">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 xml:space="preserve">Líneas de acción de la estrategia </w:t>
            </w:r>
          </w:p>
        </w:tc>
        <w:tc>
          <w:tcPr>
            <w:tcW w:w="646" w:type="pct"/>
            <w:shd w:val="clear" w:color="auto" w:fill="D5DCE4" w:themeFill="text2" w:themeFillTint="33"/>
            <w:hideMark/>
          </w:tcPr>
          <w:p w14:paraId="7FB65A94" w14:textId="77777777" w:rsidR="005F7825" w:rsidRDefault="005F7825" w:rsidP="00312362">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Situación actual</w:t>
            </w:r>
          </w:p>
          <w:p w14:paraId="11BDCDB0" w14:textId="77777777" w:rsidR="005F7825" w:rsidRPr="0077324A" w:rsidRDefault="005F7825" w:rsidP="00312362">
            <w:pPr>
              <w:rPr>
                <w:rFonts w:ascii="Calibri" w:eastAsia="Times New Roman" w:hAnsi="Calibri" w:cs="Times New Roman"/>
                <w:b/>
                <w:bCs/>
                <w:color w:val="000000"/>
                <w:sz w:val="18"/>
                <w:szCs w:val="18"/>
                <w:lang w:val="es-SV" w:eastAsia="es-SV"/>
              </w:rPr>
            </w:pPr>
          </w:p>
        </w:tc>
        <w:tc>
          <w:tcPr>
            <w:tcW w:w="1037" w:type="pct"/>
            <w:shd w:val="clear" w:color="auto" w:fill="D5DCE4" w:themeFill="text2" w:themeFillTint="33"/>
            <w:hideMark/>
          </w:tcPr>
          <w:p w14:paraId="39889E66" w14:textId="77777777" w:rsidR="005F7825" w:rsidRPr="0077324A" w:rsidRDefault="005F7825" w:rsidP="00312362">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 xml:space="preserve">Oportunidades </w:t>
            </w:r>
          </w:p>
          <w:p w14:paraId="49317124" w14:textId="77777777" w:rsidR="005F7825" w:rsidRPr="0077324A" w:rsidRDefault="005F7825" w:rsidP="00312362">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color w:val="000000"/>
                <w:sz w:val="18"/>
                <w:szCs w:val="18"/>
                <w:lang w:val="es-SV" w:eastAsia="es-SV"/>
              </w:rPr>
              <w:t> </w:t>
            </w:r>
          </w:p>
        </w:tc>
        <w:tc>
          <w:tcPr>
            <w:tcW w:w="705" w:type="pct"/>
            <w:shd w:val="clear" w:color="auto" w:fill="D5DCE4" w:themeFill="text2" w:themeFillTint="33"/>
            <w:hideMark/>
          </w:tcPr>
          <w:p w14:paraId="08CE53DD" w14:textId="77777777" w:rsidR="005F7825" w:rsidRPr="0077324A" w:rsidRDefault="005F7825" w:rsidP="00312362">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Desafíos</w:t>
            </w:r>
          </w:p>
        </w:tc>
        <w:tc>
          <w:tcPr>
            <w:tcW w:w="728" w:type="pct"/>
            <w:shd w:val="clear" w:color="auto" w:fill="D5DCE4" w:themeFill="text2" w:themeFillTint="33"/>
            <w:hideMark/>
          </w:tcPr>
          <w:p w14:paraId="6E73FA55" w14:textId="77777777" w:rsidR="005F7825" w:rsidRPr="0077324A" w:rsidRDefault="005F7825" w:rsidP="00312362">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 xml:space="preserve"> Meta (en base a brechas y prioridades) </w:t>
            </w:r>
          </w:p>
        </w:tc>
        <w:tc>
          <w:tcPr>
            <w:tcW w:w="841" w:type="pct"/>
            <w:shd w:val="clear" w:color="auto" w:fill="D5DCE4" w:themeFill="text2" w:themeFillTint="33"/>
            <w:hideMark/>
          </w:tcPr>
          <w:p w14:paraId="72577FCB" w14:textId="77777777" w:rsidR="005F7825" w:rsidRPr="0077324A" w:rsidRDefault="005F7825" w:rsidP="00312362">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Responsables de actividades</w:t>
            </w:r>
          </w:p>
        </w:tc>
      </w:tr>
      <w:tr w:rsidR="005051AE" w:rsidRPr="002216CF" w14:paraId="5D42A6D2" w14:textId="77777777" w:rsidTr="004D5650">
        <w:trPr>
          <w:trHeight w:val="2100"/>
        </w:trPr>
        <w:tc>
          <w:tcPr>
            <w:tcW w:w="1043" w:type="pct"/>
            <w:hideMark/>
          </w:tcPr>
          <w:p w14:paraId="0AC7E39E" w14:textId="77777777" w:rsidR="00EE1739" w:rsidRPr="0077324A" w:rsidRDefault="00EE1739" w:rsidP="0077324A">
            <w:pP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2.Movilización y aseguramiento de recursos mediante la creación de línea del  presupuesto público   etiquetada para VIH que asegure los recursos necesarios año  con año</w:t>
            </w:r>
          </w:p>
        </w:tc>
        <w:tc>
          <w:tcPr>
            <w:tcW w:w="646" w:type="pct"/>
            <w:hideMark/>
          </w:tcPr>
          <w:p w14:paraId="3173CF69" w14:textId="77777777" w:rsidR="00EE1739" w:rsidRPr="0077324A" w:rsidRDefault="00EE1739" w:rsidP="0077324A">
            <w:pPr>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El diseño y asignación presupuestaria se basa en el histórico de ejecución presupuestaria.</w:t>
            </w:r>
          </w:p>
        </w:tc>
        <w:tc>
          <w:tcPr>
            <w:tcW w:w="1037" w:type="pct"/>
            <w:hideMark/>
          </w:tcPr>
          <w:p w14:paraId="42E8ACA9" w14:textId="77777777" w:rsidR="004D5650" w:rsidRPr="0077324A" w:rsidRDefault="004D5650" w:rsidP="0077324A">
            <w:pPr>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 xml:space="preserve">Cambio de sistema a presupuesto por resultados de parte del MH, aplicar subsidios cruzados ISSS, Nueva ley de VIH que asigna </w:t>
            </w:r>
            <w:r>
              <w:rPr>
                <w:rFonts w:ascii="Calibri" w:eastAsia="Times New Roman" w:hAnsi="Calibri" w:cs="Times New Roman"/>
                <w:color w:val="000000"/>
                <w:sz w:val="18"/>
                <w:szCs w:val="18"/>
                <w:lang w:val="es-SV" w:eastAsia="es-SV"/>
              </w:rPr>
              <w:t>22 atribuciones a MINSAL.</w:t>
            </w:r>
          </w:p>
        </w:tc>
        <w:tc>
          <w:tcPr>
            <w:tcW w:w="705" w:type="pct"/>
            <w:hideMark/>
          </w:tcPr>
          <w:p w14:paraId="7334AE1A" w14:textId="77777777" w:rsidR="00EE1739" w:rsidRPr="0077324A" w:rsidRDefault="00EE1739" w:rsidP="00EE1739">
            <w:pPr>
              <w:jc w:val="center"/>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Concretar un acuerdo político en la Asamblea Legislativa antes de las próximas elecciones del 2022.</w:t>
            </w:r>
          </w:p>
        </w:tc>
        <w:tc>
          <w:tcPr>
            <w:tcW w:w="728" w:type="pct"/>
            <w:hideMark/>
          </w:tcPr>
          <w:p w14:paraId="47080C10" w14:textId="77777777" w:rsidR="00EE1739" w:rsidRPr="0077324A" w:rsidRDefault="00EE1739" w:rsidP="0077324A">
            <w:pPr>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Aplicar en un 100% el mecanismo de presupuesto etiquetado para la asignación de presupuesto con fondos públicos para VIH.</w:t>
            </w:r>
          </w:p>
        </w:tc>
        <w:tc>
          <w:tcPr>
            <w:tcW w:w="841" w:type="pct"/>
            <w:hideMark/>
          </w:tcPr>
          <w:p w14:paraId="1AC39BF4" w14:textId="77777777" w:rsidR="00EE1739" w:rsidRPr="0077324A" w:rsidRDefault="00EE1739" w:rsidP="0077324A">
            <w:pPr>
              <w:rPr>
                <w:rFonts w:ascii="Calibri" w:eastAsia="Times New Roman" w:hAnsi="Calibri" w:cs="Times New Roman"/>
                <w:color w:val="000000"/>
                <w:sz w:val="18"/>
                <w:szCs w:val="18"/>
                <w:lang w:val="pt-BR" w:eastAsia="es-SV"/>
              </w:rPr>
            </w:pPr>
            <w:r w:rsidRPr="0077324A">
              <w:rPr>
                <w:rFonts w:ascii="Calibri" w:eastAsia="Times New Roman" w:hAnsi="Calibri" w:cs="Times New Roman"/>
                <w:color w:val="000000"/>
                <w:sz w:val="18"/>
                <w:szCs w:val="18"/>
                <w:lang w:val="pt-BR" w:eastAsia="es-SV"/>
              </w:rPr>
              <w:t>MINSAL, ISSS, SM, BM, FOSALUD, Programa Nacional de VIH e ITS, Asamblea Legislativa, M</w:t>
            </w:r>
            <w:r w:rsidR="003710E1">
              <w:rPr>
                <w:rFonts w:ascii="Calibri" w:eastAsia="Times New Roman" w:hAnsi="Calibri" w:cs="Times New Roman"/>
                <w:color w:val="000000"/>
                <w:sz w:val="18"/>
                <w:szCs w:val="18"/>
                <w:lang w:val="pt-BR" w:eastAsia="es-SV"/>
              </w:rPr>
              <w:t>inisterio de Hacienda, SETEPLAN y ONG´S.</w:t>
            </w:r>
          </w:p>
        </w:tc>
      </w:tr>
    </w:tbl>
    <w:p w14:paraId="6106B58E" w14:textId="77777777" w:rsidR="00C174CF" w:rsidRDefault="00C174CF"/>
    <w:tbl>
      <w:tblPr>
        <w:tblStyle w:val="Tablaconcuadrcula"/>
        <w:tblW w:w="5000" w:type="pct"/>
        <w:tblLook w:val="04A0" w:firstRow="1" w:lastRow="0" w:firstColumn="1" w:lastColumn="0" w:noHBand="0" w:noVBand="1"/>
      </w:tblPr>
      <w:tblGrid>
        <w:gridCol w:w="10088"/>
        <w:gridCol w:w="581"/>
        <w:gridCol w:w="581"/>
        <w:gridCol w:w="581"/>
        <w:gridCol w:w="582"/>
        <w:gridCol w:w="581"/>
      </w:tblGrid>
      <w:tr w:rsidR="007D201C" w:rsidRPr="00EE1739" w14:paraId="0FE8AF20" w14:textId="77777777" w:rsidTr="007D201C">
        <w:trPr>
          <w:trHeight w:val="410"/>
        </w:trPr>
        <w:tc>
          <w:tcPr>
            <w:tcW w:w="3882" w:type="pct"/>
          </w:tcPr>
          <w:p w14:paraId="596FFEAC" w14:textId="77777777" w:rsidR="007D201C" w:rsidRPr="005051AE" w:rsidRDefault="007D201C"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 xml:space="preserve">Acciones / </w:t>
            </w:r>
            <w:r w:rsidRPr="00EE1739">
              <w:rPr>
                <w:rFonts w:ascii="Calibri" w:eastAsia="Times New Roman" w:hAnsi="Calibri" w:cs="Times New Roman"/>
                <w:b/>
                <w:color w:val="000000"/>
                <w:sz w:val="18"/>
                <w:szCs w:val="18"/>
                <w:lang w:val="es-SV" w:eastAsia="es-SV"/>
              </w:rPr>
              <w:t>Periodo de ejecución</w:t>
            </w:r>
          </w:p>
        </w:tc>
        <w:tc>
          <w:tcPr>
            <w:tcW w:w="224" w:type="pct"/>
          </w:tcPr>
          <w:p w14:paraId="3889F084" w14:textId="77777777" w:rsidR="007D201C" w:rsidRPr="005051AE" w:rsidRDefault="007D201C" w:rsidP="0025750E">
            <w:pPr>
              <w:jc w:val="center"/>
              <w:rPr>
                <w:rFonts w:ascii="Calibri" w:eastAsia="Times New Roman" w:hAnsi="Calibri" w:cs="Times New Roman"/>
                <w:b/>
                <w:color w:val="000000"/>
                <w:sz w:val="18"/>
                <w:szCs w:val="18"/>
                <w:lang w:val="es-SV" w:eastAsia="es-SV"/>
              </w:rPr>
            </w:pPr>
            <w:r w:rsidRPr="005051AE">
              <w:rPr>
                <w:rFonts w:ascii="Calibri" w:eastAsia="Times New Roman" w:hAnsi="Calibri" w:cs="Times New Roman"/>
                <w:b/>
                <w:color w:val="000000"/>
                <w:sz w:val="18"/>
                <w:szCs w:val="18"/>
                <w:lang w:val="es-SV" w:eastAsia="es-SV"/>
              </w:rPr>
              <w:t>2019</w:t>
            </w:r>
          </w:p>
        </w:tc>
        <w:tc>
          <w:tcPr>
            <w:tcW w:w="224" w:type="pct"/>
          </w:tcPr>
          <w:p w14:paraId="1EDCBE3D" w14:textId="77777777" w:rsidR="007D201C" w:rsidRPr="005051AE" w:rsidRDefault="007D201C" w:rsidP="0025750E">
            <w:pPr>
              <w:jc w:val="center"/>
              <w:rPr>
                <w:rFonts w:ascii="Calibri" w:eastAsia="Times New Roman" w:hAnsi="Calibri" w:cs="Times New Roman"/>
                <w:b/>
                <w:color w:val="000000"/>
                <w:sz w:val="18"/>
                <w:szCs w:val="18"/>
                <w:lang w:val="es-SV" w:eastAsia="es-SV"/>
              </w:rPr>
            </w:pPr>
            <w:r w:rsidRPr="005051AE">
              <w:rPr>
                <w:rFonts w:ascii="Calibri" w:eastAsia="Times New Roman" w:hAnsi="Calibri" w:cs="Times New Roman"/>
                <w:b/>
                <w:color w:val="000000"/>
                <w:sz w:val="18"/>
                <w:szCs w:val="18"/>
                <w:lang w:val="es-SV" w:eastAsia="es-SV"/>
              </w:rPr>
              <w:t>2020</w:t>
            </w:r>
          </w:p>
        </w:tc>
        <w:tc>
          <w:tcPr>
            <w:tcW w:w="224" w:type="pct"/>
          </w:tcPr>
          <w:p w14:paraId="157AEC2D" w14:textId="77777777" w:rsidR="007D201C" w:rsidRPr="005051AE" w:rsidRDefault="007D201C" w:rsidP="0025750E">
            <w:pPr>
              <w:jc w:val="center"/>
              <w:rPr>
                <w:rFonts w:ascii="Calibri" w:eastAsia="Times New Roman" w:hAnsi="Calibri" w:cs="Times New Roman"/>
                <w:b/>
                <w:color w:val="000000"/>
                <w:sz w:val="18"/>
                <w:szCs w:val="18"/>
                <w:lang w:val="es-SV" w:eastAsia="es-SV"/>
              </w:rPr>
            </w:pPr>
            <w:r w:rsidRPr="005051AE">
              <w:rPr>
                <w:rFonts w:ascii="Calibri" w:eastAsia="Times New Roman" w:hAnsi="Calibri" w:cs="Times New Roman"/>
                <w:b/>
                <w:color w:val="000000"/>
                <w:sz w:val="18"/>
                <w:szCs w:val="18"/>
                <w:lang w:val="es-SV" w:eastAsia="es-SV"/>
              </w:rPr>
              <w:t>2021</w:t>
            </w:r>
          </w:p>
        </w:tc>
        <w:tc>
          <w:tcPr>
            <w:tcW w:w="224" w:type="pct"/>
          </w:tcPr>
          <w:p w14:paraId="27C32ECD" w14:textId="77777777" w:rsidR="007D201C" w:rsidRPr="005051AE" w:rsidRDefault="007D201C" w:rsidP="0025750E">
            <w:pPr>
              <w:jc w:val="center"/>
              <w:rPr>
                <w:rFonts w:ascii="Calibri" w:eastAsia="Times New Roman" w:hAnsi="Calibri" w:cs="Times New Roman"/>
                <w:b/>
                <w:color w:val="000000"/>
                <w:sz w:val="18"/>
                <w:szCs w:val="18"/>
                <w:lang w:val="es-SV" w:eastAsia="es-SV"/>
              </w:rPr>
            </w:pPr>
            <w:r w:rsidRPr="005051AE">
              <w:rPr>
                <w:rFonts w:ascii="Calibri" w:eastAsia="Times New Roman" w:hAnsi="Calibri" w:cs="Times New Roman"/>
                <w:b/>
                <w:color w:val="000000"/>
                <w:sz w:val="18"/>
                <w:szCs w:val="18"/>
                <w:lang w:val="es-SV" w:eastAsia="es-SV"/>
              </w:rPr>
              <w:t>2022</w:t>
            </w:r>
          </w:p>
        </w:tc>
        <w:tc>
          <w:tcPr>
            <w:tcW w:w="224" w:type="pct"/>
          </w:tcPr>
          <w:p w14:paraId="05E727A6" w14:textId="77777777" w:rsidR="007D201C" w:rsidRPr="005051AE" w:rsidRDefault="007D201C" w:rsidP="0025750E">
            <w:pPr>
              <w:jc w:val="center"/>
              <w:rPr>
                <w:rFonts w:ascii="Calibri" w:eastAsia="Times New Roman" w:hAnsi="Calibri" w:cs="Times New Roman"/>
                <w:b/>
                <w:color w:val="000000"/>
                <w:sz w:val="18"/>
                <w:szCs w:val="18"/>
                <w:lang w:val="es-SV" w:eastAsia="es-SV"/>
              </w:rPr>
            </w:pPr>
            <w:r w:rsidRPr="005051AE">
              <w:rPr>
                <w:rFonts w:ascii="Calibri" w:eastAsia="Times New Roman" w:hAnsi="Calibri" w:cs="Times New Roman"/>
                <w:b/>
                <w:color w:val="000000"/>
                <w:sz w:val="18"/>
                <w:szCs w:val="18"/>
                <w:lang w:val="es-SV" w:eastAsia="es-SV"/>
              </w:rPr>
              <w:t>2023</w:t>
            </w:r>
          </w:p>
        </w:tc>
      </w:tr>
      <w:tr w:rsidR="007D201C" w:rsidRPr="00EE1739" w14:paraId="1F1B5EE3" w14:textId="77777777" w:rsidTr="007D201C">
        <w:trPr>
          <w:trHeight w:val="387"/>
        </w:trPr>
        <w:tc>
          <w:tcPr>
            <w:tcW w:w="3882" w:type="pct"/>
            <w:hideMark/>
          </w:tcPr>
          <w:p w14:paraId="6C930B5B" w14:textId="77777777" w:rsidR="007D201C" w:rsidRPr="0077324A" w:rsidRDefault="007D201C" w:rsidP="0025750E">
            <w:pPr>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Aumentar y asegurar la eficacia de la ejecución de los fondos públicos para VIH.</w:t>
            </w:r>
          </w:p>
        </w:tc>
        <w:tc>
          <w:tcPr>
            <w:tcW w:w="224" w:type="pct"/>
            <w:hideMark/>
          </w:tcPr>
          <w:p w14:paraId="60278CC1" w14:textId="77777777" w:rsidR="007D201C" w:rsidRPr="0077324A" w:rsidRDefault="007D201C" w:rsidP="0025750E">
            <w:pPr>
              <w:jc w:val="center"/>
              <w:rPr>
                <w:rFonts w:ascii="Calibri" w:eastAsia="Times New Roman" w:hAnsi="Calibri" w:cs="Times New Roman"/>
                <w:color w:val="000000"/>
                <w:sz w:val="18"/>
                <w:szCs w:val="18"/>
                <w:lang w:val="es-SV" w:eastAsia="es-SV"/>
              </w:rPr>
            </w:pPr>
          </w:p>
        </w:tc>
        <w:tc>
          <w:tcPr>
            <w:tcW w:w="224" w:type="pct"/>
          </w:tcPr>
          <w:p w14:paraId="684FBB20" w14:textId="77777777" w:rsidR="007D201C" w:rsidRPr="0077324A" w:rsidRDefault="007D201C" w:rsidP="0025750E">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55CAB3DC" w14:textId="77777777" w:rsidR="007D201C" w:rsidRPr="0077324A" w:rsidRDefault="007D201C" w:rsidP="0025750E">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5C62D4B7" w14:textId="77777777" w:rsidR="007D201C" w:rsidRPr="0077324A" w:rsidRDefault="007D201C" w:rsidP="0025750E">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5687497F" w14:textId="77777777" w:rsidR="007D201C" w:rsidRPr="0077324A" w:rsidRDefault="007D201C" w:rsidP="0025750E">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r>
      <w:tr w:rsidR="007D201C" w:rsidRPr="00EE1739" w14:paraId="3EFAA996" w14:textId="77777777" w:rsidTr="007D201C">
        <w:trPr>
          <w:trHeight w:val="431"/>
        </w:trPr>
        <w:tc>
          <w:tcPr>
            <w:tcW w:w="3882" w:type="pct"/>
            <w:hideMark/>
          </w:tcPr>
          <w:p w14:paraId="7813E475" w14:textId="1010101D" w:rsidR="007D201C" w:rsidRPr="0077324A" w:rsidRDefault="00EF1D4D" w:rsidP="00EF1D4D">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eastAsia="es-SV"/>
              </w:rPr>
              <w:t xml:space="preserve">Identificar </w:t>
            </w:r>
            <w:r w:rsidR="007D201C" w:rsidRPr="0077324A">
              <w:rPr>
                <w:rFonts w:ascii="Calibri" w:eastAsia="Times New Roman" w:hAnsi="Calibri" w:cs="Times New Roman"/>
                <w:color w:val="000000"/>
                <w:sz w:val="18"/>
                <w:szCs w:val="18"/>
                <w:lang w:val="es-SV" w:eastAsia="es-SV"/>
              </w:rPr>
              <w:t xml:space="preserve">y aplicar </w:t>
            </w:r>
            <w:r>
              <w:rPr>
                <w:rFonts w:ascii="Calibri" w:eastAsia="Times New Roman" w:hAnsi="Calibri" w:cs="Times New Roman"/>
                <w:color w:val="000000"/>
                <w:sz w:val="18"/>
                <w:szCs w:val="18"/>
                <w:lang w:val="es-SV" w:eastAsia="es-SV"/>
              </w:rPr>
              <w:t xml:space="preserve">procedimientos requeridos para etiquetar el gasto en VIH. </w:t>
            </w:r>
            <w:r w:rsidR="007D201C" w:rsidRPr="0077324A">
              <w:rPr>
                <w:rFonts w:ascii="Calibri" w:eastAsia="Times New Roman" w:hAnsi="Calibri" w:cs="Times New Roman"/>
                <w:color w:val="000000"/>
                <w:sz w:val="18"/>
                <w:szCs w:val="18"/>
                <w:lang w:val="es-SV" w:eastAsia="es-SV"/>
              </w:rPr>
              <w:t xml:space="preserve"> </w:t>
            </w:r>
          </w:p>
        </w:tc>
        <w:tc>
          <w:tcPr>
            <w:tcW w:w="224" w:type="pct"/>
            <w:hideMark/>
          </w:tcPr>
          <w:p w14:paraId="2E304CF9" w14:textId="77777777" w:rsidR="007D201C" w:rsidRPr="0077324A" w:rsidRDefault="007D201C" w:rsidP="0025750E">
            <w:pPr>
              <w:jc w:val="center"/>
              <w:rPr>
                <w:rFonts w:ascii="Calibri" w:eastAsia="Times New Roman" w:hAnsi="Calibri" w:cs="Times New Roman"/>
                <w:color w:val="000000"/>
                <w:sz w:val="18"/>
                <w:szCs w:val="18"/>
                <w:lang w:val="es-SV" w:eastAsia="es-SV"/>
              </w:rPr>
            </w:pPr>
          </w:p>
        </w:tc>
        <w:tc>
          <w:tcPr>
            <w:tcW w:w="224" w:type="pct"/>
          </w:tcPr>
          <w:p w14:paraId="0E05B8AA" w14:textId="77777777" w:rsidR="007D201C" w:rsidRPr="0077324A" w:rsidRDefault="007D201C" w:rsidP="0025750E">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0C89FAD2" w14:textId="77777777" w:rsidR="007D201C" w:rsidRPr="0077324A" w:rsidRDefault="007D201C" w:rsidP="0025750E">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24681272" w14:textId="77777777" w:rsidR="007D201C" w:rsidRPr="0077324A" w:rsidRDefault="007D201C" w:rsidP="0025750E">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4798762E" w14:textId="77777777" w:rsidR="007D201C" w:rsidRPr="0077324A" w:rsidRDefault="007D201C" w:rsidP="0025750E">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r>
      <w:tr w:rsidR="007D201C" w:rsidRPr="00EE1739" w14:paraId="3AF61098" w14:textId="77777777" w:rsidTr="007D201C">
        <w:trPr>
          <w:trHeight w:val="420"/>
        </w:trPr>
        <w:tc>
          <w:tcPr>
            <w:tcW w:w="3882" w:type="pct"/>
            <w:hideMark/>
          </w:tcPr>
          <w:p w14:paraId="3148C865" w14:textId="77777777" w:rsidR="007D201C" w:rsidRPr="0077324A" w:rsidRDefault="007D201C" w:rsidP="0025750E">
            <w:pPr>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Aplicar sistema de seguimiento y monitoreo de la ejecución presupuestaria con el fin de revisar la eficacia en la ejecución de la asignación presupuestaria.</w:t>
            </w:r>
          </w:p>
        </w:tc>
        <w:tc>
          <w:tcPr>
            <w:tcW w:w="224" w:type="pct"/>
            <w:hideMark/>
          </w:tcPr>
          <w:p w14:paraId="503C898E" w14:textId="77777777" w:rsidR="007D201C" w:rsidRPr="0077324A" w:rsidRDefault="007D201C" w:rsidP="0025750E">
            <w:pPr>
              <w:jc w:val="center"/>
              <w:rPr>
                <w:rFonts w:ascii="Calibri" w:eastAsia="Times New Roman" w:hAnsi="Calibri" w:cs="Times New Roman"/>
                <w:color w:val="000000"/>
                <w:sz w:val="18"/>
                <w:szCs w:val="18"/>
                <w:lang w:val="es-SV" w:eastAsia="es-SV"/>
              </w:rPr>
            </w:pPr>
          </w:p>
        </w:tc>
        <w:tc>
          <w:tcPr>
            <w:tcW w:w="224" w:type="pct"/>
          </w:tcPr>
          <w:p w14:paraId="3D75F5A3" w14:textId="77777777" w:rsidR="007D201C" w:rsidRPr="0077324A" w:rsidRDefault="007D201C" w:rsidP="0025750E">
            <w:pPr>
              <w:jc w:val="center"/>
              <w:rPr>
                <w:rFonts w:ascii="Calibri" w:eastAsia="Times New Roman" w:hAnsi="Calibri" w:cs="Times New Roman"/>
                <w:color w:val="000000"/>
                <w:sz w:val="18"/>
                <w:szCs w:val="18"/>
                <w:lang w:val="es-SV" w:eastAsia="es-SV"/>
              </w:rPr>
            </w:pPr>
          </w:p>
        </w:tc>
        <w:tc>
          <w:tcPr>
            <w:tcW w:w="224" w:type="pct"/>
          </w:tcPr>
          <w:p w14:paraId="715D3B03" w14:textId="77777777" w:rsidR="007D201C" w:rsidRPr="0077324A" w:rsidRDefault="007D201C" w:rsidP="0025750E">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20ADE943" w14:textId="77777777" w:rsidR="007D201C" w:rsidRPr="0077324A" w:rsidRDefault="007D201C" w:rsidP="0025750E">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4ADA7CE4" w14:textId="77777777" w:rsidR="007D201C" w:rsidRPr="0077324A" w:rsidRDefault="007D201C" w:rsidP="0025750E">
            <w:pPr>
              <w:jc w:val="center"/>
              <w:rPr>
                <w:rFonts w:ascii="Calibri" w:eastAsia="Times New Roman" w:hAnsi="Calibri" w:cs="Times New Roman"/>
                <w:color w:val="000000"/>
                <w:sz w:val="18"/>
                <w:szCs w:val="18"/>
                <w:lang w:val="es-SV" w:eastAsia="es-SV"/>
              </w:rPr>
            </w:pPr>
          </w:p>
        </w:tc>
      </w:tr>
      <w:tr w:rsidR="00D014C1" w:rsidRPr="00EE1739" w14:paraId="7FD8F4A0" w14:textId="77777777" w:rsidTr="007D201C">
        <w:trPr>
          <w:trHeight w:val="420"/>
        </w:trPr>
        <w:tc>
          <w:tcPr>
            <w:tcW w:w="3882" w:type="pct"/>
          </w:tcPr>
          <w:p w14:paraId="5D881B17" w14:textId="2F2E5985" w:rsidR="00D014C1" w:rsidRPr="0077324A" w:rsidRDefault="00D014C1" w:rsidP="0025750E">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eastAsia="es-SV"/>
              </w:rPr>
              <w:lastRenderedPageBreak/>
              <w:t>C</w:t>
            </w:r>
            <w:r w:rsidRPr="00D014C1">
              <w:rPr>
                <w:rFonts w:ascii="Calibri" w:eastAsia="Times New Roman" w:hAnsi="Calibri" w:cs="Times New Roman"/>
                <w:color w:val="000000"/>
                <w:sz w:val="18"/>
                <w:szCs w:val="18"/>
                <w:lang w:val="es-SV" w:eastAsia="es-SV"/>
              </w:rPr>
              <w:t>onstrucción de indicadores adecuados, que sean fiables y oportunos,  identificar las fuentes de información con las que se cuenta para la construcción de los mismos.</w:t>
            </w:r>
          </w:p>
        </w:tc>
        <w:tc>
          <w:tcPr>
            <w:tcW w:w="224" w:type="pct"/>
          </w:tcPr>
          <w:p w14:paraId="498416EC" w14:textId="77777777" w:rsidR="00D014C1" w:rsidRPr="0077324A" w:rsidRDefault="00D014C1" w:rsidP="0025750E">
            <w:pPr>
              <w:jc w:val="center"/>
              <w:rPr>
                <w:rFonts w:ascii="Calibri" w:eastAsia="Times New Roman" w:hAnsi="Calibri" w:cs="Times New Roman"/>
                <w:color w:val="000000"/>
                <w:sz w:val="18"/>
                <w:szCs w:val="18"/>
                <w:lang w:val="es-SV" w:eastAsia="es-SV"/>
              </w:rPr>
            </w:pPr>
          </w:p>
        </w:tc>
        <w:tc>
          <w:tcPr>
            <w:tcW w:w="224" w:type="pct"/>
          </w:tcPr>
          <w:p w14:paraId="6B704635" w14:textId="77777777" w:rsidR="00D014C1" w:rsidRPr="0077324A" w:rsidRDefault="00D014C1" w:rsidP="0025750E">
            <w:pPr>
              <w:jc w:val="center"/>
              <w:rPr>
                <w:rFonts w:ascii="Calibri" w:eastAsia="Times New Roman" w:hAnsi="Calibri" w:cs="Times New Roman"/>
                <w:color w:val="000000"/>
                <w:sz w:val="18"/>
                <w:szCs w:val="18"/>
                <w:lang w:val="es-SV" w:eastAsia="es-SV"/>
              </w:rPr>
            </w:pPr>
          </w:p>
        </w:tc>
        <w:tc>
          <w:tcPr>
            <w:tcW w:w="224" w:type="pct"/>
          </w:tcPr>
          <w:p w14:paraId="4D423D5D" w14:textId="77777777" w:rsidR="00D014C1" w:rsidRDefault="00D014C1" w:rsidP="0025750E">
            <w:pPr>
              <w:rPr>
                <w:rFonts w:ascii="Calibri" w:eastAsia="Times New Roman" w:hAnsi="Calibri" w:cs="Times New Roman"/>
                <w:color w:val="000000"/>
                <w:sz w:val="18"/>
                <w:szCs w:val="18"/>
                <w:lang w:val="es-SV" w:eastAsia="es-SV"/>
              </w:rPr>
            </w:pPr>
          </w:p>
        </w:tc>
        <w:tc>
          <w:tcPr>
            <w:tcW w:w="224" w:type="pct"/>
          </w:tcPr>
          <w:p w14:paraId="0138F806" w14:textId="77777777" w:rsidR="00D014C1" w:rsidRDefault="00D014C1" w:rsidP="0025750E">
            <w:pPr>
              <w:rPr>
                <w:rFonts w:ascii="Calibri" w:eastAsia="Times New Roman" w:hAnsi="Calibri" w:cs="Times New Roman"/>
                <w:color w:val="000000"/>
                <w:sz w:val="18"/>
                <w:szCs w:val="18"/>
                <w:lang w:val="es-SV" w:eastAsia="es-SV"/>
              </w:rPr>
            </w:pPr>
          </w:p>
        </w:tc>
        <w:tc>
          <w:tcPr>
            <w:tcW w:w="224" w:type="pct"/>
          </w:tcPr>
          <w:p w14:paraId="018FAC7D" w14:textId="77777777" w:rsidR="00D014C1" w:rsidRPr="0077324A" w:rsidRDefault="00D014C1" w:rsidP="0025750E">
            <w:pPr>
              <w:jc w:val="center"/>
              <w:rPr>
                <w:rFonts w:ascii="Calibri" w:eastAsia="Times New Roman" w:hAnsi="Calibri" w:cs="Times New Roman"/>
                <w:color w:val="000000"/>
                <w:sz w:val="18"/>
                <w:szCs w:val="18"/>
                <w:lang w:val="es-SV" w:eastAsia="es-SV"/>
              </w:rPr>
            </w:pPr>
          </w:p>
        </w:tc>
      </w:tr>
      <w:tr w:rsidR="007D201C" w:rsidRPr="00EE1739" w14:paraId="6941774A" w14:textId="77777777" w:rsidTr="007D201C">
        <w:trPr>
          <w:trHeight w:val="420"/>
        </w:trPr>
        <w:tc>
          <w:tcPr>
            <w:tcW w:w="3882" w:type="pct"/>
          </w:tcPr>
          <w:p w14:paraId="0CE761ED" w14:textId="77777777" w:rsidR="007D201C" w:rsidRPr="0077324A" w:rsidRDefault="007D201C" w:rsidP="00CB6B09">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Contraloría social para el seguimiento a la ejecución presupuestaria por las Organizaciones de sociedad civil.</w:t>
            </w:r>
          </w:p>
        </w:tc>
        <w:tc>
          <w:tcPr>
            <w:tcW w:w="224" w:type="pct"/>
          </w:tcPr>
          <w:p w14:paraId="23A4783F"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77A5D6BC"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302BDFF0"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1E3AB48F"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4D2D9888" w14:textId="77777777" w:rsidR="007D201C" w:rsidRPr="0077324A" w:rsidRDefault="007D201C"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r>
    </w:tbl>
    <w:p w14:paraId="0F8A4294" w14:textId="77777777" w:rsidR="005051AE" w:rsidRDefault="005051AE"/>
    <w:tbl>
      <w:tblPr>
        <w:tblStyle w:val="Tablaconcuadrcula"/>
        <w:tblW w:w="5000" w:type="pct"/>
        <w:tblLook w:val="04A0" w:firstRow="1" w:lastRow="0" w:firstColumn="1" w:lastColumn="0" w:noHBand="0" w:noVBand="1"/>
      </w:tblPr>
      <w:tblGrid>
        <w:gridCol w:w="2710"/>
        <w:gridCol w:w="2043"/>
        <w:gridCol w:w="2024"/>
        <w:gridCol w:w="2139"/>
        <w:gridCol w:w="1892"/>
        <w:gridCol w:w="2186"/>
      </w:tblGrid>
      <w:tr w:rsidR="005F7825" w:rsidRPr="0077324A" w14:paraId="67697335" w14:textId="77777777" w:rsidTr="00A307AC">
        <w:trPr>
          <w:trHeight w:val="610"/>
        </w:trPr>
        <w:tc>
          <w:tcPr>
            <w:tcW w:w="1043" w:type="pct"/>
            <w:shd w:val="clear" w:color="auto" w:fill="D5DCE4" w:themeFill="text2" w:themeFillTint="33"/>
            <w:hideMark/>
          </w:tcPr>
          <w:p w14:paraId="4628E26F" w14:textId="77777777" w:rsidR="005F7825" w:rsidRPr="0077324A" w:rsidRDefault="005F7825" w:rsidP="00312362">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 xml:space="preserve">Líneas de acción de la estrategia </w:t>
            </w:r>
          </w:p>
        </w:tc>
        <w:tc>
          <w:tcPr>
            <w:tcW w:w="786" w:type="pct"/>
            <w:shd w:val="clear" w:color="auto" w:fill="D5DCE4" w:themeFill="text2" w:themeFillTint="33"/>
            <w:hideMark/>
          </w:tcPr>
          <w:p w14:paraId="29839EC8" w14:textId="77777777" w:rsidR="005F7825" w:rsidRDefault="005F7825" w:rsidP="00312362">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Situación actual</w:t>
            </w:r>
          </w:p>
          <w:p w14:paraId="396F2C0F" w14:textId="77777777" w:rsidR="005F7825" w:rsidRPr="0077324A" w:rsidRDefault="005F7825" w:rsidP="00312362">
            <w:pPr>
              <w:rPr>
                <w:rFonts w:ascii="Calibri" w:eastAsia="Times New Roman" w:hAnsi="Calibri" w:cs="Times New Roman"/>
                <w:b/>
                <w:bCs/>
                <w:color w:val="000000"/>
                <w:sz w:val="18"/>
                <w:szCs w:val="18"/>
                <w:lang w:val="es-SV" w:eastAsia="es-SV"/>
              </w:rPr>
            </w:pPr>
          </w:p>
        </w:tc>
        <w:tc>
          <w:tcPr>
            <w:tcW w:w="779" w:type="pct"/>
            <w:shd w:val="clear" w:color="auto" w:fill="D5DCE4" w:themeFill="text2" w:themeFillTint="33"/>
            <w:hideMark/>
          </w:tcPr>
          <w:p w14:paraId="78FA0746" w14:textId="77777777" w:rsidR="005F7825" w:rsidRPr="0077324A" w:rsidRDefault="005F7825" w:rsidP="00312362">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 xml:space="preserve">Oportunidades </w:t>
            </w:r>
          </w:p>
          <w:p w14:paraId="2AF601BD" w14:textId="77777777" w:rsidR="005F7825" w:rsidRPr="0077324A" w:rsidRDefault="005F7825" w:rsidP="00312362">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color w:val="000000"/>
                <w:sz w:val="18"/>
                <w:szCs w:val="18"/>
                <w:lang w:val="es-SV" w:eastAsia="es-SV"/>
              </w:rPr>
              <w:t> </w:t>
            </w:r>
          </w:p>
        </w:tc>
        <w:tc>
          <w:tcPr>
            <w:tcW w:w="823" w:type="pct"/>
            <w:shd w:val="clear" w:color="auto" w:fill="D5DCE4" w:themeFill="text2" w:themeFillTint="33"/>
            <w:hideMark/>
          </w:tcPr>
          <w:p w14:paraId="3AAD8C7F" w14:textId="77777777" w:rsidR="005F7825" w:rsidRPr="0077324A" w:rsidRDefault="005F7825" w:rsidP="00312362">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Desafíos</w:t>
            </w:r>
          </w:p>
        </w:tc>
        <w:tc>
          <w:tcPr>
            <w:tcW w:w="728" w:type="pct"/>
            <w:shd w:val="clear" w:color="auto" w:fill="D5DCE4" w:themeFill="text2" w:themeFillTint="33"/>
            <w:hideMark/>
          </w:tcPr>
          <w:p w14:paraId="2EF3C000" w14:textId="77777777" w:rsidR="005F7825" w:rsidRPr="0077324A" w:rsidRDefault="005F7825" w:rsidP="00312362">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 xml:space="preserve"> Meta (en base a brechas y prioridades) </w:t>
            </w:r>
          </w:p>
        </w:tc>
        <w:tc>
          <w:tcPr>
            <w:tcW w:w="841" w:type="pct"/>
            <w:shd w:val="clear" w:color="auto" w:fill="D5DCE4" w:themeFill="text2" w:themeFillTint="33"/>
            <w:hideMark/>
          </w:tcPr>
          <w:p w14:paraId="58198E00" w14:textId="77777777" w:rsidR="005F7825" w:rsidRPr="0077324A" w:rsidRDefault="005F7825" w:rsidP="00312362">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Responsables de actividades</w:t>
            </w:r>
          </w:p>
        </w:tc>
      </w:tr>
      <w:tr w:rsidR="005051AE" w:rsidRPr="00EE1739" w14:paraId="20CAE78B" w14:textId="77777777" w:rsidTr="005051AE">
        <w:trPr>
          <w:trHeight w:val="2700"/>
        </w:trPr>
        <w:tc>
          <w:tcPr>
            <w:tcW w:w="1043" w:type="pct"/>
            <w:hideMark/>
          </w:tcPr>
          <w:p w14:paraId="5375B6F5" w14:textId="5906E89C" w:rsidR="00EE1739" w:rsidRPr="0077324A" w:rsidRDefault="00EE1739" w:rsidP="0025750E">
            <w:pP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3.</w:t>
            </w:r>
            <w:r w:rsidR="0025750E">
              <w:rPr>
                <w:rFonts w:ascii="Calibri" w:eastAsia="Times New Roman" w:hAnsi="Calibri" w:cs="Times New Roman"/>
                <w:b/>
                <w:bCs/>
                <w:color w:val="000000"/>
                <w:sz w:val="18"/>
                <w:szCs w:val="18"/>
                <w:lang w:val="es-SV" w:eastAsia="es-SV"/>
              </w:rPr>
              <w:t xml:space="preserve"> Redireccionar recursos de contri</w:t>
            </w:r>
            <w:r w:rsidR="00D014C1">
              <w:rPr>
                <w:rFonts w:ascii="Calibri" w:eastAsia="Times New Roman" w:hAnsi="Calibri" w:cs="Times New Roman"/>
                <w:b/>
                <w:bCs/>
                <w:color w:val="000000"/>
                <w:sz w:val="18"/>
                <w:szCs w:val="18"/>
                <w:lang w:val="es-SV" w:eastAsia="es-SV"/>
              </w:rPr>
              <w:t>buciones existentes (Ejemplo FO</w:t>
            </w:r>
            <w:r w:rsidR="0025750E">
              <w:rPr>
                <w:rFonts w:ascii="Calibri" w:eastAsia="Times New Roman" w:hAnsi="Calibri" w:cs="Times New Roman"/>
                <w:b/>
                <w:bCs/>
                <w:color w:val="000000"/>
                <w:sz w:val="18"/>
                <w:szCs w:val="18"/>
                <w:lang w:val="es-SV" w:eastAsia="es-SV"/>
              </w:rPr>
              <w:t xml:space="preserve">SALUD) </w:t>
            </w:r>
          </w:p>
        </w:tc>
        <w:tc>
          <w:tcPr>
            <w:tcW w:w="786" w:type="pct"/>
            <w:hideMark/>
          </w:tcPr>
          <w:p w14:paraId="65F8B4C3" w14:textId="77777777" w:rsidR="00EE1739" w:rsidRPr="0077324A" w:rsidRDefault="00EE1739" w:rsidP="0025750E">
            <w:pPr>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 xml:space="preserve">El desempeño económico del país presenta tasas de crecimientos muy bajas que permitan pensar la factibilidad de </w:t>
            </w:r>
            <w:r w:rsidR="0025750E">
              <w:rPr>
                <w:rFonts w:ascii="Calibri" w:eastAsia="Times New Roman" w:hAnsi="Calibri" w:cs="Times New Roman"/>
                <w:color w:val="000000"/>
                <w:sz w:val="18"/>
                <w:szCs w:val="18"/>
                <w:lang w:val="es-SV" w:eastAsia="es-SV"/>
              </w:rPr>
              <w:t>redireccionar recursos de contribuciones existentes</w:t>
            </w:r>
            <w:r w:rsidRPr="0077324A">
              <w:rPr>
                <w:rFonts w:ascii="Calibri" w:eastAsia="Times New Roman" w:hAnsi="Calibri" w:cs="Times New Roman"/>
                <w:color w:val="000000"/>
                <w:sz w:val="18"/>
                <w:szCs w:val="18"/>
                <w:lang w:val="es-SV" w:eastAsia="es-SV"/>
              </w:rPr>
              <w:t>, sin que ello genere variaciones en las condiciones de pobreza de la población.</w:t>
            </w:r>
          </w:p>
        </w:tc>
        <w:tc>
          <w:tcPr>
            <w:tcW w:w="779" w:type="pct"/>
            <w:hideMark/>
          </w:tcPr>
          <w:p w14:paraId="113B7BED" w14:textId="77777777" w:rsidR="00EE1739" w:rsidRPr="0077324A" w:rsidRDefault="00EE1739" w:rsidP="0077324A">
            <w:pPr>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La proximidad que la cooperación para VIH cierre su contribución al país puede impulsar un proceso de ver el impacto económico que puede presentar el no cubrir las brechas financieras para el VIH.</w:t>
            </w:r>
          </w:p>
        </w:tc>
        <w:tc>
          <w:tcPr>
            <w:tcW w:w="823" w:type="pct"/>
            <w:hideMark/>
          </w:tcPr>
          <w:p w14:paraId="320DF9D5" w14:textId="77777777" w:rsidR="0025750E" w:rsidRPr="0077324A" w:rsidRDefault="0025750E" w:rsidP="00EE173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Cabildeo político para redireccionar recursos para VIH de contribuciones existentes con MINSAL, Ministerio de Hacienda, y Asamblea Legislativa y mostrar las ventajas de redireccionar impuestos para mejorar la vida de las personas con VIH.</w:t>
            </w:r>
          </w:p>
        </w:tc>
        <w:tc>
          <w:tcPr>
            <w:tcW w:w="728" w:type="pct"/>
            <w:hideMark/>
          </w:tcPr>
          <w:p w14:paraId="5D3625D6" w14:textId="77777777" w:rsidR="00C31D6A" w:rsidRDefault="00C31D6A" w:rsidP="0077324A">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 xml:space="preserve">Análisis técnico financiera para la redirección de recursos de contribuciones existentes. </w:t>
            </w:r>
          </w:p>
          <w:p w14:paraId="01566B32" w14:textId="77777777" w:rsidR="00EE1739" w:rsidRPr="0077324A" w:rsidRDefault="00C31D6A" w:rsidP="0077324A">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Fuente de redirección de recursos identificada.</w:t>
            </w:r>
          </w:p>
        </w:tc>
        <w:tc>
          <w:tcPr>
            <w:tcW w:w="841" w:type="pct"/>
            <w:hideMark/>
          </w:tcPr>
          <w:p w14:paraId="6B5B1894" w14:textId="77777777" w:rsidR="00EE1739" w:rsidRPr="0077324A" w:rsidRDefault="00EE1739" w:rsidP="0077324A">
            <w:pPr>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MINSAL, ISSS, SM, BM, FOSALUD, Programa Nacional de VIH e ITS, Asamblea Legislativa, Ministerio de Hacienda, SETEPLAN, Organizaciones de Sociedad Civil y Organizaciones del Sector Privado.</w:t>
            </w:r>
          </w:p>
        </w:tc>
      </w:tr>
    </w:tbl>
    <w:p w14:paraId="23219597" w14:textId="77777777" w:rsidR="00C174CF" w:rsidRDefault="00C174CF"/>
    <w:tbl>
      <w:tblPr>
        <w:tblStyle w:val="Tablaconcuadrcula"/>
        <w:tblW w:w="5000" w:type="pct"/>
        <w:tblLook w:val="04A0" w:firstRow="1" w:lastRow="0" w:firstColumn="1" w:lastColumn="0" w:noHBand="0" w:noVBand="1"/>
      </w:tblPr>
      <w:tblGrid>
        <w:gridCol w:w="10008"/>
        <w:gridCol w:w="662"/>
        <w:gridCol w:w="581"/>
        <w:gridCol w:w="581"/>
        <w:gridCol w:w="581"/>
        <w:gridCol w:w="581"/>
      </w:tblGrid>
      <w:tr w:rsidR="005E5E8F" w:rsidRPr="00EE1739" w14:paraId="3D487449" w14:textId="77777777" w:rsidTr="005E5E8F">
        <w:trPr>
          <w:trHeight w:val="352"/>
        </w:trPr>
        <w:tc>
          <w:tcPr>
            <w:tcW w:w="3852" w:type="pct"/>
          </w:tcPr>
          <w:p w14:paraId="5A749061" w14:textId="77777777" w:rsidR="005E5E8F" w:rsidRPr="00F925A9" w:rsidRDefault="005E5E8F"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Acciones / Periodo de ejecución</w:t>
            </w:r>
          </w:p>
        </w:tc>
        <w:tc>
          <w:tcPr>
            <w:tcW w:w="258" w:type="pct"/>
          </w:tcPr>
          <w:p w14:paraId="44D3C0DD" w14:textId="77777777" w:rsidR="005E5E8F" w:rsidRPr="00F925A9" w:rsidRDefault="005E5E8F"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2019</w:t>
            </w:r>
          </w:p>
          <w:p w14:paraId="0A9AC025" w14:textId="77777777" w:rsidR="005E5E8F" w:rsidRPr="00F925A9" w:rsidRDefault="005E5E8F" w:rsidP="0025750E">
            <w:pPr>
              <w:jc w:val="center"/>
              <w:rPr>
                <w:rFonts w:ascii="Calibri" w:eastAsia="Times New Roman" w:hAnsi="Calibri" w:cs="Times New Roman"/>
                <w:b/>
                <w:color w:val="000000"/>
                <w:sz w:val="18"/>
                <w:szCs w:val="18"/>
                <w:lang w:val="es-SV" w:eastAsia="es-SV"/>
              </w:rPr>
            </w:pPr>
          </w:p>
        </w:tc>
        <w:tc>
          <w:tcPr>
            <w:tcW w:w="222" w:type="pct"/>
          </w:tcPr>
          <w:p w14:paraId="6DCA0775" w14:textId="77777777" w:rsidR="005E5E8F" w:rsidRPr="00F925A9" w:rsidRDefault="005E5E8F" w:rsidP="0025750E">
            <w:pP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2020</w:t>
            </w:r>
          </w:p>
        </w:tc>
        <w:tc>
          <w:tcPr>
            <w:tcW w:w="222" w:type="pct"/>
          </w:tcPr>
          <w:p w14:paraId="7A8D004C" w14:textId="77777777" w:rsidR="005E5E8F" w:rsidRPr="00F925A9" w:rsidRDefault="005E5E8F"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2021</w:t>
            </w:r>
          </w:p>
          <w:p w14:paraId="0E5159ED" w14:textId="77777777" w:rsidR="005E5E8F" w:rsidRPr="00F925A9" w:rsidRDefault="005E5E8F" w:rsidP="0025750E">
            <w:pPr>
              <w:jc w:val="center"/>
              <w:rPr>
                <w:rFonts w:ascii="Calibri" w:eastAsia="Times New Roman" w:hAnsi="Calibri" w:cs="Times New Roman"/>
                <w:b/>
                <w:color w:val="000000"/>
                <w:sz w:val="18"/>
                <w:szCs w:val="18"/>
                <w:lang w:val="es-SV" w:eastAsia="es-SV"/>
              </w:rPr>
            </w:pPr>
          </w:p>
        </w:tc>
        <w:tc>
          <w:tcPr>
            <w:tcW w:w="222" w:type="pct"/>
          </w:tcPr>
          <w:p w14:paraId="61F38561" w14:textId="77777777" w:rsidR="005E5E8F" w:rsidRPr="00F925A9" w:rsidRDefault="005E5E8F"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2022</w:t>
            </w:r>
          </w:p>
          <w:p w14:paraId="5650C17D" w14:textId="77777777" w:rsidR="005E5E8F" w:rsidRPr="00F925A9" w:rsidRDefault="005E5E8F" w:rsidP="0025750E">
            <w:pPr>
              <w:jc w:val="center"/>
              <w:rPr>
                <w:rFonts w:ascii="Calibri" w:eastAsia="Times New Roman" w:hAnsi="Calibri" w:cs="Times New Roman"/>
                <w:b/>
                <w:color w:val="000000"/>
                <w:sz w:val="18"/>
                <w:szCs w:val="18"/>
                <w:lang w:val="es-SV" w:eastAsia="es-SV"/>
              </w:rPr>
            </w:pPr>
          </w:p>
        </w:tc>
        <w:tc>
          <w:tcPr>
            <w:tcW w:w="222" w:type="pct"/>
          </w:tcPr>
          <w:p w14:paraId="731BBDC9" w14:textId="77777777" w:rsidR="005E5E8F" w:rsidRPr="00F925A9" w:rsidRDefault="005E5E8F"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2023</w:t>
            </w:r>
          </w:p>
          <w:p w14:paraId="0A4CBF02" w14:textId="77777777" w:rsidR="005E5E8F" w:rsidRPr="00F925A9" w:rsidRDefault="005E5E8F" w:rsidP="0025750E">
            <w:pPr>
              <w:jc w:val="center"/>
              <w:rPr>
                <w:rFonts w:ascii="Calibri" w:eastAsia="Times New Roman" w:hAnsi="Calibri" w:cs="Times New Roman"/>
                <w:b/>
                <w:color w:val="000000"/>
                <w:sz w:val="18"/>
                <w:szCs w:val="18"/>
                <w:lang w:val="es-SV" w:eastAsia="es-SV"/>
              </w:rPr>
            </w:pPr>
          </w:p>
        </w:tc>
      </w:tr>
      <w:tr w:rsidR="005E5E8F" w:rsidRPr="00EE1739" w14:paraId="7F735F23" w14:textId="77777777" w:rsidTr="005E5E8F">
        <w:trPr>
          <w:trHeight w:val="344"/>
        </w:trPr>
        <w:tc>
          <w:tcPr>
            <w:tcW w:w="3852" w:type="pct"/>
          </w:tcPr>
          <w:p w14:paraId="1FA1F614" w14:textId="77777777" w:rsidR="005E5E8F" w:rsidRPr="0077324A" w:rsidRDefault="005E5E8F" w:rsidP="00CB6B09">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 xml:space="preserve">Hacer un mapeo de posibles fuentes de redirección de recursos de contribuciones especiales existentes. </w:t>
            </w:r>
          </w:p>
        </w:tc>
        <w:tc>
          <w:tcPr>
            <w:tcW w:w="258" w:type="pct"/>
          </w:tcPr>
          <w:p w14:paraId="236A23C6" w14:textId="77777777" w:rsidR="005E5E8F" w:rsidRPr="0077324A" w:rsidRDefault="005E5E8F"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2" w:type="pct"/>
          </w:tcPr>
          <w:p w14:paraId="39EB39D9" w14:textId="77777777" w:rsidR="005E5E8F" w:rsidRPr="0077324A" w:rsidRDefault="005E5E8F" w:rsidP="00CB6B0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2" w:type="pct"/>
          </w:tcPr>
          <w:p w14:paraId="10170849" w14:textId="77777777" w:rsidR="005E5E8F" w:rsidRPr="0077324A" w:rsidRDefault="005E5E8F" w:rsidP="00CB6B09">
            <w:pPr>
              <w:jc w:val="center"/>
              <w:rPr>
                <w:rFonts w:ascii="Calibri" w:eastAsia="Times New Roman" w:hAnsi="Calibri" w:cs="Times New Roman"/>
                <w:color w:val="000000"/>
                <w:sz w:val="18"/>
                <w:szCs w:val="18"/>
                <w:lang w:val="es-SV" w:eastAsia="es-SV"/>
              </w:rPr>
            </w:pPr>
          </w:p>
        </w:tc>
        <w:tc>
          <w:tcPr>
            <w:tcW w:w="222" w:type="pct"/>
          </w:tcPr>
          <w:p w14:paraId="5EA592D0" w14:textId="77777777" w:rsidR="005E5E8F" w:rsidRDefault="005E5E8F" w:rsidP="00CB6B09">
            <w:pPr>
              <w:rPr>
                <w:rFonts w:ascii="Calibri" w:eastAsia="Times New Roman" w:hAnsi="Calibri" w:cs="Times New Roman"/>
                <w:color w:val="000000"/>
                <w:sz w:val="18"/>
                <w:szCs w:val="18"/>
                <w:lang w:val="es-SV" w:eastAsia="es-SV"/>
              </w:rPr>
            </w:pPr>
          </w:p>
        </w:tc>
        <w:tc>
          <w:tcPr>
            <w:tcW w:w="222" w:type="pct"/>
          </w:tcPr>
          <w:p w14:paraId="10FE1B8B" w14:textId="77777777" w:rsidR="005E5E8F" w:rsidRPr="0077324A" w:rsidRDefault="005E5E8F" w:rsidP="00CB6B09">
            <w:pPr>
              <w:jc w:val="center"/>
              <w:rPr>
                <w:rFonts w:ascii="Calibri" w:eastAsia="Times New Roman" w:hAnsi="Calibri" w:cs="Times New Roman"/>
                <w:color w:val="000000"/>
                <w:sz w:val="18"/>
                <w:szCs w:val="18"/>
                <w:lang w:val="es-SV" w:eastAsia="es-SV"/>
              </w:rPr>
            </w:pPr>
          </w:p>
        </w:tc>
      </w:tr>
      <w:tr w:rsidR="005E5E8F" w:rsidRPr="00EE1739" w14:paraId="01D00A5C" w14:textId="77777777" w:rsidTr="005E5E8F">
        <w:trPr>
          <w:trHeight w:val="344"/>
        </w:trPr>
        <w:tc>
          <w:tcPr>
            <w:tcW w:w="3852" w:type="pct"/>
            <w:hideMark/>
          </w:tcPr>
          <w:p w14:paraId="0815B209" w14:textId="77777777" w:rsidR="005E5E8F" w:rsidRPr="0077324A" w:rsidRDefault="005E5E8F" w:rsidP="00C64313">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eastAsia="es-SV"/>
              </w:rPr>
              <w:t xml:space="preserve">Elaboración de propuesta técnica y financiera para redireccionar recursos de contribuciones especiales existentes. </w:t>
            </w:r>
          </w:p>
        </w:tc>
        <w:tc>
          <w:tcPr>
            <w:tcW w:w="258" w:type="pct"/>
            <w:hideMark/>
          </w:tcPr>
          <w:p w14:paraId="435BC189" w14:textId="77777777" w:rsidR="005E5E8F" w:rsidRPr="0077324A" w:rsidRDefault="005E5E8F" w:rsidP="0025750E">
            <w:pPr>
              <w:jc w:val="center"/>
              <w:rPr>
                <w:rFonts w:ascii="Calibri" w:eastAsia="Times New Roman" w:hAnsi="Calibri" w:cs="Times New Roman"/>
                <w:color w:val="000000"/>
                <w:sz w:val="18"/>
                <w:szCs w:val="18"/>
                <w:lang w:val="es-SV" w:eastAsia="es-SV"/>
              </w:rPr>
            </w:pPr>
          </w:p>
        </w:tc>
        <w:tc>
          <w:tcPr>
            <w:tcW w:w="222" w:type="pct"/>
          </w:tcPr>
          <w:p w14:paraId="321C7C70" w14:textId="77777777" w:rsidR="005E5E8F" w:rsidRPr="0077324A" w:rsidRDefault="005E5E8F" w:rsidP="0025750E">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2" w:type="pct"/>
          </w:tcPr>
          <w:p w14:paraId="09DE9C19" w14:textId="77777777" w:rsidR="005E5E8F" w:rsidRPr="0077324A" w:rsidRDefault="005E5E8F" w:rsidP="0025750E">
            <w:pPr>
              <w:jc w:val="center"/>
              <w:rPr>
                <w:rFonts w:ascii="Calibri" w:eastAsia="Times New Roman" w:hAnsi="Calibri" w:cs="Times New Roman"/>
                <w:color w:val="000000"/>
                <w:sz w:val="18"/>
                <w:szCs w:val="18"/>
                <w:lang w:val="es-SV" w:eastAsia="es-SV"/>
              </w:rPr>
            </w:pPr>
          </w:p>
        </w:tc>
        <w:tc>
          <w:tcPr>
            <w:tcW w:w="222" w:type="pct"/>
          </w:tcPr>
          <w:p w14:paraId="3C172288" w14:textId="77777777" w:rsidR="005E5E8F" w:rsidRPr="0077324A" w:rsidRDefault="005E5E8F" w:rsidP="0025750E">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2" w:type="pct"/>
          </w:tcPr>
          <w:p w14:paraId="5E947EC4" w14:textId="77777777" w:rsidR="005E5E8F" w:rsidRPr="0077324A" w:rsidRDefault="005E5E8F" w:rsidP="0025750E">
            <w:pPr>
              <w:jc w:val="center"/>
              <w:rPr>
                <w:rFonts w:ascii="Calibri" w:eastAsia="Times New Roman" w:hAnsi="Calibri" w:cs="Times New Roman"/>
                <w:color w:val="000000"/>
                <w:sz w:val="18"/>
                <w:szCs w:val="18"/>
                <w:lang w:val="es-SV" w:eastAsia="es-SV"/>
              </w:rPr>
            </w:pPr>
          </w:p>
        </w:tc>
      </w:tr>
      <w:tr w:rsidR="005E5E8F" w:rsidRPr="00EE1739" w14:paraId="3155C3FB" w14:textId="77777777" w:rsidTr="005E5E8F">
        <w:trPr>
          <w:trHeight w:val="367"/>
        </w:trPr>
        <w:tc>
          <w:tcPr>
            <w:tcW w:w="3852" w:type="pct"/>
            <w:hideMark/>
          </w:tcPr>
          <w:p w14:paraId="252A2724" w14:textId="77777777" w:rsidR="005E5E8F" w:rsidRPr="0077324A" w:rsidRDefault="005E5E8F" w:rsidP="0025750E">
            <w:pPr>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Establecer un mecanismo de diálogo político para abordar el financiamiento específico para el VIH.</w:t>
            </w:r>
          </w:p>
        </w:tc>
        <w:tc>
          <w:tcPr>
            <w:tcW w:w="258" w:type="pct"/>
            <w:hideMark/>
          </w:tcPr>
          <w:p w14:paraId="5D2C6100" w14:textId="77777777" w:rsidR="005E5E8F" w:rsidRPr="0077324A" w:rsidRDefault="005E5E8F" w:rsidP="0025750E">
            <w:pPr>
              <w:jc w:val="center"/>
              <w:rPr>
                <w:rFonts w:ascii="Calibri" w:eastAsia="Times New Roman" w:hAnsi="Calibri" w:cs="Times New Roman"/>
                <w:color w:val="000000"/>
                <w:sz w:val="18"/>
                <w:szCs w:val="18"/>
                <w:lang w:val="es-SV" w:eastAsia="es-SV"/>
              </w:rPr>
            </w:pPr>
          </w:p>
        </w:tc>
        <w:tc>
          <w:tcPr>
            <w:tcW w:w="222" w:type="pct"/>
          </w:tcPr>
          <w:p w14:paraId="0A923470" w14:textId="77777777" w:rsidR="005E5E8F" w:rsidRPr="0077324A" w:rsidRDefault="005E5E8F" w:rsidP="0025750E">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2" w:type="pct"/>
          </w:tcPr>
          <w:p w14:paraId="25F274B2" w14:textId="77777777" w:rsidR="005E5E8F" w:rsidRPr="0077324A" w:rsidRDefault="005E5E8F" w:rsidP="0025750E">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2" w:type="pct"/>
          </w:tcPr>
          <w:p w14:paraId="6173997E" w14:textId="77777777" w:rsidR="005E5E8F" w:rsidRPr="0077324A" w:rsidRDefault="005E5E8F" w:rsidP="0025750E">
            <w:pPr>
              <w:jc w:val="center"/>
              <w:rPr>
                <w:rFonts w:ascii="Calibri" w:eastAsia="Times New Roman" w:hAnsi="Calibri" w:cs="Times New Roman"/>
                <w:color w:val="000000"/>
                <w:sz w:val="18"/>
                <w:szCs w:val="18"/>
                <w:lang w:val="es-SV" w:eastAsia="es-SV"/>
              </w:rPr>
            </w:pPr>
          </w:p>
        </w:tc>
        <w:tc>
          <w:tcPr>
            <w:tcW w:w="222" w:type="pct"/>
          </w:tcPr>
          <w:p w14:paraId="2AD465E5" w14:textId="77777777" w:rsidR="005E5E8F" w:rsidRPr="0077324A" w:rsidRDefault="005E5E8F" w:rsidP="0025750E">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r>
      <w:tr w:rsidR="005E5E8F" w:rsidRPr="00EE1739" w14:paraId="689590E8" w14:textId="77777777" w:rsidTr="005E5E8F">
        <w:trPr>
          <w:trHeight w:val="419"/>
        </w:trPr>
        <w:tc>
          <w:tcPr>
            <w:tcW w:w="3852" w:type="pct"/>
            <w:hideMark/>
          </w:tcPr>
          <w:p w14:paraId="424C3A18" w14:textId="77777777" w:rsidR="005E5E8F" w:rsidRPr="0077324A" w:rsidRDefault="005E5E8F" w:rsidP="0025750E">
            <w:pPr>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Incorporar iniciativas conjuntas (actores del dialogo político) de ley para la generación de mecanismos específicos de financiamiento para el VIH.</w:t>
            </w:r>
          </w:p>
        </w:tc>
        <w:tc>
          <w:tcPr>
            <w:tcW w:w="258" w:type="pct"/>
            <w:hideMark/>
          </w:tcPr>
          <w:p w14:paraId="015D7042" w14:textId="77777777" w:rsidR="005E5E8F" w:rsidRPr="0077324A" w:rsidRDefault="005E5E8F" w:rsidP="0025750E">
            <w:pPr>
              <w:jc w:val="center"/>
              <w:rPr>
                <w:rFonts w:ascii="Calibri" w:eastAsia="Times New Roman" w:hAnsi="Calibri" w:cs="Times New Roman"/>
                <w:color w:val="000000"/>
                <w:sz w:val="18"/>
                <w:szCs w:val="18"/>
                <w:lang w:val="es-SV" w:eastAsia="es-SV"/>
              </w:rPr>
            </w:pPr>
          </w:p>
        </w:tc>
        <w:tc>
          <w:tcPr>
            <w:tcW w:w="222" w:type="pct"/>
          </w:tcPr>
          <w:p w14:paraId="78A836AA" w14:textId="77777777" w:rsidR="005E5E8F" w:rsidRPr="0077324A" w:rsidRDefault="005E5E8F" w:rsidP="0025750E">
            <w:pPr>
              <w:jc w:val="center"/>
              <w:rPr>
                <w:rFonts w:ascii="Calibri" w:eastAsia="Times New Roman" w:hAnsi="Calibri" w:cs="Times New Roman"/>
                <w:color w:val="000000"/>
                <w:sz w:val="18"/>
                <w:szCs w:val="18"/>
                <w:lang w:val="es-SV" w:eastAsia="es-SV"/>
              </w:rPr>
            </w:pPr>
          </w:p>
        </w:tc>
        <w:tc>
          <w:tcPr>
            <w:tcW w:w="222" w:type="pct"/>
          </w:tcPr>
          <w:p w14:paraId="68461BC8" w14:textId="77777777" w:rsidR="005E5E8F" w:rsidRPr="0077324A" w:rsidRDefault="005E5E8F" w:rsidP="0025750E">
            <w:pPr>
              <w:jc w:val="center"/>
              <w:rPr>
                <w:rFonts w:ascii="Calibri" w:eastAsia="Times New Roman" w:hAnsi="Calibri" w:cs="Times New Roman"/>
                <w:color w:val="000000"/>
                <w:sz w:val="18"/>
                <w:szCs w:val="18"/>
                <w:lang w:val="es-SV" w:eastAsia="es-SV"/>
              </w:rPr>
            </w:pPr>
          </w:p>
        </w:tc>
        <w:tc>
          <w:tcPr>
            <w:tcW w:w="222" w:type="pct"/>
          </w:tcPr>
          <w:p w14:paraId="64A4AEFB" w14:textId="77777777" w:rsidR="005E5E8F" w:rsidRPr="0077324A" w:rsidRDefault="005E5E8F" w:rsidP="0025750E">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2" w:type="pct"/>
          </w:tcPr>
          <w:p w14:paraId="1CD9BF88" w14:textId="77777777" w:rsidR="005E5E8F" w:rsidRPr="0077324A" w:rsidRDefault="005E5E8F" w:rsidP="0025750E">
            <w:pPr>
              <w:jc w:val="center"/>
              <w:rPr>
                <w:rFonts w:ascii="Calibri" w:eastAsia="Times New Roman" w:hAnsi="Calibri" w:cs="Times New Roman"/>
                <w:color w:val="000000"/>
                <w:sz w:val="18"/>
                <w:szCs w:val="18"/>
                <w:lang w:val="es-SV" w:eastAsia="es-SV"/>
              </w:rPr>
            </w:pPr>
          </w:p>
        </w:tc>
      </w:tr>
    </w:tbl>
    <w:p w14:paraId="4CE4FF94" w14:textId="77777777" w:rsidR="004240EE" w:rsidRDefault="004240EE"/>
    <w:p w14:paraId="082DAECE" w14:textId="77777777" w:rsidR="00A307AC" w:rsidRDefault="00A307AC"/>
    <w:p w14:paraId="5B97C6BD" w14:textId="77777777" w:rsidR="00A307AC" w:rsidRDefault="00A307AC"/>
    <w:p w14:paraId="495010E8" w14:textId="45C87C2C" w:rsidR="00A307AC" w:rsidRDefault="00A307AC"/>
    <w:tbl>
      <w:tblPr>
        <w:tblStyle w:val="Tablaconcuadrcula"/>
        <w:tblW w:w="5000" w:type="pct"/>
        <w:tblLook w:val="04A0" w:firstRow="1" w:lastRow="0" w:firstColumn="1" w:lastColumn="0" w:noHBand="0" w:noVBand="1"/>
      </w:tblPr>
      <w:tblGrid>
        <w:gridCol w:w="2710"/>
        <w:gridCol w:w="2043"/>
        <w:gridCol w:w="2024"/>
        <w:gridCol w:w="2139"/>
        <w:gridCol w:w="1892"/>
        <w:gridCol w:w="2186"/>
      </w:tblGrid>
      <w:tr w:rsidR="005F7825" w:rsidRPr="0077324A" w14:paraId="78669F4C" w14:textId="77777777" w:rsidTr="00A307AC">
        <w:trPr>
          <w:trHeight w:val="610"/>
        </w:trPr>
        <w:tc>
          <w:tcPr>
            <w:tcW w:w="1043" w:type="pct"/>
            <w:shd w:val="clear" w:color="auto" w:fill="D5DCE4" w:themeFill="text2" w:themeFillTint="33"/>
            <w:hideMark/>
          </w:tcPr>
          <w:p w14:paraId="1FA55D44" w14:textId="77777777" w:rsidR="005F7825" w:rsidRPr="0077324A" w:rsidRDefault="005F7825" w:rsidP="00312362">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lastRenderedPageBreak/>
              <w:t xml:space="preserve">Líneas de acción de la estrategia </w:t>
            </w:r>
          </w:p>
        </w:tc>
        <w:tc>
          <w:tcPr>
            <w:tcW w:w="786" w:type="pct"/>
            <w:shd w:val="clear" w:color="auto" w:fill="D5DCE4" w:themeFill="text2" w:themeFillTint="33"/>
            <w:hideMark/>
          </w:tcPr>
          <w:p w14:paraId="25F7AA09" w14:textId="77777777" w:rsidR="005F7825" w:rsidRDefault="005F7825" w:rsidP="00312362">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Situación actual</w:t>
            </w:r>
          </w:p>
          <w:p w14:paraId="2942D4D1" w14:textId="77777777" w:rsidR="005F7825" w:rsidRPr="0077324A" w:rsidRDefault="005F7825" w:rsidP="00312362">
            <w:pPr>
              <w:rPr>
                <w:rFonts w:ascii="Calibri" w:eastAsia="Times New Roman" w:hAnsi="Calibri" w:cs="Times New Roman"/>
                <w:b/>
                <w:bCs/>
                <w:color w:val="000000"/>
                <w:sz w:val="18"/>
                <w:szCs w:val="18"/>
                <w:lang w:val="es-SV" w:eastAsia="es-SV"/>
              </w:rPr>
            </w:pPr>
          </w:p>
        </w:tc>
        <w:tc>
          <w:tcPr>
            <w:tcW w:w="779" w:type="pct"/>
            <w:shd w:val="clear" w:color="auto" w:fill="D5DCE4" w:themeFill="text2" w:themeFillTint="33"/>
            <w:hideMark/>
          </w:tcPr>
          <w:p w14:paraId="03EB1C96" w14:textId="77777777" w:rsidR="005F7825" w:rsidRPr="0077324A" w:rsidRDefault="005F7825" w:rsidP="00312362">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 xml:space="preserve">Oportunidades </w:t>
            </w:r>
          </w:p>
          <w:p w14:paraId="6DB464FB" w14:textId="77777777" w:rsidR="005F7825" w:rsidRPr="0077324A" w:rsidRDefault="005F7825" w:rsidP="00312362">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color w:val="000000"/>
                <w:sz w:val="18"/>
                <w:szCs w:val="18"/>
                <w:lang w:val="es-SV" w:eastAsia="es-SV"/>
              </w:rPr>
              <w:t> </w:t>
            </w:r>
          </w:p>
        </w:tc>
        <w:tc>
          <w:tcPr>
            <w:tcW w:w="823" w:type="pct"/>
            <w:shd w:val="clear" w:color="auto" w:fill="D5DCE4" w:themeFill="text2" w:themeFillTint="33"/>
            <w:hideMark/>
          </w:tcPr>
          <w:p w14:paraId="3C92DDC1" w14:textId="77777777" w:rsidR="005F7825" w:rsidRPr="0077324A" w:rsidRDefault="005F7825" w:rsidP="00312362">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Desafíos</w:t>
            </w:r>
          </w:p>
        </w:tc>
        <w:tc>
          <w:tcPr>
            <w:tcW w:w="728" w:type="pct"/>
            <w:shd w:val="clear" w:color="auto" w:fill="D5DCE4" w:themeFill="text2" w:themeFillTint="33"/>
            <w:hideMark/>
          </w:tcPr>
          <w:p w14:paraId="69521698" w14:textId="77777777" w:rsidR="005F7825" w:rsidRPr="0077324A" w:rsidRDefault="005F7825" w:rsidP="00312362">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 xml:space="preserve"> Meta (en base a brechas y prioridades) </w:t>
            </w:r>
          </w:p>
        </w:tc>
        <w:tc>
          <w:tcPr>
            <w:tcW w:w="841" w:type="pct"/>
            <w:shd w:val="clear" w:color="auto" w:fill="D5DCE4" w:themeFill="text2" w:themeFillTint="33"/>
            <w:hideMark/>
          </w:tcPr>
          <w:p w14:paraId="0D39AB20" w14:textId="77777777" w:rsidR="005F7825" w:rsidRPr="0077324A" w:rsidRDefault="005F7825" w:rsidP="00312362">
            <w:pPr>
              <w:jc w:val="cente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Responsables de actividades</w:t>
            </w:r>
          </w:p>
        </w:tc>
      </w:tr>
      <w:tr w:rsidR="005051AE" w:rsidRPr="00EE1739" w14:paraId="3655AD81" w14:textId="77777777" w:rsidTr="005051AE">
        <w:trPr>
          <w:trHeight w:val="3000"/>
        </w:trPr>
        <w:tc>
          <w:tcPr>
            <w:tcW w:w="1043" w:type="pct"/>
            <w:hideMark/>
          </w:tcPr>
          <w:p w14:paraId="13FA1B0D" w14:textId="77777777" w:rsidR="00EE1739" w:rsidRPr="0077324A" w:rsidRDefault="00EE1739" w:rsidP="0077324A">
            <w:pP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4.Movilización de recursos mediante la canalización de fondos públicos provenientes de gobiernos Locales/Municipales para  la respuesta al VIH y su asignación a intervenciones costo-efectivas</w:t>
            </w:r>
          </w:p>
        </w:tc>
        <w:tc>
          <w:tcPr>
            <w:tcW w:w="786" w:type="pct"/>
            <w:hideMark/>
          </w:tcPr>
          <w:p w14:paraId="7CEC7FAF" w14:textId="77777777" w:rsidR="00C64313" w:rsidRDefault="00C64313" w:rsidP="0077324A">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Hay iniciativas existentes con recursos de municipalidades, como el Proyecto TB y Grandes ciudades.</w:t>
            </w:r>
          </w:p>
          <w:p w14:paraId="17EB6519" w14:textId="77777777" w:rsidR="00EE1739" w:rsidRDefault="00EE1739" w:rsidP="0077324A">
            <w:pPr>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Existe descoordinación sobre el financiamiento y gasto para VIH entre el nivel local con el nivel del gobierno central (Ejecutivo).</w:t>
            </w:r>
          </w:p>
          <w:p w14:paraId="3C9221C3" w14:textId="77777777" w:rsidR="00C64313" w:rsidRPr="0077324A" w:rsidRDefault="00C64313" w:rsidP="0077324A">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Se desconoce la situación de trabajo con VIH que las alcaldías están realizando.</w:t>
            </w:r>
          </w:p>
        </w:tc>
        <w:tc>
          <w:tcPr>
            <w:tcW w:w="779" w:type="pct"/>
            <w:hideMark/>
          </w:tcPr>
          <w:p w14:paraId="4D25F9B9" w14:textId="77777777" w:rsidR="00EE1739" w:rsidRPr="0077324A" w:rsidRDefault="00EE1739" w:rsidP="00195CA0">
            <w:pPr>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Las capacidades generadas a partir del proceso de construcción, seguimiento y monito</w:t>
            </w:r>
            <w:r w:rsidR="00195CA0">
              <w:rPr>
                <w:rFonts w:ascii="Calibri" w:eastAsia="Times New Roman" w:hAnsi="Calibri" w:cs="Times New Roman"/>
                <w:color w:val="000000"/>
                <w:sz w:val="18"/>
                <w:szCs w:val="18"/>
                <w:lang w:val="es-SV" w:eastAsia="es-SV"/>
              </w:rPr>
              <w:t>reo de un plan de desarrollo</w:t>
            </w:r>
            <w:r w:rsidRPr="0077324A">
              <w:rPr>
                <w:rFonts w:ascii="Calibri" w:eastAsia="Times New Roman" w:hAnsi="Calibri" w:cs="Times New Roman"/>
                <w:color w:val="000000"/>
                <w:sz w:val="18"/>
                <w:szCs w:val="18"/>
                <w:lang w:val="es-SV" w:eastAsia="es-SV"/>
              </w:rPr>
              <w:t xml:space="preserve"> incorporó a diversos actores </w:t>
            </w:r>
            <w:r w:rsidR="00195CA0">
              <w:rPr>
                <w:rFonts w:ascii="Calibri" w:eastAsia="Times New Roman" w:hAnsi="Calibri" w:cs="Times New Roman"/>
                <w:color w:val="000000"/>
                <w:sz w:val="18"/>
                <w:szCs w:val="18"/>
                <w:lang w:val="es-SV" w:eastAsia="es-SV"/>
              </w:rPr>
              <w:t xml:space="preserve">como </w:t>
            </w:r>
            <w:r w:rsidRPr="0077324A">
              <w:rPr>
                <w:rFonts w:ascii="Calibri" w:eastAsia="Times New Roman" w:hAnsi="Calibri" w:cs="Times New Roman"/>
                <w:color w:val="000000"/>
                <w:sz w:val="18"/>
                <w:szCs w:val="18"/>
                <w:lang w:val="es-SV" w:eastAsia="es-SV"/>
              </w:rPr>
              <w:t xml:space="preserve">sociedad civil, gobiernos municipales, sector privado, </w:t>
            </w:r>
            <w:r w:rsidR="00195CA0">
              <w:rPr>
                <w:rFonts w:ascii="Calibri" w:eastAsia="Times New Roman" w:hAnsi="Calibri" w:cs="Times New Roman"/>
                <w:color w:val="000000"/>
                <w:sz w:val="18"/>
                <w:szCs w:val="18"/>
                <w:lang w:val="es-SV" w:eastAsia="es-SV"/>
              </w:rPr>
              <w:t>socios cooperantes, entre otros.</w:t>
            </w:r>
          </w:p>
        </w:tc>
        <w:tc>
          <w:tcPr>
            <w:tcW w:w="823" w:type="pct"/>
            <w:hideMark/>
          </w:tcPr>
          <w:p w14:paraId="44EA1DC6" w14:textId="77777777" w:rsidR="00EE1739" w:rsidRDefault="00EE1739" w:rsidP="00EE1739">
            <w:pPr>
              <w:jc w:val="center"/>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Incorporar como prioridad de país el tema VIH en el plan de desarrollo del nuevo gob</w:t>
            </w:r>
            <w:r w:rsidR="000C4FFA">
              <w:rPr>
                <w:rFonts w:ascii="Calibri" w:eastAsia="Times New Roman" w:hAnsi="Calibri" w:cs="Times New Roman"/>
                <w:color w:val="000000"/>
                <w:sz w:val="18"/>
                <w:szCs w:val="18"/>
                <w:lang w:val="es-SV" w:eastAsia="es-SV"/>
              </w:rPr>
              <w:t>ierno para el período 2019-2024</w:t>
            </w:r>
          </w:p>
          <w:p w14:paraId="64852086" w14:textId="56040410" w:rsidR="000C4FFA" w:rsidRPr="0077324A" w:rsidRDefault="00D014C1" w:rsidP="00EE1739">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y e</w:t>
            </w:r>
            <w:r w:rsidR="000C4FFA">
              <w:rPr>
                <w:rFonts w:ascii="Calibri" w:eastAsia="Times New Roman" w:hAnsi="Calibri" w:cs="Times New Roman"/>
                <w:color w:val="000000"/>
                <w:sz w:val="18"/>
                <w:szCs w:val="18"/>
                <w:lang w:val="es-SV" w:eastAsia="es-SV"/>
              </w:rPr>
              <w:t xml:space="preserve">n planes de los Gobiernos Municipales </w:t>
            </w:r>
          </w:p>
        </w:tc>
        <w:tc>
          <w:tcPr>
            <w:tcW w:w="728" w:type="pct"/>
            <w:hideMark/>
          </w:tcPr>
          <w:p w14:paraId="623DAE96" w14:textId="77777777" w:rsidR="00EE1739" w:rsidRPr="0077324A" w:rsidRDefault="00EE1739" w:rsidP="0077324A">
            <w:pPr>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Que el financiamiento para el VIH sea parte de las prioridades del plan de desarrollo del gob</w:t>
            </w:r>
            <w:r w:rsidR="000C4FFA">
              <w:rPr>
                <w:rFonts w:ascii="Calibri" w:eastAsia="Times New Roman" w:hAnsi="Calibri" w:cs="Times New Roman"/>
                <w:color w:val="000000"/>
                <w:sz w:val="18"/>
                <w:szCs w:val="18"/>
                <w:lang w:val="es-SV" w:eastAsia="es-SV"/>
              </w:rPr>
              <w:t>ierno para el período 2019-2024, con prioridad en alcaldías de mayor prevalencia de VIH.</w:t>
            </w:r>
          </w:p>
        </w:tc>
        <w:tc>
          <w:tcPr>
            <w:tcW w:w="841" w:type="pct"/>
            <w:hideMark/>
          </w:tcPr>
          <w:p w14:paraId="735F9EA2" w14:textId="77777777" w:rsidR="00EE1739" w:rsidRPr="0077324A" w:rsidRDefault="00EE1739" w:rsidP="000C4FFA">
            <w:pPr>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MINSAL, ISSS, FOSALUD, Programa Nacional de VIH e ITS, Asamblea Legislativa, SETEPLAN,ISDEM, COMURES, Organizaciones de Sociedad Civil y Organizaciones del Sector Privado.</w:t>
            </w:r>
          </w:p>
        </w:tc>
      </w:tr>
    </w:tbl>
    <w:p w14:paraId="0FEE030F" w14:textId="77777777" w:rsidR="00A307AC" w:rsidRDefault="00A307AC"/>
    <w:tbl>
      <w:tblPr>
        <w:tblStyle w:val="Tablaconcuadrcula"/>
        <w:tblW w:w="5000" w:type="pct"/>
        <w:tblLook w:val="04A0" w:firstRow="1" w:lastRow="0" w:firstColumn="1" w:lastColumn="0" w:noHBand="0" w:noVBand="1"/>
      </w:tblPr>
      <w:tblGrid>
        <w:gridCol w:w="10088"/>
        <w:gridCol w:w="581"/>
        <w:gridCol w:w="581"/>
        <w:gridCol w:w="581"/>
        <w:gridCol w:w="582"/>
        <w:gridCol w:w="581"/>
      </w:tblGrid>
      <w:tr w:rsidR="005E5E8F" w:rsidRPr="00EE1739" w14:paraId="2C77DAB2" w14:textId="77777777" w:rsidTr="005E5E8F">
        <w:trPr>
          <w:trHeight w:val="418"/>
        </w:trPr>
        <w:tc>
          <w:tcPr>
            <w:tcW w:w="3882" w:type="pct"/>
          </w:tcPr>
          <w:p w14:paraId="38F81E15" w14:textId="77777777" w:rsidR="005E5E8F" w:rsidRPr="004240EE" w:rsidRDefault="005E5E8F" w:rsidP="0025750E">
            <w:pP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 xml:space="preserve">                                                                                 Acciones / </w:t>
            </w:r>
            <w:r w:rsidRPr="00EE1739">
              <w:rPr>
                <w:rFonts w:ascii="Calibri" w:eastAsia="Times New Roman" w:hAnsi="Calibri" w:cs="Times New Roman"/>
                <w:b/>
                <w:color w:val="000000"/>
                <w:sz w:val="18"/>
                <w:szCs w:val="18"/>
                <w:lang w:val="es-SV" w:eastAsia="es-SV"/>
              </w:rPr>
              <w:t>Periodo de ejecución</w:t>
            </w:r>
          </w:p>
        </w:tc>
        <w:tc>
          <w:tcPr>
            <w:tcW w:w="224" w:type="pct"/>
          </w:tcPr>
          <w:p w14:paraId="21A6D7FC" w14:textId="77777777" w:rsidR="005E5E8F" w:rsidRPr="00F925A9" w:rsidRDefault="005E5E8F"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2019</w:t>
            </w:r>
          </w:p>
          <w:p w14:paraId="18B8958C" w14:textId="77777777" w:rsidR="005E5E8F" w:rsidRPr="00F925A9" w:rsidRDefault="005E5E8F" w:rsidP="0025750E">
            <w:pPr>
              <w:jc w:val="center"/>
              <w:rPr>
                <w:rFonts w:ascii="Calibri" w:eastAsia="Times New Roman" w:hAnsi="Calibri" w:cs="Times New Roman"/>
                <w:b/>
                <w:color w:val="000000"/>
                <w:sz w:val="18"/>
                <w:szCs w:val="18"/>
                <w:lang w:val="es-SV" w:eastAsia="es-SV"/>
              </w:rPr>
            </w:pPr>
          </w:p>
        </w:tc>
        <w:tc>
          <w:tcPr>
            <w:tcW w:w="224" w:type="pct"/>
          </w:tcPr>
          <w:p w14:paraId="7C4DDBC5" w14:textId="77777777" w:rsidR="005E5E8F" w:rsidRPr="00F925A9" w:rsidRDefault="005E5E8F" w:rsidP="0025750E">
            <w:pP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2020</w:t>
            </w:r>
          </w:p>
        </w:tc>
        <w:tc>
          <w:tcPr>
            <w:tcW w:w="224" w:type="pct"/>
          </w:tcPr>
          <w:p w14:paraId="51F51272" w14:textId="77777777" w:rsidR="005E5E8F" w:rsidRPr="00F925A9" w:rsidRDefault="005E5E8F"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2021</w:t>
            </w:r>
          </w:p>
          <w:p w14:paraId="41D17F3F" w14:textId="77777777" w:rsidR="005E5E8F" w:rsidRPr="00F925A9" w:rsidRDefault="005E5E8F" w:rsidP="0025750E">
            <w:pPr>
              <w:jc w:val="center"/>
              <w:rPr>
                <w:rFonts w:ascii="Calibri" w:eastAsia="Times New Roman" w:hAnsi="Calibri" w:cs="Times New Roman"/>
                <w:b/>
                <w:color w:val="000000"/>
                <w:sz w:val="18"/>
                <w:szCs w:val="18"/>
                <w:lang w:val="es-SV" w:eastAsia="es-SV"/>
              </w:rPr>
            </w:pPr>
          </w:p>
        </w:tc>
        <w:tc>
          <w:tcPr>
            <w:tcW w:w="224" w:type="pct"/>
          </w:tcPr>
          <w:p w14:paraId="1D0B79F1" w14:textId="77777777" w:rsidR="005E5E8F" w:rsidRPr="00F925A9" w:rsidRDefault="005E5E8F"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2022</w:t>
            </w:r>
          </w:p>
          <w:p w14:paraId="5C51D529" w14:textId="77777777" w:rsidR="005E5E8F" w:rsidRPr="00F925A9" w:rsidRDefault="005E5E8F" w:rsidP="0025750E">
            <w:pPr>
              <w:jc w:val="center"/>
              <w:rPr>
                <w:rFonts w:ascii="Calibri" w:eastAsia="Times New Roman" w:hAnsi="Calibri" w:cs="Times New Roman"/>
                <w:b/>
                <w:color w:val="000000"/>
                <w:sz w:val="18"/>
                <w:szCs w:val="18"/>
                <w:lang w:val="es-SV" w:eastAsia="es-SV"/>
              </w:rPr>
            </w:pPr>
          </w:p>
        </w:tc>
        <w:tc>
          <w:tcPr>
            <w:tcW w:w="224" w:type="pct"/>
          </w:tcPr>
          <w:p w14:paraId="4A6B7217" w14:textId="77777777" w:rsidR="005E5E8F" w:rsidRPr="00F925A9" w:rsidRDefault="005E5E8F"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2023</w:t>
            </w:r>
          </w:p>
          <w:p w14:paraId="1704C149" w14:textId="77777777" w:rsidR="005E5E8F" w:rsidRPr="00F925A9" w:rsidRDefault="005E5E8F" w:rsidP="0025750E">
            <w:pPr>
              <w:jc w:val="center"/>
              <w:rPr>
                <w:rFonts w:ascii="Calibri" w:eastAsia="Times New Roman" w:hAnsi="Calibri" w:cs="Times New Roman"/>
                <w:b/>
                <w:color w:val="000000"/>
                <w:sz w:val="18"/>
                <w:szCs w:val="18"/>
                <w:lang w:val="es-SV" w:eastAsia="es-SV"/>
              </w:rPr>
            </w:pPr>
          </w:p>
        </w:tc>
      </w:tr>
      <w:tr w:rsidR="005E5E8F" w:rsidRPr="00EE1739" w14:paraId="0E513174" w14:textId="77777777" w:rsidTr="005E5E8F">
        <w:trPr>
          <w:trHeight w:val="241"/>
        </w:trPr>
        <w:tc>
          <w:tcPr>
            <w:tcW w:w="3882" w:type="pct"/>
            <w:hideMark/>
          </w:tcPr>
          <w:p w14:paraId="0D0DBBF4" w14:textId="77777777" w:rsidR="005E5E8F" w:rsidRPr="0077324A" w:rsidRDefault="005E5E8F" w:rsidP="0025750E">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Identificar alcaldías de mayor prevalencia al VIH y hacer un acercamiento con ellas para la presentación de la situación de VIH y la solicitud de inversión en el tema.</w:t>
            </w:r>
          </w:p>
        </w:tc>
        <w:tc>
          <w:tcPr>
            <w:tcW w:w="224" w:type="pct"/>
            <w:hideMark/>
          </w:tcPr>
          <w:p w14:paraId="62F03896" w14:textId="77777777" w:rsidR="005E5E8F" w:rsidRPr="0077324A" w:rsidRDefault="005E5E8F" w:rsidP="0025750E">
            <w:pPr>
              <w:jc w:val="center"/>
              <w:rPr>
                <w:rFonts w:ascii="Calibri" w:eastAsia="Times New Roman" w:hAnsi="Calibri" w:cs="Times New Roman"/>
                <w:color w:val="000000"/>
                <w:sz w:val="18"/>
                <w:szCs w:val="18"/>
                <w:lang w:val="es-SV" w:eastAsia="es-SV"/>
              </w:rPr>
            </w:pPr>
          </w:p>
        </w:tc>
        <w:tc>
          <w:tcPr>
            <w:tcW w:w="224" w:type="pct"/>
          </w:tcPr>
          <w:p w14:paraId="34B7AE21" w14:textId="77777777" w:rsidR="005E5E8F" w:rsidRDefault="005E5E8F" w:rsidP="0025750E">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p w14:paraId="05A00773" w14:textId="77777777" w:rsidR="005E5E8F" w:rsidRPr="0077324A" w:rsidRDefault="005E5E8F" w:rsidP="0025750E">
            <w:pPr>
              <w:jc w:val="center"/>
              <w:rPr>
                <w:rFonts w:ascii="Calibri" w:eastAsia="Times New Roman" w:hAnsi="Calibri" w:cs="Times New Roman"/>
                <w:color w:val="000000"/>
                <w:sz w:val="18"/>
                <w:szCs w:val="18"/>
                <w:lang w:val="es-SV" w:eastAsia="es-SV"/>
              </w:rPr>
            </w:pPr>
          </w:p>
        </w:tc>
        <w:tc>
          <w:tcPr>
            <w:tcW w:w="224" w:type="pct"/>
          </w:tcPr>
          <w:p w14:paraId="674A89FC" w14:textId="77777777" w:rsidR="005E5E8F" w:rsidRPr="0077324A" w:rsidRDefault="005E5E8F" w:rsidP="0025750E">
            <w:pPr>
              <w:jc w:val="center"/>
              <w:rPr>
                <w:rFonts w:ascii="Calibri" w:eastAsia="Times New Roman" w:hAnsi="Calibri" w:cs="Times New Roman"/>
                <w:color w:val="000000"/>
                <w:sz w:val="18"/>
                <w:szCs w:val="18"/>
                <w:lang w:val="es-SV" w:eastAsia="es-SV"/>
              </w:rPr>
            </w:pPr>
          </w:p>
        </w:tc>
        <w:tc>
          <w:tcPr>
            <w:tcW w:w="224" w:type="pct"/>
          </w:tcPr>
          <w:p w14:paraId="319C8621" w14:textId="77777777" w:rsidR="005E5E8F" w:rsidRPr="0077324A" w:rsidRDefault="005E5E8F" w:rsidP="0025750E">
            <w:pPr>
              <w:jc w:val="center"/>
              <w:rPr>
                <w:rFonts w:ascii="Calibri" w:eastAsia="Times New Roman" w:hAnsi="Calibri" w:cs="Times New Roman"/>
                <w:color w:val="000000"/>
                <w:sz w:val="18"/>
                <w:szCs w:val="18"/>
                <w:lang w:val="es-SV" w:eastAsia="es-SV"/>
              </w:rPr>
            </w:pPr>
          </w:p>
        </w:tc>
        <w:tc>
          <w:tcPr>
            <w:tcW w:w="224" w:type="pct"/>
          </w:tcPr>
          <w:p w14:paraId="5CD263F2" w14:textId="77777777" w:rsidR="005E5E8F" w:rsidRPr="0077324A" w:rsidRDefault="005E5E8F" w:rsidP="0025750E">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r>
      <w:tr w:rsidR="005E5E8F" w:rsidRPr="00EE1739" w14:paraId="4FE6E043" w14:textId="77777777" w:rsidTr="005E5E8F">
        <w:trPr>
          <w:trHeight w:val="70"/>
        </w:trPr>
        <w:tc>
          <w:tcPr>
            <w:tcW w:w="3882" w:type="pct"/>
            <w:hideMark/>
          </w:tcPr>
          <w:p w14:paraId="5BE2F040" w14:textId="77777777" w:rsidR="005E5E8F" w:rsidRPr="0077324A" w:rsidRDefault="005E5E8F" w:rsidP="0025750E">
            <w:pPr>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Presentar evidencia financiera sobre el impacto económico y financiero del VIH para el desarrollo del país.</w:t>
            </w:r>
          </w:p>
        </w:tc>
        <w:tc>
          <w:tcPr>
            <w:tcW w:w="224" w:type="pct"/>
            <w:hideMark/>
          </w:tcPr>
          <w:p w14:paraId="2C27C189" w14:textId="77777777" w:rsidR="005E5E8F" w:rsidRPr="0077324A" w:rsidRDefault="005E5E8F" w:rsidP="0025750E">
            <w:pPr>
              <w:jc w:val="center"/>
              <w:rPr>
                <w:rFonts w:ascii="Calibri" w:eastAsia="Times New Roman" w:hAnsi="Calibri" w:cs="Times New Roman"/>
                <w:color w:val="000000"/>
                <w:sz w:val="18"/>
                <w:szCs w:val="18"/>
                <w:lang w:val="es-SV" w:eastAsia="es-SV"/>
              </w:rPr>
            </w:pPr>
          </w:p>
        </w:tc>
        <w:tc>
          <w:tcPr>
            <w:tcW w:w="224" w:type="pct"/>
          </w:tcPr>
          <w:p w14:paraId="0C386908" w14:textId="77777777" w:rsidR="005E5E8F" w:rsidRPr="0077324A" w:rsidRDefault="005E5E8F" w:rsidP="0025750E">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6B221D96" w14:textId="77777777" w:rsidR="005E5E8F" w:rsidRPr="0077324A" w:rsidRDefault="005E5E8F" w:rsidP="0025750E">
            <w:pPr>
              <w:jc w:val="center"/>
              <w:rPr>
                <w:rFonts w:ascii="Calibri" w:eastAsia="Times New Roman" w:hAnsi="Calibri" w:cs="Times New Roman"/>
                <w:color w:val="000000"/>
                <w:sz w:val="18"/>
                <w:szCs w:val="18"/>
                <w:lang w:val="es-SV" w:eastAsia="es-SV"/>
              </w:rPr>
            </w:pPr>
          </w:p>
        </w:tc>
        <w:tc>
          <w:tcPr>
            <w:tcW w:w="224" w:type="pct"/>
          </w:tcPr>
          <w:p w14:paraId="16D600DA" w14:textId="77777777" w:rsidR="005E5E8F" w:rsidRPr="0077324A" w:rsidRDefault="005E5E8F" w:rsidP="0025750E">
            <w:pPr>
              <w:jc w:val="center"/>
              <w:rPr>
                <w:rFonts w:ascii="Calibri" w:eastAsia="Times New Roman" w:hAnsi="Calibri" w:cs="Times New Roman"/>
                <w:color w:val="000000"/>
                <w:sz w:val="18"/>
                <w:szCs w:val="18"/>
                <w:lang w:val="es-SV" w:eastAsia="es-SV"/>
              </w:rPr>
            </w:pPr>
          </w:p>
        </w:tc>
        <w:tc>
          <w:tcPr>
            <w:tcW w:w="224" w:type="pct"/>
          </w:tcPr>
          <w:p w14:paraId="2AEB5A54" w14:textId="77777777" w:rsidR="005E5E8F" w:rsidRDefault="005E5E8F" w:rsidP="0025750E">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p w14:paraId="21F505A9" w14:textId="77777777" w:rsidR="005E5E8F" w:rsidRPr="0077324A" w:rsidRDefault="005E5E8F" w:rsidP="0025750E">
            <w:pPr>
              <w:rPr>
                <w:rFonts w:ascii="Calibri" w:eastAsia="Times New Roman" w:hAnsi="Calibri" w:cs="Times New Roman"/>
                <w:color w:val="000000"/>
                <w:sz w:val="18"/>
                <w:szCs w:val="18"/>
                <w:lang w:val="es-SV" w:eastAsia="es-SV"/>
              </w:rPr>
            </w:pPr>
          </w:p>
        </w:tc>
      </w:tr>
      <w:tr w:rsidR="005E5E8F" w:rsidRPr="00EE1739" w14:paraId="21DF1AD4" w14:textId="77777777" w:rsidTr="005E5E8F">
        <w:trPr>
          <w:trHeight w:val="468"/>
        </w:trPr>
        <w:tc>
          <w:tcPr>
            <w:tcW w:w="3882" w:type="pct"/>
            <w:hideMark/>
          </w:tcPr>
          <w:p w14:paraId="67364932" w14:textId="77777777" w:rsidR="005E5E8F" w:rsidRPr="0077324A" w:rsidRDefault="005E5E8F" w:rsidP="003B6724">
            <w:pPr>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Incorporar en el plan de desarrollo periodo 2019-2024 el financiamiento para el VIH como una meta quinquenal.</w:t>
            </w:r>
          </w:p>
        </w:tc>
        <w:tc>
          <w:tcPr>
            <w:tcW w:w="224" w:type="pct"/>
            <w:hideMark/>
          </w:tcPr>
          <w:p w14:paraId="28A301B8" w14:textId="77777777" w:rsidR="005E5E8F" w:rsidRPr="0077324A" w:rsidRDefault="005E5E8F" w:rsidP="003B6724">
            <w:pPr>
              <w:jc w:val="center"/>
              <w:rPr>
                <w:rFonts w:ascii="Calibri" w:eastAsia="Times New Roman" w:hAnsi="Calibri" w:cs="Times New Roman"/>
                <w:color w:val="000000"/>
                <w:sz w:val="18"/>
                <w:szCs w:val="18"/>
                <w:lang w:val="es-SV" w:eastAsia="es-SV"/>
              </w:rPr>
            </w:pPr>
          </w:p>
        </w:tc>
        <w:tc>
          <w:tcPr>
            <w:tcW w:w="224" w:type="pct"/>
          </w:tcPr>
          <w:p w14:paraId="1085C1AB" w14:textId="77777777" w:rsidR="005E5E8F" w:rsidRPr="0077324A" w:rsidRDefault="005E5E8F" w:rsidP="003B6724">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76637E15" w14:textId="77777777" w:rsidR="005E5E8F" w:rsidRPr="0077324A" w:rsidRDefault="005E5E8F" w:rsidP="003B6724">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61E8D7F9" w14:textId="77777777" w:rsidR="005E5E8F" w:rsidRPr="0077324A" w:rsidRDefault="005E5E8F" w:rsidP="003B6724">
            <w:pPr>
              <w:jc w:val="center"/>
              <w:rPr>
                <w:rFonts w:ascii="Calibri" w:eastAsia="Times New Roman" w:hAnsi="Calibri" w:cs="Times New Roman"/>
                <w:color w:val="000000"/>
                <w:sz w:val="18"/>
                <w:szCs w:val="18"/>
                <w:lang w:val="es-SV" w:eastAsia="es-SV"/>
              </w:rPr>
            </w:pPr>
          </w:p>
        </w:tc>
        <w:tc>
          <w:tcPr>
            <w:tcW w:w="224" w:type="pct"/>
          </w:tcPr>
          <w:p w14:paraId="3CB25E79" w14:textId="77777777" w:rsidR="005E5E8F" w:rsidRPr="0077324A" w:rsidRDefault="005E5E8F" w:rsidP="003B6724">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r>
      <w:tr w:rsidR="005E5E8F" w:rsidRPr="00EE1739" w14:paraId="49FA154B" w14:textId="77777777" w:rsidTr="005E5E8F">
        <w:trPr>
          <w:trHeight w:val="468"/>
        </w:trPr>
        <w:tc>
          <w:tcPr>
            <w:tcW w:w="3882" w:type="pct"/>
          </w:tcPr>
          <w:p w14:paraId="07150CD0" w14:textId="77777777" w:rsidR="005E5E8F" w:rsidRPr="0077324A" w:rsidRDefault="005E5E8F" w:rsidP="003B6724">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Hacer alianzas con el programa de TB del MINSAL, para conocer otras experiencias de trabajo con municipalidades</w:t>
            </w:r>
          </w:p>
        </w:tc>
        <w:tc>
          <w:tcPr>
            <w:tcW w:w="224" w:type="pct"/>
          </w:tcPr>
          <w:p w14:paraId="4D993A37" w14:textId="77777777" w:rsidR="005E5E8F" w:rsidRPr="0077324A" w:rsidRDefault="005E5E8F" w:rsidP="003B6724">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0A5B21BB" w14:textId="77777777" w:rsidR="005E5E8F" w:rsidRDefault="005E5E8F" w:rsidP="003B6724">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6529BCED" w14:textId="77777777" w:rsidR="005E5E8F" w:rsidRPr="0077324A" w:rsidRDefault="005E5E8F" w:rsidP="003B6724">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0D41C092" w14:textId="77777777" w:rsidR="005E5E8F" w:rsidRPr="0077324A" w:rsidRDefault="005E5E8F" w:rsidP="003B6724">
            <w:pPr>
              <w:jc w:val="center"/>
              <w:rPr>
                <w:rFonts w:ascii="Calibri" w:eastAsia="Times New Roman" w:hAnsi="Calibri" w:cs="Times New Roman"/>
                <w:color w:val="000000"/>
                <w:sz w:val="18"/>
                <w:szCs w:val="18"/>
                <w:lang w:val="es-SV" w:eastAsia="es-SV"/>
              </w:rPr>
            </w:pPr>
          </w:p>
        </w:tc>
        <w:tc>
          <w:tcPr>
            <w:tcW w:w="224" w:type="pct"/>
          </w:tcPr>
          <w:p w14:paraId="2E8546CE" w14:textId="77777777" w:rsidR="005E5E8F" w:rsidRDefault="005E5E8F" w:rsidP="003B6724">
            <w:pPr>
              <w:rPr>
                <w:rFonts w:ascii="Calibri" w:eastAsia="Times New Roman" w:hAnsi="Calibri" w:cs="Times New Roman"/>
                <w:color w:val="000000"/>
                <w:sz w:val="18"/>
                <w:szCs w:val="18"/>
                <w:lang w:val="es-SV" w:eastAsia="es-SV"/>
              </w:rPr>
            </w:pPr>
          </w:p>
        </w:tc>
      </w:tr>
      <w:tr w:rsidR="005E5E8F" w:rsidRPr="00EE1739" w14:paraId="22B00670" w14:textId="77777777" w:rsidTr="005E5E8F">
        <w:trPr>
          <w:trHeight w:val="468"/>
        </w:trPr>
        <w:tc>
          <w:tcPr>
            <w:tcW w:w="3882" w:type="pct"/>
          </w:tcPr>
          <w:p w14:paraId="1A0FAA87" w14:textId="77777777" w:rsidR="005E5E8F" w:rsidRDefault="005E5E8F" w:rsidP="003B6724">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eastAsia="es-SV"/>
              </w:rPr>
              <w:t>Hacer alianzas /</w:t>
            </w:r>
            <w:r>
              <w:rPr>
                <w:rFonts w:ascii="Calibri" w:eastAsia="Times New Roman" w:hAnsi="Calibri" w:cs="Times New Roman"/>
                <w:color w:val="000000"/>
                <w:sz w:val="18"/>
                <w:szCs w:val="18"/>
                <w:lang w:val="es-SV" w:eastAsia="es-SV"/>
              </w:rPr>
              <w:t>acercamiento con organizaciones del sector privado que trabajan en las municipalidades de mayor prevalencia de VIH.</w:t>
            </w:r>
          </w:p>
        </w:tc>
        <w:tc>
          <w:tcPr>
            <w:tcW w:w="224" w:type="pct"/>
          </w:tcPr>
          <w:p w14:paraId="660DAD12" w14:textId="77777777" w:rsidR="005E5E8F" w:rsidRDefault="005E5E8F" w:rsidP="003B6724">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35B575F0" w14:textId="77777777" w:rsidR="005E5E8F" w:rsidRDefault="005E5E8F" w:rsidP="003B6724">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0D7A4F55" w14:textId="77777777" w:rsidR="005E5E8F" w:rsidRPr="0077324A" w:rsidRDefault="005E5E8F" w:rsidP="003B6724">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28422CDF" w14:textId="77777777" w:rsidR="005E5E8F" w:rsidRPr="0077324A" w:rsidRDefault="005E5E8F" w:rsidP="003B6724">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24" w:type="pct"/>
          </w:tcPr>
          <w:p w14:paraId="0DC03B4F" w14:textId="77777777" w:rsidR="005E5E8F" w:rsidRPr="0077324A" w:rsidRDefault="005E5E8F" w:rsidP="003B6724">
            <w:pPr>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r>
    </w:tbl>
    <w:p w14:paraId="55F3CE21" w14:textId="77777777" w:rsidR="008D16B7" w:rsidRDefault="008D16B7"/>
    <w:p w14:paraId="0537A0DB" w14:textId="77777777" w:rsidR="005E5E8F" w:rsidRDefault="005E5E8F"/>
    <w:p w14:paraId="4222B55E" w14:textId="556A1BE7" w:rsidR="005F7825" w:rsidRDefault="005F7825" w:rsidP="00CD454D">
      <w:pPr>
        <w:spacing w:after="0" w:line="240" w:lineRule="auto"/>
        <w:rPr>
          <w:rFonts w:ascii="Times New Roman" w:hAnsi="Times New Roman" w:cs="Times New Roman"/>
          <w:sz w:val="24"/>
          <w:szCs w:val="24"/>
          <w:lang w:val="es-MX"/>
        </w:rPr>
      </w:pPr>
    </w:p>
    <w:p w14:paraId="62BD51C5" w14:textId="77777777" w:rsidR="00D762CB" w:rsidRDefault="00D762CB" w:rsidP="00CD454D">
      <w:pPr>
        <w:spacing w:after="0" w:line="240" w:lineRule="auto"/>
        <w:rPr>
          <w:rFonts w:ascii="Times New Roman" w:hAnsi="Times New Roman" w:cs="Times New Roman"/>
          <w:sz w:val="24"/>
          <w:szCs w:val="24"/>
          <w:lang w:val="es-MX"/>
        </w:rPr>
      </w:pPr>
    </w:p>
    <w:p w14:paraId="4894BFC0" w14:textId="0F639BE0" w:rsidR="00B51BB1" w:rsidRPr="00126C49" w:rsidRDefault="002B7EE6" w:rsidP="009B0941">
      <w:pPr>
        <w:rPr>
          <w:lang w:val="es-MX"/>
        </w:rPr>
      </w:pPr>
      <w:r>
        <w:rPr>
          <w:lang w:val="es-MX"/>
        </w:rPr>
        <w:lastRenderedPageBreak/>
        <w:t xml:space="preserve">3.5.1.2 </w:t>
      </w:r>
      <w:r w:rsidRPr="00126C49">
        <w:rPr>
          <w:lang w:val="es-MX"/>
        </w:rPr>
        <w:t>Financiamiento</w:t>
      </w:r>
      <w:r w:rsidR="00B51BB1" w:rsidRPr="00126C49">
        <w:rPr>
          <w:lang w:val="es-MX"/>
        </w:rPr>
        <w:t xml:space="preserve"> privado</w:t>
      </w:r>
    </w:p>
    <w:p w14:paraId="0D8CF21C" w14:textId="77777777" w:rsidR="000B01CB" w:rsidRDefault="000B01CB" w:rsidP="00510849">
      <w:pPr>
        <w:spacing w:after="0" w:line="240" w:lineRule="auto"/>
        <w:rPr>
          <w:rFonts w:ascii="Times New Roman" w:hAnsi="Times New Roman" w:cs="Times New Roman"/>
          <w:sz w:val="24"/>
          <w:szCs w:val="24"/>
          <w:lang w:val="es-MX"/>
        </w:rPr>
      </w:pPr>
    </w:p>
    <w:tbl>
      <w:tblPr>
        <w:tblW w:w="5000" w:type="pct"/>
        <w:tblCellMar>
          <w:left w:w="70" w:type="dxa"/>
          <w:right w:w="70" w:type="dxa"/>
        </w:tblCellMar>
        <w:tblLook w:val="04A0" w:firstRow="1" w:lastRow="0" w:firstColumn="1" w:lastColumn="0" w:noHBand="0" w:noVBand="1"/>
      </w:tblPr>
      <w:tblGrid>
        <w:gridCol w:w="3164"/>
        <w:gridCol w:w="1954"/>
        <w:gridCol w:w="1954"/>
        <w:gridCol w:w="1954"/>
        <w:gridCol w:w="2066"/>
        <w:gridCol w:w="1902"/>
      </w:tblGrid>
      <w:tr w:rsidR="000B01CB" w:rsidRPr="000B01CB" w14:paraId="79F6448A" w14:textId="77777777" w:rsidTr="00A307AC">
        <w:trPr>
          <w:trHeight w:val="300"/>
        </w:trPr>
        <w:tc>
          <w:tcPr>
            <w:tcW w:w="1217" w:type="pct"/>
            <w:vMerge w:val="restart"/>
            <w:tcBorders>
              <w:top w:val="single" w:sz="4" w:space="0" w:color="auto"/>
              <w:left w:val="single" w:sz="4" w:space="0" w:color="auto"/>
              <w:bottom w:val="single" w:sz="4" w:space="0" w:color="000000"/>
              <w:right w:val="single" w:sz="4" w:space="0" w:color="auto"/>
            </w:tcBorders>
            <w:shd w:val="clear" w:color="auto" w:fill="F7CAAC" w:themeFill="accent2" w:themeFillTint="66"/>
            <w:hideMark/>
          </w:tcPr>
          <w:p w14:paraId="7330C8FA" w14:textId="77777777" w:rsidR="000B01CB" w:rsidRPr="000B01CB" w:rsidRDefault="000B01CB" w:rsidP="000B01CB">
            <w:pPr>
              <w:spacing w:after="0" w:line="240" w:lineRule="auto"/>
              <w:jc w:val="center"/>
              <w:rPr>
                <w:rFonts w:ascii="Calibri" w:eastAsia="Times New Roman" w:hAnsi="Calibri" w:cs="Times New Roman"/>
                <w:b/>
                <w:bCs/>
                <w:color w:val="000000"/>
                <w:sz w:val="18"/>
                <w:szCs w:val="18"/>
                <w:lang w:val="es-SV" w:eastAsia="es-SV"/>
              </w:rPr>
            </w:pPr>
            <w:r w:rsidRPr="000B01CB">
              <w:rPr>
                <w:rFonts w:ascii="Calibri" w:eastAsia="Times New Roman" w:hAnsi="Calibri" w:cs="Times New Roman"/>
                <w:b/>
                <w:bCs/>
                <w:color w:val="000000"/>
                <w:sz w:val="18"/>
                <w:szCs w:val="18"/>
                <w:lang w:val="es-SV" w:eastAsia="es-SV"/>
              </w:rPr>
              <w:t xml:space="preserve">Líneas de acción de la estrategia </w:t>
            </w:r>
          </w:p>
        </w:tc>
        <w:tc>
          <w:tcPr>
            <w:tcW w:w="752" w:type="pct"/>
            <w:vMerge w:val="restart"/>
            <w:tcBorders>
              <w:top w:val="single" w:sz="4" w:space="0" w:color="auto"/>
              <w:left w:val="single" w:sz="4" w:space="0" w:color="auto"/>
              <w:bottom w:val="single" w:sz="4" w:space="0" w:color="000000"/>
              <w:right w:val="single" w:sz="4" w:space="0" w:color="auto"/>
            </w:tcBorders>
            <w:shd w:val="clear" w:color="auto" w:fill="F7CAAC" w:themeFill="accent2" w:themeFillTint="66"/>
            <w:hideMark/>
          </w:tcPr>
          <w:p w14:paraId="319B107D" w14:textId="77777777" w:rsidR="000B01CB" w:rsidRPr="000B01CB" w:rsidRDefault="000B01CB" w:rsidP="000B01CB">
            <w:pPr>
              <w:spacing w:after="0" w:line="240" w:lineRule="auto"/>
              <w:jc w:val="center"/>
              <w:rPr>
                <w:rFonts w:ascii="Calibri" w:eastAsia="Times New Roman" w:hAnsi="Calibri" w:cs="Times New Roman"/>
                <w:b/>
                <w:bCs/>
                <w:color w:val="000000"/>
                <w:sz w:val="18"/>
                <w:szCs w:val="18"/>
                <w:lang w:val="es-SV" w:eastAsia="es-SV"/>
              </w:rPr>
            </w:pPr>
            <w:r w:rsidRPr="000B01CB">
              <w:rPr>
                <w:rFonts w:ascii="Calibri" w:eastAsia="Times New Roman" w:hAnsi="Calibri" w:cs="Times New Roman"/>
                <w:b/>
                <w:bCs/>
                <w:color w:val="000000"/>
                <w:sz w:val="18"/>
                <w:szCs w:val="18"/>
                <w:lang w:val="es-SV" w:eastAsia="es-SV"/>
              </w:rPr>
              <w:t>Situación actual</w:t>
            </w:r>
          </w:p>
        </w:tc>
        <w:tc>
          <w:tcPr>
            <w:tcW w:w="752" w:type="pct"/>
            <w:tcBorders>
              <w:top w:val="single" w:sz="4" w:space="0" w:color="auto"/>
              <w:left w:val="nil"/>
              <w:bottom w:val="nil"/>
              <w:right w:val="single" w:sz="4" w:space="0" w:color="auto"/>
            </w:tcBorders>
            <w:shd w:val="clear" w:color="auto" w:fill="F7CAAC" w:themeFill="accent2" w:themeFillTint="66"/>
            <w:hideMark/>
          </w:tcPr>
          <w:p w14:paraId="24D45405" w14:textId="77777777" w:rsidR="000B01CB" w:rsidRPr="000B01CB" w:rsidRDefault="000B01CB" w:rsidP="000B01CB">
            <w:pPr>
              <w:spacing w:after="0" w:line="240" w:lineRule="auto"/>
              <w:jc w:val="center"/>
              <w:rPr>
                <w:rFonts w:ascii="Calibri" w:eastAsia="Times New Roman" w:hAnsi="Calibri" w:cs="Times New Roman"/>
                <w:b/>
                <w:bCs/>
                <w:color w:val="000000"/>
                <w:sz w:val="18"/>
                <w:szCs w:val="18"/>
                <w:lang w:val="es-SV" w:eastAsia="es-SV"/>
              </w:rPr>
            </w:pPr>
            <w:r w:rsidRPr="000B01CB">
              <w:rPr>
                <w:rFonts w:ascii="Calibri" w:eastAsia="Times New Roman" w:hAnsi="Calibri" w:cs="Times New Roman"/>
                <w:b/>
                <w:bCs/>
                <w:color w:val="000000"/>
                <w:sz w:val="18"/>
                <w:szCs w:val="18"/>
                <w:lang w:val="es-SV" w:eastAsia="es-SV"/>
              </w:rPr>
              <w:t xml:space="preserve">Oportunidades </w:t>
            </w:r>
          </w:p>
        </w:tc>
        <w:tc>
          <w:tcPr>
            <w:tcW w:w="752" w:type="pct"/>
            <w:vMerge w:val="restart"/>
            <w:tcBorders>
              <w:top w:val="single" w:sz="4" w:space="0" w:color="auto"/>
              <w:left w:val="single" w:sz="4" w:space="0" w:color="auto"/>
              <w:bottom w:val="single" w:sz="4" w:space="0" w:color="000000"/>
              <w:right w:val="single" w:sz="4" w:space="0" w:color="auto"/>
            </w:tcBorders>
            <w:shd w:val="clear" w:color="auto" w:fill="F7CAAC" w:themeFill="accent2" w:themeFillTint="66"/>
            <w:hideMark/>
          </w:tcPr>
          <w:p w14:paraId="00A7F7AC" w14:textId="77777777" w:rsidR="000B01CB" w:rsidRPr="000B01CB" w:rsidRDefault="000B01CB" w:rsidP="000B01CB">
            <w:pPr>
              <w:spacing w:after="0" w:line="240" w:lineRule="auto"/>
              <w:jc w:val="center"/>
              <w:rPr>
                <w:rFonts w:ascii="Calibri" w:eastAsia="Times New Roman" w:hAnsi="Calibri" w:cs="Times New Roman"/>
                <w:b/>
                <w:bCs/>
                <w:color w:val="000000"/>
                <w:sz w:val="18"/>
                <w:szCs w:val="18"/>
                <w:lang w:val="es-SV" w:eastAsia="es-SV"/>
              </w:rPr>
            </w:pPr>
            <w:r w:rsidRPr="000B01CB">
              <w:rPr>
                <w:rFonts w:ascii="Calibri" w:eastAsia="Times New Roman" w:hAnsi="Calibri" w:cs="Times New Roman"/>
                <w:b/>
                <w:bCs/>
                <w:color w:val="000000"/>
                <w:sz w:val="18"/>
                <w:szCs w:val="18"/>
                <w:lang w:val="es-SV" w:eastAsia="es-SV"/>
              </w:rPr>
              <w:t>Desafíos</w:t>
            </w:r>
          </w:p>
        </w:tc>
        <w:tc>
          <w:tcPr>
            <w:tcW w:w="795" w:type="pct"/>
            <w:vMerge w:val="restart"/>
            <w:tcBorders>
              <w:top w:val="single" w:sz="4" w:space="0" w:color="auto"/>
              <w:left w:val="single" w:sz="4" w:space="0" w:color="auto"/>
              <w:bottom w:val="single" w:sz="4" w:space="0" w:color="000000"/>
              <w:right w:val="single" w:sz="4" w:space="0" w:color="auto"/>
            </w:tcBorders>
            <w:shd w:val="clear" w:color="auto" w:fill="F7CAAC" w:themeFill="accent2" w:themeFillTint="66"/>
            <w:hideMark/>
          </w:tcPr>
          <w:p w14:paraId="46D52945" w14:textId="77777777" w:rsidR="000B01CB" w:rsidRPr="000B01CB" w:rsidRDefault="000B01CB" w:rsidP="000B01CB">
            <w:pPr>
              <w:spacing w:after="0" w:line="240" w:lineRule="auto"/>
              <w:jc w:val="center"/>
              <w:rPr>
                <w:rFonts w:ascii="Calibri" w:eastAsia="Times New Roman" w:hAnsi="Calibri" w:cs="Times New Roman"/>
                <w:b/>
                <w:bCs/>
                <w:color w:val="000000"/>
                <w:sz w:val="18"/>
                <w:szCs w:val="18"/>
                <w:lang w:val="es-SV" w:eastAsia="es-SV"/>
              </w:rPr>
            </w:pPr>
            <w:r w:rsidRPr="000B01CB">
              <w:rPr>
                <w:rFonts w:ascii="Calibri" w:eastAsia="Times New Roman" w:hAnsi="Calibri" w:cs="Times New Roman"/>
                <w:b/>
                <w:bCs/>
                <w:color w:val="000000"/>
                <w:sz w:val="18"/>
                <w:szCs w:val="18"/>
                <w:lang w:val="es-SV" w:eastAsia="es-SV"/>
              </w:rPr>
              <w:t xml:space="preserve"> Meta  (en base a brechas y prioridades) </w:t>
            </w:r>
          </w:p>
        </w:tc>
        <w:tc>
          <w:tcPr>
            <w:tcW w:w="732" w:type="pct"/>
            <w:vMerge w:val="restart"/>
            <w:tcBorders>
              <w:top w:val="single" w:sz="4" w:space="0" w:color="auto"/>
              <w:left w:val="single" w:sz="4" w:space="0" w:color="auto"/>
              <w:bottom w:val="single" w:sz="4" w:space="0" w:color="000000"/>
              <w:right w:val="single" w:sz="4" w:space="0" w:color="auto"/>
            </w:tcBorders>
            <w:shd w:val="clear" w:color="auto" w:fill="F7CAAC" w:themeFill="accent2" w:themeFillTint="66"/>
            <w:vAlign w:val="center"/>
            <w:hideMark/>
          </w:tcPr>
          <w:p w14:paraId="7A9D2736" w14:textId="77777777" w:rsidR="000B01CB" w:rsidRPr="000B01CB" w:rsidRDefault="000B01CB" w:rsidP="000B01CB">
            <w:pPr>
              <w:spacing w:after="0" w:line="240" w:lineRule="auto"/>
              <w:jc w:val="center"/>
              <w:rPr>
                <w:rFonts w:ascii="Calibri" w:eastAsia="Times New Roman" w:hAnsi="Calibri" w:cs="Times New Roman"/>
                <w:b/>
                <w:bCs/>
                <w:color w:val="000000"/>
                <w:sz w:val="18"/>
                <w:szCs w:val="18"/>
                <w:lang w:val="es-SV" w:eastAsia="es-SV"/>
              </w:rPr>
            </w:pPr>
            <w:r w:rsidRPr="000B01CB">
              <w:rPr>
                <w:rFonts w:ascii="Calibri" w:eastAsia="Times New Roman" w:hAnsi="Calibri" w:cs="Times New Roman"/>
                <w:b/>
                <w:bCs/>
                <w:color w:val="000000"/>
                <w:sz w:val="18"/>
                <w:szCs w:val="18"/>
                <w:lang w:val="es-SV" w:eastAsia="es-SV"/>
              </w:rPr>
              <w:t>Responsables de actividades</w:t>
            </w:r>
          </w:p>
        </w:tc>
      </w:tr>
      <w:tr w:rsidR="000B01CB" w:rsidRPr="000B01CB" w14:paraId="685B9A72" w14:textId="77777777" w:rsidTr="00A307AC">
        <w:trPr>
          <w:trHeight w:val="300"/>
        </w:trPr>
        <w:tc>
          <w:tcPr>
            <w:tcW w:w="1217" w:type="pct"/>
            <w:vMerge/>
            <w:tcBorders>
              <w:top w:val="single" w:sz="4" w:space="0" w:color="auto"/>
              <w:left w:val="single" w:sz="4" w:space="0" w:color="auto"/>
              <w:bottom w:val="single" w:sz="4" w:space="0" w:color="000000"/>
              <w:right w:val="single" w:sz="4" w:space="0" w:color="auto"/>
            </w:tcBorders>
            <w:shd w:val="clear" w:color="auto" w:fill="F7CAAC" w:themeFill="accent2" w:themeFillTint="66"/>
            <w:vAlign w:val="center"/>
            <w:hideMark/>
          </w:tcPr>
          <w:p w14:paraId="77B06122" w14:textId="77777777" w:rsidR="000B01CB" w:rsidRPr="000B01CB" w:rsidRDefault="000B01CB" w:rsidP="000B01CB">
            <w:pPr>
              <w:spacing w:after="0" w:line="240" w:lineRule="auto"/>
              <w:rPr>
                <w:rFonts w:ascii="Calibri" w:eastAsia="Times New Roman" w:hAnsi="Calibri" w:cs="Times New Roman"/>
                <w:b/>
                <w:bCs/>
                <w:color w:val="000000"/>
                <w:sz w:val="18"/>
                <w:szCs w:val="18"/>
                <w:lang w:val="es-SV" w:eastAsia="es-SV"/>
              </w:rPr>
            </w:pPr>
          </w:p>
        </w:tc>
        <w:tc>
          <w:tcPr>
            <w:tcW w:w="752" w:type="pct"/>
            <w:vMerge/>
            <w:tcBorders>
              <w:top w:val="single" w:sz="4" w:space="0" w:color="auto"/>
              <w:left w:val="single" w:sz="4" w:space="0" w:color="auto"/>
              <w:bottom w:val="single" w:sz="4" w:space="0" w:color="000000"/>
              <w:right w:val="single" w:sz="4" w:space="0" w:color="auto"/>
            </w:tcBorders>
            <w:shd w:val="clear" w:color="auto" w:fill="F7CAAC" w:themeFill="accent2" w:themeFillTint="66"/>
            <w:vAlign w:val="center"/>
            <w:hideMark/>
          </w:tcPr>
          <w:p w14:paraId="448B510F" w14:textId="77777777" w:rsidR="000B01CB" w:rsidRPr="000B01CB" w:rsidRDefault="000B01CB" w:rsidP="000B01CB">
            <w:pPr>
              <w:spacing w:after="0" w:line="240" w:lineRule="auto"/>
              <w:rPr>
                <w:rFonts w:ascii="Calibri" w:eastAsia="Times New Roman" w:hAnsi="Calibri" w:cs="Times New Roman"/>
                <w:b/>
                <w:bCs/>
                <w:color w:val="000000"/>
                <w:sz w:val="18"/>
                <w:szCs w:val="18"/>
                <w:lang w:val="es-SV" w:eastAsia="es-SV"/>
              </w:rPr>
            </w:pPr>
          </w:p>
        </w:tc>
        <w:tc>
          <w:tcPr>
            <w:tcW w:w="752" w:type="pct"/>
            <w:tcBorders>
              <w:top w:val="nil"/>
              <w:left w:val="nil"/>
              <w:bottom w:val="single" w:sz="4" w:space="0" w:color="auto"/>
              <w:right w:val="single" w:sz="4" w:space="0" w:color="auto"/>
            </w:tcBorders>
            <w:shd w:val="clear" w:color="auto" w:fill="F7CAAC" w:themeFill="accent2" w:themeFillTint="66"/>
            <w:hideMark/>
          </w:tcPr>
          <w:p w14:paraId="2FB18218" w14:textId="77777777" w:rsidR="000B01CB" w:rsidRPr="000B01CB" w:rsidRDefault="000B01CB" w:rsidP="000B01CB">
            <w:pPr>
              <w:spacing w:after="0" w:line="240" w:lineRule="auto"/>
              <w:jc w:val="center"/>
              <w:rPr>
                <w:rFonts w:ascii="Calibri" w:eastAsia="Times New Roman" w:hAnsi="Calibri" w:cs="Times New Roman"/>
                <w:color w:val="000000"/>
                <w:sz w:val="18"/>
                <w:szCs w:val="18"/>
                <w:lang w:val="es-SV" w:eastAsia="es-SV"/>
              </w:rPr>
            </w:pPr>
            <w:r w:rsidRPr="000B01CB">
              <w:rPr>
                <w:rFonts w:ascii="Calibri" w:eastAsia="Times New Roman" w:hAnsi="Calibri" w:cs="Times New Roman"/>
                <w:color w:val="000000"/>
                <w:sz w:val="18"/>
                <w:szCs w:val="18"/>
                <w:lang w:val="es-SV" w:eastAsia="es-SV"/>
              </w:rPr>
              <w:t> </w:t>
            </w:r>
          </w:p>
        </w:tc>
        <w:tc>
          <w:tcPr>
            <w:tcW w:w="752" w:type="pct"/>
            <w:vMerge/>
            <w:tcBorders>
              <w:top w:val="single" w:sz="4" w:space="0" w:color="auto"/>
              <w:left w:val="single" w:sz="4" w:space="0" w:color="auto"/>
              <w:bottom w:val="single" w:sz="4" w:space="0" w:color="000000"/>
              <w:right w:val="single" w:sz="4" w:space="0" w:color="auto"/>
            </w:tcBorders>
            <w:shd w:val="clear" w:color="auto" w:fill="F7CAAC" w:themeFill="accent2" w:themeFillTint="66"/>
            <w:vAlign w:val="center"/>
            <w:hideMark/>
          </w:tcPr>
          <w:p w14:paraId="47D89DCC" w14:textId="77777777" w:rsidR="000B01CB" w:rsidRPr="000B01CB" w:rsidRDefault="000B01CB" w:rsidP="000B01CB">
            <w:pPr>
              <w:spacing w:after="0" w:line="240" w:lineRule="auto"/>
              <w:rPr>
                <w:rFonts w:ascii="Calibri" w:eastAsia="Times New Roman" w:hAnsi="Calibri" w:cs="Times New Roman"/>
                <w:b/>
                <w:bCs/>
                <w:color w:val="000000"/>
                <w:sz w:val="18"/>
                <w:szCs w:val="18"/>
                <w:lang w:val="es-SV" w:eastAsia="es-SV"/>
              </w:rPr>
            </w:pPr>
          </w:p>
        </w:tc>
        <w:tc>
          <w:tcPr>
            <w:tcW w:w="795" w:type="pct"/>
            <w:vMerge/>
            <w:tcBorders>
              <w:top w:val="single" w:sz="4" w:space="0" w:color="auto"/>
              <w:left w:val="single" w:sz="4" w:space="0" w:color="auto"/>
              <w:bottom w:val="single" w:sz="4" w:space="0" w:color="000000"/>
              <w:right w:val="single" w:sz="4" w:space="0" w:color="auto"/>
            </w:tcBorders>
            <w:shd w:val="clear" w:color="auto" w:fill="F7CAAC" w:themeFill="accent2" w:themeFillTint="66"/>
            <w:vAlign w:val="center"/>
            <w:hideMark/>
          </w:tcPr>
          <w:p w14:paraId="5C2A7519" w14:textId="77777777" w:rsidR="000B01CB" w:rsidRPr="000B01CB" w:rsidRDefault="000B01CB" w:rsidP="000B01CB">
            <w:pPr>
              <w:spacing w:after="0" w:line="240" w:lineRule="auto"/>
              <w:rPr>
                <w:rFonts w:ascii="Calibri" w:eastAsia="Times New Roman" w:hAnsi="Calibri" w:cs="Times New Roman"/>
                <w:b/>
                <w:bCs/>
                <w:color w:val="000000"/>
                <w:sz w:val="18"/>
                <w:szCs w:val="18"/>
                <w:lang w:val="es-SV" w:eastAsia="es-SV"/>
              </w:rPr>
            </w:pPr>
          </w:p>
        </w:tc>
        <w:tc>
          <w:tcPr>
            <w:tcW w:w="732" w:type="pct"/>
            <w:vMerge/>
            <w:tcBorders>
              <w:top w:val="single" w:sz="4" w:space="0" w:color="auto"/>
              <w:left w:val="single" w:sz="4" w:space="0" w:color="auto"/>
              <w:bottom w:val="single" w:sz="4" w:space="0" w:color="000000"/>
              <w:right w:val="single" w:sz="4" w:space="0" w:color="auto"/>
            </w:tcBorders>
            <w:shd w:val="clear" w:color="auto" w:fill="F7CAAC" w:themeFill="accent2" w:themeFillTint="66"/>
            <w:vAlign w:val="center"/>
            <w:hideMark/>
          </w:tcPr>
          <w:p w14:paraId="63DB1FB0" w14:textId="77777777" w:rsidR="000B01CB" w:rsidRPr="000B01CB" w:rsidRDefault="000B01CB" w:rsidP="000B01CB">
            <w:pPr>
              <w:spacing w:after="0" w:line="240" w:lineRule="auto"/>
              <w:rPr>
                <w:rFonts w:ascii="Calibri" w:eastAsia="Times New Roman" w:hAnsi="Calibri" w:cs="Times New Roman"/>
                <w:b/>
                <w:bCs/>
                <w:color w:val="000000"/>
                <w:sz w:val="18"/>
                <w:szCs w:val="18"/>
                <w:lang w:val="es-SV" w:eastAsia="es-SV"/>
              </w:rPr>
            </w:pPr>
          </w:p>
        </w:tc>
      </w:tr>
      <w:tr w:rsidR="000B01CB" w:rsidRPr="000B01CB" w14:paraId="03B2505C" w14:textId="77777777" w:rsidTr="002232A8">
        <w:trPr>
          <w:trHeight w:val="1800"/>
        </w:trPr>
        <w:tc>
          <w:tcPr>
            <w:tcW w:w="1217" w:type="pct"/>
            <w:tcBorders>
              <w:top w:val="nil"/>
              <w:left w:val="single" w:sz="4" w:space="0" w:color="auto"/>
              <w:bottom w:val="single" w:sz="4" w:space="0" w:color="auto"/>
              <w:right w:val="single" w:sz="4" w:space="0" w:color="auto"/>
            </w:tcBorders>
            <w:shd w:val="clear" w:color="auto" w:fill="auto"/>
            <w:hideMark/>
          </w:tcPr>
          <w:p w14:paraId="1D40FCC1" w14:textId="77777777" w:rsidR="000B01CB" w:rsidRPr="000B01CB" w:rsidRDefault="000B01CB" w:rsidP="000B01CB">
            <w:pPr>
              <w:spacing w:after="0" w:line="240" w:lineRule="auto"/>
              <w:rPr>
                <w:rFonts w:ascii="Calibri" w:eastAsia="Times New Roman" w:hAnsi="Calibri" w:cs="Times New Roman"/>
                <w:b/>
                <w:bCs/>
                <w:color w:val="000000"/>
                <w:sz w:val="18"/>
                <w:szCs w:val="18"/>
                <w:lang w:val="es-SV" w:eastAsia="es-SV"/>
              </w:rPr>
            </w:pPr>
            <w:r w:rsidRPr="000B01CB">
              <w:rPr>
                <w:rFonts w:ascii="Calibri" w:eastAsia="Times New Roman" w:hAnsi="Calibri" w:cs="Times New Roman"/>
                <w:b/>
                <w:bCs/>
                <w:color w:val="000000"/>
                <w:sz w:val="18"/>
                <w:szCs w:val="18"/>
                <w:lang w:val="es-SV" w:eastAsia="es-SV"/>
              </w:rPr>
              <w:t xml:space="preserve">1.Movilización de recursos mediante la coordinación con  seguros privados de salud </w:t>
            </w:r>
            <w:r w:rsidR="0084152A">
              <w:rPr>
                <w:rFonts w:ascii="Calibri" w:eastAsia="Times New Roman" w:hAnsi="Calibri" w:cs="Times New Roman"/>
                <w:b/>
                <w:bCs/>
                <w:color w:val="000000"/>
                <w:sz w:val="18"/>
                <w:szCs w:val="18"/>
                <w:lang w:val="es-SV" w:eastAsia="es-SV"/>
              </w:rPr>
              <w:t xml:space="preserve">y de vida </w:t>
            </w:r>
            <w:r w:rsidRPr="000B01CB">
              <w:rPr>
                <w:rFonts w:ascii="Calibri" w:eastAsia="Times New Roman" w:hAnsi="Calibri" w:cs="Times New Roman"/>
                <w:b/>
                <w:bCs/>
                <w:color w:val="000000"/>
                <w:sz w:val="18"/>
                <w:szCs w:val="18"/>
                <w:lang w:val="es-SV" w:eastAsia="es-SV"/>
              </w:rPr>
              <w:t xml:space="preserve">dirigidos a determinados  segmentos  de la  población,  para su integración en la respuesta nacional al VIH </w:t>
            </w:r>
          </w:p>
        </w:tc>
        <w:tc>
          <w:tcPr>
            <w:tcW w:w="752" w:type="pct"/>
            <w:tcBorders>
              <w:top w:val="nil"/>
              <w:left w:val="nil"/>
              <w:bottom w:val="single" w:sz="4" w:space="0" w:color="auto"/>
              <w:right w:val="single" w:sz="4" w:space="0" w:color="auto"/>
            </w:tcBorders>
            <w:shd w:val="clear" w:color="auto" w:fill="auto"/>
            <w:hideMark/>
          </w:tcPr>
          <w:p w14:paraId="612D3CD2" w14:textId="77777777" w:rsidR="000B01CB" w:rsidRPr="000B01CB" w:rsidRDefault="000B01CB" w:rsidP="000B01CB">
            <w:pPr>
              <w:spacing w:after="0" w:line="240" w:lineRule="auto"/>
              <w:rPr>
                <w:rFonts w:ascii="Calibri" w:eastAsia="Times New Roman" w:hAnsi="Calibri" w:cs="Times New Roman"/>
                <w:color w:val="000000"/>
                <w:sz w:val="18"/>
                <w:szCs w:val="18"/>
                <w:lang w:val="es-SV" w:eastAsia="es-SV"/>
              </w:rPr>
            </w:pPr>
            <w:r w:rsidRPr="000B01CB">
              <w:rPr>
                <w:rFonts w:ascii="Calibri" w:eastAsia="Times New Roman" w:hAnsi="Calibri" w:cs="Times New Roman"/>
                <w:color w:val="000000"/>
                <w:sz w:val="18"/>
                <w:szCs w:val="18"/>
                <w:lang w:val="es-SV" w:eastAsia="es-SV"/>
              </w:rPr>
              <w:t>Manejo de información y datos segmentados y desfasados sobre la realidad del VIH en el país.</w:t>
            </w:r>
          </w:p>
        </w:tc>
        <w:tc>
          <w:tcPr>
            <w:tcW w:w="752" w:type="pct"/>
            <w:tcBorders>
              <w:top w:val="nil"/>
              <w:left w:val="nil"/>
              <w:bottom w:val="single" w:sz="4" w:space="0" w:color="auto"/>
              <w:right w:val="single" w:sz="4" w:space="0" w:color="auto"/>
            </w:tcBorders>
            <w:shd w:val="clear" w:color="auto" w:fill="auto"/>
            <w:hideMark/>
          </w:tcPr>
          <w:p w14:paraId="1F8333C9" w14:textId="77777777" w:rsidR="000B01CB" w:rsidRPr="000B01CB" w:rsidRDefault="000B01CB" w:rsidP="000B01CB">
            <w:pPr>
              <w:spacing w:after="0" w:line="240" w:lineRule="auto"/>
              <w:rPr>
                <w:rFonts w:ascii="Calibri" w:eastAsia="Times New Roman" w:hAnsi="Calibri" w:cs="Times New Roman"/>
                <w:color w:val="000000"/>
                <w:sz w:val="18"/>
                <w:szCs w:val="18"/>
                <w:lang w:val="es-SV" w:eastAsia="es-SV"/>
              </w:rPr>
            </w:pPr>
            <w:r w:rsidRPr="000B01CB">
              <w:rPr>
                <w:rFonts w:ascii="Calibri" w:eastAsia="Times New Roman" w:hAnsi="Calibri" w:cs="Times New Roman"/>
                <w:color w:val="000000"/>
                <w:sz w:val="18"/>
                <w:szCs w:val="18"/>
                <w:lang w:val="es-SV" w:eastAsia="es-SV"/>
              </w:rPr>
              <w:t>Poder proveer información y datos de manera sistematizadas y de manera periódica.</w:t>
            </w:r>
          </w:p>
        </w:tc>
        <w:tc>
          <w:tcPr>
            <w:tcW w:w="752" w:type="pct"/>
            <w:tcBorders>
              <w:top w:val="nil"/>
              <w:left w:val="nil"/>
              <w:bottom w:val="single" w:sz="4" w:space="0" w:color="auto"/>
              <w:right w:val="single" w:sz="4" w:space="0" w:color="auto"/>
            </w:tcBorders>
            <w:shd w:val="clear" w:color="auto" w:fill="auto"/>
            <w:hideMark/>
          </w:tcPr>
          <w:p w14:paraId="0766644A" w14:textId="77777777" w:rsidR="000B01CB" w:rsidRPr="000B01CB" w:rsidRDefault="000B01CB" w:rsidP="000B01CB">
            <w:pPr>
              <w:spacing w:after="0" w:line="240" w:lineRule="auto"/>
              <w:rPr>
                <w:rFonts w:ascii="Calibri" w:eastAsia="Times New Roman" w:hAnsi="Calibri" w:cs="Times New Roman"/>
                <w:color w:val="000000"/>
                <w:sz w:val="18"/>
                <w:szCs w:val="18"/>
                <w:lang w:val="es-SV" w:eastAsia="es-SV"/>
              </w:rPr>
            </w:pPr>
            <w:r w:rsidRPr="000B01CB">
              <w:rPr>
                <w:rFonts w:ascii="Calibri" w:eastAsia="Times New Roman" w:hAnsi="Calibri" w:cs="Times New Roman"/>
                <w:color w:val="000000"/>
                <w:sz w:val="18"/>
                <w:szCs w:val="18"/>
                <w:lang w:val="es-SV" w:eastAsia="es-SV"/>
              </w:rPr>
              <w:t>Organizar la información y datos para dar una categoría de nacional.</w:t>
            </w:r>
          </w:p>
        </w:tc>
        <w:tc>
          <w:tcPr>
            <w:tcW w:w="795" w:type="pct"/>
            <w:tcBorders>
              <w:top w:val="nil"/>
              <w:left w:val="nil"/>
              <w:bottom w:val="single" w:sz="4" w:space="0" w:color="auto"/>
              <w:right w:val="single" w:sz="4" w:space="0" w:color="auto"/>
            </w:tcBorders>
            <w:shd w:val="clear" w:color="auto" w:fill="auto"/>
            <w:hideMark/>
          </w:tcPr>
          <w:p w14:paraId="7E221C2F" w14:textId="77777777" w:rsidR="000B01CB" w:rsidRPr="000B01CB" w:rsidRDefault="000B01CB" w:rsidP="000B01CB">
            <w:pPr>
              <w:spacing w:after="0" w:line="240" w:lineRule="auto"/>
              <w:rPr>
                <w:rFonts w:ascii="Calibri" w:eastAsia="Times New Roman" w:hAnsi="Calibri" w:cs="Times New Roman"/>
                <w:color w:val="000000"/>
                <w:sz w:val="18"/>
                <w:szCs w:val="18"/>
                <w:lang w:val="es-SV" w:eastAsia="es-SV"/>
              </w:rPr>
            </w:pPr>
            <w:r w:rsidRPr="000B01CB">
              <w:rPr>
                <w:rFonts w:ascii="Calibri" w:eastAsia="Times New Roman" w:hAnsi="Calibri" w:cs="Times New Roman"/>
                <w:color w:val="000000"/>
                <w:sz w:val="18"/>
                <w:szCs w:val="18"/>
                <w:lang w:val="es-SV" w:eastAsia="es-SV"/>
              </w:rPr>
              <w:t>Establecer una alianza estratégica con al menos una empresa de seguro que tenga operaciones en el país.</w:t>
            </w:r>
          </w:p>
        </w:tc>
        <w:tc>
          <w:tcPr>
            <w:tcW w:w="732" w:type="pct"/>
            <w:tcBorders>
              <w:top w:val="nil"/>
              <w:left w:val="nil"/>
              <w:bottom w:val="single" w:sz="4" w:space="0" w:color="auto"/>
              <w:right w:val="single" w:sz="4" w:space="0" w:color="auto"/>
            </w:tcBorders>
            <w:shd w:val="clear" w:color="auto" w:fill="auto"/>
            <w:vAlign w:val="bottom"/>
            <w:hideMark/>
          </w:tcPr>
          <w:p w14:paraId="7DA024D7" w14:textId="77777777" w:rsidR="000B01CB" w:rsidRPr="000B01CB" w:rsidRDefault="000B01CB" w:rsidP="000B01CB">
            <w:pPr>
              <w:spacing w:after="0" w:line="240" w:lineRule="auto"/>
              <w:rPr>
                <w:rFonts w:ascii="Calibri" w:eastAsia="Times New Roman" w:hAnsi="Calibri" w:cs="Times New Roman"/>
                <w:color w:val="000000"/>
                <w:sz w:val="18"/>
                <w:szCs w:val="18"/>
                <w:lang w:val="es-SV" w:eastAsia="es-SV"/>
              </w:rPr>
            </w:pPr>
            <w:r w:rsidRPr="000B01CB">
              <w:rPr>
                <w:rFonts w:ascii="Calibri" w:eastAsia="Times New Roman" w:hAnsi="Calibri" w:cs="Times New Roman"/>
                <w:color w:val="000000"/>
                <w:sz w:val="18"/>
                <w:szCs w:val="18"/>
                <w:lang w:val="es-SV" w:eastAsia="es-SV"/>
              </w:rPr>
              <w:t xml:space="preserve">SETEPLAN, MINSAL, ISSS, FOSALUD, SM, BM, Organizaciones de la Sociedad Civil, Empresas Aseguradas </w:t>
            </w:r>
            <w:r w:rsidR="0084152A">
              <w:rPr>
                <w:rFonts w:ascii="Calibri" w:eastAsia="Times New Roman" w:hAnsi="Calibri" w:cs="Times New Roman"/>
                <w:color w:val="000000"/>
                <w:sz w:val="18"/>
                <w:szCs w:val="18"/>
                <w:lang w:val="es-SV" w:eastAsia="es-SV"/>
              </w:rPr>
              <w:t>Nacionales como Internacionales, PDDH, ONUSIDA, REDCA.</w:t>
            </w:r>
          </w:p>
        </w:tc>
      </w:tr>
    </w:tbl>
    <w:p w14:paraId="6AC17D76" w14:textId="77777777" w:rsidR="00A307AC" w:rsidRDefault="00A307AC"/>
    <w:tbl>
      <w:tblPr>
        <w:tblStyle w:val="Tablaconcuadrcula"/>
        <w:tblW w:w="4990" w:type="pct"/>
        <w:tblLook w:val="04A0" w:firstRow="1" w:lastRow="0" w:firstColumn="1" w:lastColumn="0" w:noHBand="0" w:noVBand="1"/>
      </w:tblPr>
      <w:tblGrid>
        <w:gridCol w:w="9905"/>
        <w:gridCol w:w="581"/>
        <w:gridCol w:w="646"/>
        <w:gridCol w:w="581"/>
        <w:gridCol w:w="581"/>
        <w:gridCol w:w="674"/>
      </w:tblGrid>
      <w:tr w:rsidR="009F006B" w:rsidRPr="004240EE" w14:paraId="3AA7D2E5" w14:textId="77777777" w:rsidTr="009F006B">
        <w:trPr>
          <w:trHeight w:val="412"/>
        </w:trPr>
        <w:tc>
          <w:tcPr>
            <w:tcW w:w="3817" w:type="pct"/>
          </w:tcPr>
          <w:p w14:paraId="1BF6FFDF" w14:textId="77777777" w:rsidR="009F006B" w:rsidRPr="004240EE" w:rsidRDefault="009F006B" w:rsidP="009F006B">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 xml:space="preserve">Acciones / </w:t>
            </w:r>
            <w:r w:rsidRPr="00EE1739">
              <w:rPr>
                <w:rFonts w:ascii="Calibri" w:eastAsia="Times New Roman" w:hAnsi="Calibri" w:cs="Times New Roman"/>
                <w:b/>
                <w:color w:val="000000"/>
                <w:sz w:val="18"/>
                <w:szCs w:val="18"/>
                <w:lang w:val="es-SV" w:eastAsia="es-SV"/>
              </w:rPr>
              <w:t>Periodo de ejecución</w:t>
            </w:r>
          </w:p>
        </w:tc>
        <w:tc>
          <w:tcPr>
            <w:tcW w:w="224" w:type="pct"/>
          </w:tcPr>
          <w:p w14:paraId="6DC2C5FB" w14:textId="77777777" w:rsidR="009F006B" w:rsidRPr="00F925A9" w:rsidRDefault="009F006B"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2019</w:t>
            </w:r>
          </w:p>
          <w:p w14:paraId="64322252" w14:textId="77777777" w:rsidR="009F006B" w:rsidRPr="00F925A9" w:rsidRDefault="009F006B" w:rsidP="0025750E">
            <w:pPr>
              <w:jc w:val="center"/>
              <w:rPr>
                <w:rFonts w:ascii="Calibri" w:eastAsia="Times New Roman" w:hAnsi="Calibri" w:cs="Times New Roman"/>
                <w:b/>
                <w:color w:val="000000"/>
                <w:sz w:val="18"/>
                <w:szCs w:val="18"/>
                <w:lang w:val="es-SV" w:eastAsia="es-SV"/>
              </w:rPr>
            </w:pPr>
          </w:p>
        </w:tc>
        <w:tc>
          <w:tcPr>
            <w:tcW w:w="249" w:type="pct"/>
          </w:tcPr>
          <w:p w14:paraId="725B929B" w14:textId="77777777" w:rsidR="009F006B" w:rsidRPr="00F925A9" w:rsidRDefault="009F006B" w:rsidP="0025750E">
            <w:pP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2020</w:t>
            </w:r>
          </w:p>
        </w:tc>
        <w:tc>
          <w:tcPr>
            <w:tcW w:w="224" w:type="pct"/>
          </w:tcPr>
          <w:p w14:paraId="3E1436F3" w14:textId="77777777" w:rsidR="009F006B" w:rsidRPr="00F925A9" w:rsidRDefault="009F006B"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2021</w:t>
            </w:r>
          </w:p>
          <w:p w14:paraId="288CDED2" w14:textId="77777777" w:rsidR="009F006B" w:rsidRPr="00F925A9" w:rsidRDefault="009F006B" w:rsidP="0025750E">
            <w:pPr>
              <w:jc w:val="center"/>
              <w:rPr>
                <w:rFonts w:ascii="Calibri" w:eastAsia="Times New Roman" w:hAnsi="Calibri" w:cs="Times New Roman"/>
                <w:b/>
                <w:color w:val="000000"/>
                <w:sz w:val="18"/>
                <w:szCs w:val="18"/>
                <w:lang w:val="es-SV" w:eastAsia="es-SV"/>
              </w:rPr>
            </w:pPr>
          </w:p>
        </w:tc>
        <w:tc>
          <w:tcPr>
            <w:tcW w:w="224" w:type="pct"/>
          </w:tcPr>
          <w:p w14:paraId="3F4CF043" w14:textId="77777777" w:rsidR="009F006B" w:rsidRPr="00F925A9" w:rsidRDefault="009F006B"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2022</w:t>
            </w:r>
          </w:p>
          <w:p w14:paraId="05AA093E" w14:textId="77777777" w:rsidR="009F006B" w:rsidRPr="00F925A9" w:rsidRDefault="009F006B" w:rsidP="0025750E">
            <w:pPr>
              <w:jc w:val="center"/>
              <w:rPr>
                <w:rFonts w:ascii="Calibri" w:eastAsia="Times New Roman" w:hAnsi="Calibri" w:cs="Times New Roman"/>
                <w:b/>
                <w:color w:val="000000"/>
                <w:sz w:val="18"/>
                <w:szCs w:val="18"/>
                <w:lang w:val="es-SV" w:eastAsia="es-SV"/>
              </w:rPr>
            </w:pPr>
          </w:p>
        </w:tc>
        <w:tc>
          <w:tcPr>
            <w:tcW w:w="260" w:type="pct"/>
          </w:tcPr>
          <w:p w14:paraId="67314D43" w14:textId="77777777" w:rsidR="009F006B" w:rsidRPr="00F925A9" w:rsidRDefault="009F006B"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2023</w:t>
            </w:r>
          </w:p>
          <w:p w14:paraId="696DF6F4" w14:textId="77777777" w:rsidR="009F006B" w:rsidRPr="00F925A9" w:rsidRDefault="009F006B" w:rsidP="0025750E">
            <w:pPr>
              <w:jc w:val="center"/>
              <w:rPr>
                <w:rFonts w:ascii="Calibri" w:eastAsia="Times New Roman" w:hAnsi="Calibri" w:cs="Times New Roman"/>
                <w:b/>
                <w:color w:val="000000"/>
                <w:sz w:val="18"/>
                <w:szCs w:val="18"/>
                <w:lang w:val="es-SV" w:eastAsia="es-SV"/>
              </w:rPr>
            </w:pPr>
          </w:p>
        </w:tc>
      </w:tr>
      <w:tr w:rsidR="009F006B" w:rsidRPr="0077324A" w14:paraId="229758AE" w14:textId="77777777" w:rsidTr="009F006B">
        <w:trPr>
          <w:trHeight w:val="409"/>
        </w:trPr>
        <w:tc>
          <w:tcPr>
            <w:tcW w:w="3817" w:type="pct"/>
            <w:hideMark/>
          </w:tcPr>
          <w:p w14:paraId="53527661" w14:textId="77777777" w:rsidR="009F006B" w:rsidRDefault="009F006B" w:rsidP="0025750E">
            <w:pPr>
              <w:rPr>
                <w:rFonts w:ascii="Calibri" w:hAnsi="Calibri"/>
                <w:color w:val="000000"/>
                <w:sz w:val="18"/>
                <w:szCs w:val="18"/>
              </w:rPr>
            </w:pPr>
            <w:r>
              <w:rPr>
                <w:rFonts w:ascii="Calibri" w:hAnsi="Calibri"/>
                <w:color w:val="000000"/>
                <w:sz w:val="18"/>
                <w:szCs w:val="18"/>
              </w:rPr>
              <w:t>Establecer un mapeo de la información y datos que requieren las aseguradoras.</w:t>
            </w:r>
          </w:p>
        </w:tc>
        <w:tc>
          <w:tcPr>
            <w:tcW w:w="224" w:type="pct"/>
            <w:vAlign w:val="center"/>
            <w:hideMark/>
          </w:tcPr>
          <w:p w14:paraId="1D944341" w14:textId="77777777" w:rsidR="009F006B" w:rsidRDefault="009F006B" w:rsidP="0025750E">
            <w:pPr>
              <w:jc w:val="center"/>
              <w:rPr>
                <w:rFonts w:ascii="Calibri" w:hAnsi="Calibri"/>
                <w:color w:val="000000"/>
              </w:rPr>
            </w:pPr>
            <w:r>
              <w:rPr>
                <w:rFonts w:ascii="Calibri" w:hAnsi="Calibri"/>
                <w:color w:val="000000"/>
              </w:rPr>
              <w:t> </w:t>
            </w:r>
          </w:p>
        </w:tc>
        <w:tc>
          <w:tcPr>
            <w:tcW w:w="249" w:type="pct"/>
            <w:vAlign w:val="center"/>
          </w:tcPr>
          <w:p w14:paraId="5BE4CA30" w14:textId="77777777" w:rsidR="009F006B" w:rsidRDefault="009F006B" w:rsidP="0025750E">
            <w:pPr>
              <w:jc w:val="center"/>
              <w:rPr>
                <w:rFonts w:ascii="Calibri" w:hAnsi="Calibri"/>
                <w:color w:val="000000"/>
              </w:rPr>
            </w:pPr>
            <w:r>
              <w:rPr>
                <w:rFonts w:ascii="Calibri" w:hAnsi="Calibri"/>
                <w:color w:val="000000"/>
              </w:rPr>
              <w:t>x</w:t>
            </w:r>
          </w:p>
        </w:tc>
        <w:tc>
          <w:tcPr>
            <w:tcW w:w="224" w:type="pct"/>
            <w:vAlign w:val="center"/>
          </w:tcPr>
          <w:p w14:paraId="732D6867" w14:textId="77777777" w:rsidR="009F006B" w:rsidRDefault="009F006B" w:rsidP="0025750E">
            <w:pPr>
              <w:jc w:val="center"/>
              <w:rPr>
                <w:rFonts w:ascii="Calibri" w:hAnsi="Calibri"/>
                <w:color w:val="000000"/>
              </w:rPr>
            </w:pPr>
            <w:r>
              <w:rPr>
                <w:rFonts w:ascii="Calibri" w:hAnsi="Calibri"/>
                <w:color w:val="000000"/>
              </w:rPr>
              <w:t> </w:t>
            </w:r>
          </w:p>
        </w:tc>
        <w:tc>
          <w:tcPr>
            <w:tcW w:w="224" w:type="pct"/>
            <w:vAlign w:val="center"/>
          </w:tcPr>
          <w:p w14:paraId="300B36DF" w14:textId="77777777" w:rsidR="009F006B" w:rsidRDefault="009F006B" w:rsidP="0025750E">
            <w:pPr>
              <w:jc w:val="center"/>
              <w:rPr>
                <w:rFonts w:ascii="Calibri" w:hAnsi="Calibri"/>
                <w:color w:val="000000"/>
              </w:rPr>
            </w:pPr>
            <w:r>
              <w:rPr>
                <w:rFonts w:ascii="Calibri" w:hAnsi="Calibri"/>
                <w:color w:val="000000"/>
              </w:rPr>
              <w:t>x</w:t>
            </w:r>
          </w:p>
        </w:tc>
        <w:tc>
          <w:tcPr>
            <w:tcW w:w="260" w:type="pct"/>
            <w:vAlign w:val="center"/>
          </w:tcPr>
          <w:p w14:paraId="3944E1CD" w14:textId="77777777" w:rsidR="009F006B" w:rsidRDefault="009F006B" w:rsidP="0025750E">
            <w:pPr>
              <w:jc w:val="center"/>
              <w:rPr>
                <w:rFonts w:ascii="Calibri" w:hAnsi="Calibri"/>
                <w:color w:val="000000"/>
              </w:rPr>
            </w:pPr>
            <w:r>
              <w:rPr>
                <w:rFonts w:ascii="Calibri" w:hAnsi="Calibri"/>
                <w:color w:val="000000"/>
              </w:rPr>
              <w:t> </w:t>
            </w:r>
          </w:p>
        </w:tc>
      </w:tr>
      <w:tr w:rsidR="009F006B" w:rsidRPr="0077324A" w14:paraId="007ACE5C" w14:textId="77777777" w:rsidTr="009F006B">
        <w:trPr>
          <w:trHeight w:val="699"/>
        </w:trPr>
        <w:tc>
          <w:tcPr>
            <w:tcW w:w="3817" w:type="pct"/>
            <w:hideMark/>
          </w:tcPr>
          <w:p w14:paraId="2331D192" w14:textId="77777777" w:rsidR="009F006B" w:rsidRDefault="009F006B" w:rsidP="0025750E">
            <w:pPr>
              <w:rPr>
                <w:rFonts w:ascii="Calibri" w:hAnsi="Calibri"/>
                <w:color w:val="000000"/>
                <w:sz w:val="18"/>
                <w:szCs w:val="18"/>
              </w:rPr>
            </w:pPr>
            <w:r>
              <w:rPr>
                <w:rFonts w:ascii="Calibri" w:hAnsi="Calibri"/>
                <w:color w:val="000000"/>
                <w:sz w:val="18"/>
                <w:szCs w:val="18"/>
              </w:rPr>
              <w:t>Establecer opciones de incentivos no financieros de manera conjunta (Estado y empresas aseguradoras), como por ejemplo el MINSAL en su calidad de ente rector proveer estudios actuariales sobre la población que vive con VIH-Sida en el país a las aseguradas.</w:t>
            </w:r>
          </w:p>
        </w:tc>
        <w:tc>
          <w:tcPr>
            <w:tcW w:w="224" w:type="pct"/>
            <w:vAlign w:val="center"/>
            <w:hideMark/>
          </w:tcPr>
          <w:p w14:paraId="49419705" w14:textId="77777777" w:rsidR="009F006B" w:rsidRDefault="009F006B" w:rsidP="0025750E">
            <w:pPr>
              <w:jc w:val="center"/>
              <w:rPr>
                <w:rFonts w:ascii="Calibri" w:hAnsi="Calibri"/>
                <w:color w:val="000000"/>
              </w:rPr>
            </w:pPr>
            <w:r>
              <w:rPr>
                <w:rFonts w:ascii="Calibri" w:hAnsi="Calibri"/>
                <w:color w:val="000000"/>
              </w:rPr>
              <w:t> </w:t>
            </w:r>
          </w:p>
        </w:tc>
        <w:tc>
          <w:tcPr>
            <w:tcW w:w="249" w:type="pct"/>
            <w:vAlign w:val="center"/>
          </w:tcPr>
          <w:p w14:paraId="744B7181" w14:textId="77777777" w:rsidR="009F006B" w:rsidRDefault="009F006B" w:rsidP="0025750E">
            <w:pPr>
              <w:jc w:val="center"/>
              <w:rPr>
                <w:rFonts w:ascii="Calibri" w:hAnsi="Calibri"/>
                <w:color w:val="000000"/>
              </w:rPr>
            </w:pPr>
            <w:r>
              <w:rPr>
                <w:rFonts w:ascii="Calibri" w:hAnsi="Calibri"/>
                <w:color w:val="000000"/>
              </w:rPr>
              <w:t>x</w:t>
            </w:r>
          </w:p>
        </w:tc>
        <w:tc>
          <w:tcPr>
            <w:tcW w:w="224" w:type="pct"/>
            <w:vAlign w:val="center"/>
          </w:tcPr>
          <w:p w14:paraId="0D4E6823" w14:textId="77777777" w:rsidR="009F006B" w:rsidRDefault="009F006B" w:rsidP="0025750E">
            <w:pPr>
              <w:jc w:val="center"/>
              <w:rPr>
                <w:rFonts w:ascii="Calibri" w:hAnsi="Calibri"/>
                <w:color w:val="000000"/>
              </w:rPr>
            </w:pPr>
            <w:r>
              <w:rPr>
                <w:rFonts w:ascii="Calibri" w:hAnsi="Calibri"/>
                <w:color w:val="000000"/>
              </w:rPr>
              <w:t> </w:t>
            </w:r>
          </w:p>
        </w:tc>
        <w:tc>
          <w:tcPr>
            <w:tcW w:w="224" w:type="pct"/>
            <w:vAlign w:val="center"/>
          </w:tcPr>
          <w:p w14:paraId="13FDCD60" w14:textId="77777777" w:rsidR="009F006B" w:rsidRDefault="009F006B" w:rsidP="0025750E">
            <w:pPr>
              <w:jc w:val="center"/>
              <w:rPr>
                <w:rFonts w:ascii="Calibri" w:hAnsi="Calibri"/>
                <w:color w:val="000000"/>
              </w:rPr>
            </w:pPr>
            <w:r>
              <w:rPr>
                <w:rFonts w:ascii="Calibri" w:hAnsi="Calibri"/>
                <w:color w:val="000000"/>
              </w:rPr>
              <w:t>x</w:t>
            </w:r>
          </w:p>
        </w:tc>
        <w:tc>
          <w:tcPr>
            <w:tcW w:w="260" w:type="pct"/>
            <w:vAlign w:val="center"/>
          </w:tcPr>
          <w:p w14:paraId="0ABC9A5E" w14:textId="77777777" w:rsidR="009F006B" w:rsidRDefault="009F006B" w:rsidP="0025750E">
            <w:pPr>
              <w:jc w:val="center"/>
              <w:rPr>
                <w:rFonts w:ascii="Calibri" w:hAnsi="Calibri"/>
                <w:color w:val="000000"/>
              </w:rPr>
            </w:pPr>
            <w:r>
              <w:rPr>
                <w:rFonts w:ascii="Calibri" w:hAnsi="Calibri"/>
                <w:color w:val="000000"/>
              </w:rPr>
              <w:t> </w:t>
            </w:r>
          </w:p>
        </w:tc>
      </w:tr>
      <w:tr w:rsidR="009F006B" w:rsidRPr="0077324A" w14:paraId="0623C52A" w14:textId="77777777" w:rsidTr="009F006B">
        <w:trPr>
          <w:trHeight w:val="850"/>
        </w:trPr>
        <w:tc>
          <w:tcPr>
            <w:tcW w:w="3817" w:type="pct"/>
            <w:hideMark/>
          </w:tcPr>
          <w:p w14:paraId="024B5A78" w14:textId="77777777" w:rsidR="009F006B" w:rsidRDefault="009F006B" w:rsidP="0025750E">
            <w:pPr>
              <w:rPr>
                <w:rFonts w:ascii="Calibri" w:hAnsi="Calibri"/>
                <w:color w:val="000000"/>
                <w:sz w:val="18"/>
                <w:szCs w:val="18"/>
              </w:rPr>
            </w:pPr>
            <w:r>
              <w:rPr>
                <w:rFonts w:ascii="Calibri" w:hAnsi="Calibri"/>
                <w:color w:val="000000"/>
                <w:sz w:val="18"/>
                <w:szCs w:val="18"/>
              </w:rPr>
              <w:t xml:space="preserve">Establecer un plan de formación y actualización de conocimientos para personal técnico del sector público para hacer frente a la estructuración sistemática de la información como de los datos sobre VIH con vocación de movilizar recursos financieros como económicos. </w:t>
            </w:r>
          </w:p>
        </w:tc>
        <w:tc>
          <w:tcPr>
            <w:tcW w:w="224" w:type="pct"/>
            <w:vAlign w:val="center"/>
            <w:hideMark/>
          </w:tcPr>
          <w:p w14:paraId="1FDA662B" w14:textId="77777777" w:rsidR="009F006B" w:rsidRDefault="009F006B" w:rsidP="0025750E">
            <w:pPr>
              <w:jc w:val="center"/>
              <w:rPr>
                <w:rFonts w:ascii="Calibri" w:hAnsi="Calibri"/>
                <w:color w:val="000000"/>
              </w:rPr>
            </w:pPr>
            <w:r>
              <w:rPr>
                <w:rFonts w:ascii="Calibri" w:hAnsi="Calibri"/>
                <w:color w:val="000000"/>
              </w:rPr>
              <w:t> </w:t>
            </w:r>
          </w:p>
        </w:tc>
        <w:tc>
          <w:tcPr>
            <w:tcW w:w="249" w:type="pct"/>
            <w:vAlign w:val="center"/>
          </w:tcPr>
          <w:p w14:paraId="188E43EB" w14:textId="77777777" w:rsidR="009F006B" w:rsidRDefault="009F006B" w:rsidP="0025750E">
            <w:pPr>
              <w:jc w:val="center"/>
              <w:rPr>
                <w:rFonts w:ascii="Calibri" w:hAnsi="Calibri"/>
                <w:color w:val="000000"/>
              </w:rPr>
            </w:pPr>
            <w:r>
              <w:rPr>
                <w:rFonts w:ascii="Calibri" w:hAnsi="Calibri"/>
                <w:color w:val="000000"/>
              </w:rPr>
              <w:t>x</w:t>
            </w:r>
          </w:p>
        </w:tc>
        <w:tc>
          <w:tcPr>
            <w:tcW w:w="224" w:type="pct"/>
            <w:vAlign w:val="center"/>
          </w:tcPr>
          <w:p w14:paraId="24D053B8" w14:textId="77777777" w:rsidR="009F006B" w:rsidRDefault="009F006B" w:rsidP="0025750E">
            <w:pPr>
              <w:jc w:val="center"/>
              <w:rPr>
                <w:rFonts w:ascii="Calibri" w:hAnsi="Calibri"/>
                <w:color w:val="000000"/>
              </w:rPr>
            </w:pPr>
            <w:r>
              <w:rPr>
                <w:rFonts w:ascii="Calibri" w:hAnsi="Calibri"/>
                <w:color w:val="000000"/>
              </w:rPr>
              <w:t>x</w:t>
            </w:r>
          </w:p>
        </w:tc>
        <w:tc>
          <w:tcPr>
            <w:tcW w:w="224" w:type="pct"/>
            <w:vAlign w:val="center"/>
          </w:tcPr>
          <w:p w14:paraId="672884A8" w14:textId="77777777" w:rsidR="009F006B" w:rsidRDefault="009F006B" w:rsidP="0025750E">
            <w:pPr>
              <w:jc w:val="center"/>
              <w:rPr>
                <w:rFonts w:ascii="Calibri" w:hAnsi="Calibri"/>
                <w:color w:val="000000"/>
              </w:rPr>
            </w:pPr>
            <w:r>
              <w:rPr>
                <w:rFonts w:ascii="Calibri" w:hAnsi="Calibri"/>
                <w:color w:val="000000"/>
              </w:rPr>
              <w:t>x</w:t>
            </w:r>
          </w:p>
        </w:tc>
        <w:tc>
          <w:tcPr>
            <w:tcW w:w="260" w:type="pct"/>
            <w:vAlign w:val="center"/>
          </w:tcPr>
          <w:p w14:paraId="18761C2E" w14:textId="77777777" w:rsidR="009F006B" w:rsidRDefault="009F006B" w:rsidP="0025750E">
            <w:pPr>
              <w:jc w:val="center"/>
              <w:rPr>
                <w:rFonts w:ascii="Calibri" w:hAnsi="Calibri"/>
                <w:color w:val="000000"/>
              </w:rPr>
            </w:pPr>
            <w:r>
              <w:rPr>
                <w:rFonts w:ascii="Calibri" w:hAnsi="Calibri"/>
                <w:color w:val="000000"/>
              </w:rPr>
              <w:t>x</w:t>
            </w:r>
          </w:p>
        </w:tc>
      </w:tr>
    </w:tbl>
    <w:p w14:paraId="254F956E" w14:textId="77777777" w:rsidR="002232A8" w:rsidRDefault="002232A8"/>
    <w:p w14:paraId="79246723" w14:textId="77777777" w:rsidR="00A307AC" w:rsidRDefault="00A307AC"/>
    <w:p w14:paraId="0495A32D" w14:textId="77777777" w:rsidR="009F006B" w:rsidRDefault="009F006B"/>
    <w:p w14:paraId="7BA1B9C1" w14:textId="77777777" w:rsidR="00A307AC" w:rsidRDefault="00A307AC"/>
    <w:p w14:paraId="06601B1A" w14:textId="77777777" w:rsidR="00A307AC" w:rsidRDefault="00A307AC"/>
    <w:p w14:paraId="2FFC5CD5" w14:textId="77777777" w:rsidR="00A307AC" w:rsidRDefault="00A307AC"/>
    <w:tbl>
      <w:tblPr>
        <w:tblW w:w="5000" w:type="pct"/>
        <w:tblCellMar>
          <w:left w:w="70" w:type="dxa"/>
          <w:right w:w="70" w:type="dxa"/>
        </w:tblCellMar>
        <w:tblLook w:val="04A0" w:firstRow="1" w:lastRow="0" w:firstColumn="1" w:lastColumn="0" w:noHBand="0" w:noVBand="1"/>
      </w:tblPr>
      <w:tblGrid>
        <w:gridCol w:w="3164"/>
        <w:gridCol w:w="1954"/>
        <w:gridCol w:w="1954"/>
        <w:gridCol w:w="1954"/>
        <w:gridCol w:w="2066"/>
        <w:gridCol w:w="1902"/>
      </w:tblGrid>
      <w:tr w:rsidR="005F7825" w:rsidRPr="0077324A" w14:paraId="11476685" w14:textId="77777777" w:rsidTr="00BD0B8E">
        <w:trPr>
          <w:trHeight w:val="420"/>
        </w:trPr>
        <w:tc>
          <w:tcPr>
            <w:tcW w:w="1217"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822D8B" w14:textId="77777777" w:rsidR="005F7825" w:rsidRPr="0077324A" w:rsidRDefault="005F7825" w:rsidP="005F7825">
            <w:pP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lastRenderedPageBreak/>
              <w:t xml:space="preserve">Líneas de acción de la estrategia </w:t>
            </w:r>
          </w:p>
        </w:tc>
        <w:tc>
          <w:tcPr>
            <w:tcW w:w="752" w:type="pct"/>
            <w:tcBorders>
              <w:top w:val="single" w:sz="4" w:space="0" w:color="auto"/>
              <w:left w:val="nil"/>
              <w:bottom w:val="single" w:sz="4" w:space="0" w:color="auto"/>
              <w:right w:val="single" w:sz="4" w:space="0" w:color="auto"/>
            </w:tcBorders>
            <w:shd w:val="clear" w:color="auto" w:fill="F7CAAC" w:themeFill="accent2" w:themeFillTint="66"/>
            <w:hideMark/>
          </w:tcPr>
          <w:p w14:paraId="401A295A" w14:textId="77777777" w:rsidR="005F7825" w:rsidRPr="005F7825" w:rsidRDefault="00BD0B8E" w:rsidP="00312362">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Situación actual</w:t>
            </w:r>
          </w:p>
        </w:tc>
        <w:tc>
          <w:tcPr>
            <w:tcW w:w="752" w:type="pct"/>
            <w:tcBorders>
              <w:top w:val="single" w:sz="4" w:space="0" w:color="auto"/>
              <w:left w:val="nil"/>
              <w:bottom w:val="single" w:sz="4" w:space="0" w:color="auto"/>
              <w:right w:val="single" w:sz="4" w:space="0" w:color="auto"/>
            </w:tcBorders>
            <w:shd w:val="clear" w:color="auto" w:fill="F7CAAC" w:themeFill="accent2" w:themeFillTint="66"/>
            <w:hideMark/>
          </w:tcPr>
          <w:p w14:paraId="46B14546" w14:textId="77777777" w:rsidR="005F7825" w:rsidRPr="005F7825" w:rsidRDefault="00BD0B8E" w:rsidP="00BD0B8E">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 xml:space="preserve">Oportunidades </w:t>
            </w:r>
          </w:p>
        </w:tc>
        <w:tc>
          <w:tcPr>
            <w:tcW w:w="752" w:type="pct"/>
            <w:tcBorders>
              <w:top w:val="single" w:sz="4" w:space="0" w:color="auto"/>
              <w:left w:val="nil"/>
              <w:bottom w:val="single" w:sz="4" w:space="0" w:color="auto"/>
              <w:right w:val="single" w:sz="4" w:space="0" w:color="auto"/>
            </w:tcBorders>
            <w:shd w:val="clear" w:color="auto" w:fill="F7CAAC" w:themeFill="accent2" w:themeFillTint="66"/>
            <w:hideMark/>
          </w:tcPr>
          <w:p w14:paraId="19BB77A2" w14:textId="77777777" w:rsidR="005F7825" w:rsidRPr="005F7825" w:rsidRDefault="005F7825" w:rsidP="005F7825">
            <w:pPr>
              <w:rPr>
                <w:rFonts w:ascii="Calibri" w:eastAsia="Times New Roman" w:hAnsi="Calibri" w:cs="Times New Roman"/>
                <w:color w:val="000000"/>
                <w:sz w:val="18"/>
                <w:szCs w:val="18"/>
                <w:lang w:val="es-SV" w:eastAsia="es-SV"/>
              </w:rPr>
            </w:pPr>
            <w:r w:rsidRPr="005F7825">
              <w:rPr>
                <w:rFonts w:ascii="Calibri" w:eastAsia="Times New Roman" w:hAnsi="Calibri" w:cs="Times New Roman"/>
                <w:color w:val="000000"/>
                <w:sz w:val="18"/>
                <w:szCs w:val="18"/>
                <w:lang w:val="es-SV" w:eastAsia="es-SV"/>
              </w:rPr>
              <w:t>Desafíos</w:t>
            </w:r>
          </w:p>
        </w:tc>
        <w:tc>
          <w:tcPr>
            <w:tcW w:w="795" w:type="pct"/>
            <w:tcBorders>
              <w:top w:val="single" w:sz="4" w:space="0" w:color="auto"/>
              <w:left w:val="nil"/>
              <w:bottom w:val="single" w:sz="4" w:space="0" w:color="auto"/>
              <w:right w:val="single" w:sz="4" w:space="0" w:color="auto"/>
            </w:tcBorders>
            <w:shd w:val="clear" w:color="auto" w:fill="F7CAAC" w:themeFill="accent2" w:themeFillTint="66"/>
            <w:hideMark/>
          </w:tcPr>
          <w:p w14:paraId="47E9363A" w14:textId="77777777" w:rsidR="005F7825" w:rsidRPr="005F7825" w:rsidRDefault="005F7825" w:rsidP="005F7825">
            <w:pPr>
              <w:rPr>
                <w:rFonts w:ascii="Calibri" w:eastAsia="Times New Roman" w:hAnsi="Calibri" w:cs="Times New Roman"/>
                <w:color w:val="000000"/>
                <w:sz w:val="18"/>
                <w:szCs w:val="18"/>
                <w:lang w:val="es-SV" w:eastAsia="es-SV"/>
              </w:rPr>
            </w:pPr>
            <w:r w:rsidRPr="005F7825">
              <w:rPr>
                <w:rFonts w:ascii="Calibri" w:eastAsia="Times New Roman" w:hAnsi="Calibri" w:cs="Times New Roman"/>
                <w:color w:val="000000"/>
                <w:sz w:val="18"/>
                <w:szCs w:val="18"/>
                <w:lang w:val="es-SV" w:eastAsia="es-SV"/>
              </w:rPr>
              <w:t xml:space="preserve"> Meta (en base a brechas y prioridades) </w:t>
            </w:r>
          </w:p>
        </w:tc>
        <w:tc>
          <w:tcPr>
            <w:tcW w:w="732" w:type="pct"/>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58D227A2" w14:textId="77777777" w:rsidR="005F7825" w:rsidRPr="005F7825" w:rsidRDefault="005F7825" w:rsidP="005F7825">
            <w:pPr>
              <w:rPr>
                <w:rFonts w:ascii="Calibri" w:eastAsia="Times New Roman" w:hAnsi="Calibri" w:cs="Times New Roman"/>
                <w:color w:val="000000"/>
                <w:sz w:val="18"/>
                <w:szCs w:val="18"/>
                <w:lang w:val="es-SV" w:eastAsia="es-SV"/>
              </w:rPr>
            </w:pPr>
            <w:r w:rsidRPr="005F7825">
              <w:rPr>
                <w:rFonts w:ascii="Calibri" w:eastAsia="Times New Roman" w:hAnsi="Calibri" w:cs="Times New Roman"/>
                <w:color w:val="000000"/>
                <w:sz w:val="18"/>
                <w:szCs w:val="18"/>
                <w:lang w:val="es-SV" w:eastAsia="es-SV"/>
              </w:rPr>
              <w:t>Responsables de actividades</w:t>
            </w:r>
          </w:p>
        </w:tc>
      </w:tr>
      <w:tr w:rsidR="000B01CB" w:rsidRPr="000B01CB" w14:paraId="0D975546" w14:textId="77777777" w:rsidTr="00BD0B8E">
        <w:trPr>
          <w:trHeight w:val="1621"/>
        </w:trPr>
        <w:tc>
          <w:tcPr>
            <w:tcW w:w="1217" w:type="pct"/>
            <w:tcBorders>
              <w:top w:val="single" w:sz="4" w:space="0" w:color="auto"/>
              <w:left w:val="single" w:sz="4" w:space="0" w:color="auto"/>
              <w:bottom w:val="single" w:sz="4" w:space="0" w:color="auto"/>
              <w:right w:val="single" w:sz="4" w:space="0" w:color="auto"/>
            </w:tcBorders>
            <w:shd w:val="clear" w:color="auto" w:fill="auto"/>
            <w:hideMark/>
          </w:tcPr>
          <w:p w14:paraId="7B34A8AC" w14:textId="77777777" w:rsidR="000B01CB" w:rsidRPr="000B01CB" w:rsidRDefault="000B01CB" w:rsidP="000B01CB">
            <w:pPr>
              <w:spacing w:after="0" w:line="240" w:lineRule="auto"/>
              <w:rPr>
                <w:rFonts w:ascii="Calibri" w:eastAsia="Times New Roman" w:hAnsi="Calibri" w:cs="Times New Roman"/>
                <w:b/>
                <w:bCs/>
                <w:color w:val="000000"/>
                <w:sz w:val="18"/>
                <w:szCs w:val="18"/>
                <w:lang w:val="es-SV" w:eastAsia="es-SV"/>
              </w:rPr>
            </w:pPr>
            <w:r w:rsidRPr="000B01CB">
              <w:rPr>
                <w:rFonts w:ascii="Calibri" w:eastAsia="Times New Roman" w:hAnsi="Calibri" w:cs="Times New Roman"/>
                <w:b/>
                <w:bCs/>
                <w:color w:val="000000"/>
                <w:sz w:val="18"/>
                <w:szCs w:val="18"/>
                <w:lang w:val="es-SV" w:eastAsia="es-SV"/>
              </w:rPr>
              <w:t>2.Movilización de recursos mediante la coordinación con proveedores de servicios de salud privados,  con servicios dirigidos a determinados segmentos de la población,  para su integración en la respuesta nacional al VIH</w:t>
            </w:r>
          </w:p>
        </w:tc>
        <w:tc>
          <w:tcPr>
            <w:tcW w:w="752" w:type="pct"/>
            <w:tcBorders>
              <w:top w:val="single" w:sz="4" w:space="0" w:color="auto"/>
              <w:left w:val="nil"/>
              <w:bottom w:val="single" w:sz="4" w:space="0" w:color="auto"/>
              <w:right w:val="single" w:sz="4" w:space="0" w:color="auto"/>
            </w:tcBorders>
            <w:shd w:val="clear" w:color="auto" w:fill="auto"/>
            <w:hideMark/>
          </w:tcPr>
          <w:p w14:paraId="2E37BCB5" w14:textId="77777777" w:rsidR="000B01CB" w:rsidRPr="000B01CB" w:rsidRDefault="000B01CB" w:rsidP="000B01CB">
            <w:pPr>
              <w:spacing w:after="0" w:line="240" w:lineRule="auto"/>
              <w:rPr>
                <w:rFonts w:ascii="Calibri" w:eastAsia="Times New Roman" w:hAnsi="Calibri" w:cs="Times New Roman"/>
                <w:color w:val="000000"/>
                <w:sz w:val="18"/>
                <w:szCs w:val="18"/>
                <w:lang w:val="es-SV" w:eastAsia="es-SV"/>
              </w:rPr>
            </w:pPr>
            <w:r w:rsidRPr="000B01CB">
              <w:rPr>
                <w:rFonts w:ascii="Calibri" w:eastAsia="Times New Roman" w:hAnsi="Calibri" w:cs="Times New Roman"/>
                <w:color w:val="000000"/>
                <w:sz w:val="18"/>
                <w:szCs w:val="18"/>
                <w:lang w:val="es-SV" w:eastAsia="es-SV"/>
              </w:rPr>
              <w:t>Existe una desconfianza entre el sector privado con el sector público, sin embargo por parte del sector público se están impulsando acciones de acercamiento.</w:t>
            </w:r>
          </w:p>
        </w:tc>
        <w:tc>
          <w:tcPr>
            <w:tcW w:w="752" w:type="pct"/>
            <w:tcBorders>
              <w:top w:val="single" w:sz="4" w:space="0" w:color="auto"/>
              <w:left w:val="nil"/>
              <w:bottom w:val="single" w:sz="4" w:space="0" w:color="auto"/>
              <w:right w:val="single" w:sz="4" w:space="0" w:color="auto"/>
            </w:tcBorders>
            <w:shd w:val="clear" w:color="auto" w:fill="auto"/>
            <w:hideMark/>
          </w:tcPr>
          <w:p w14:paraId="2B4F26B9" w14:textId="77777777" w:rsidR="000B01CB" w:rsidRPr="000B01CB" w:rsidRDefault="000B01CB" w:rsidP="000B01CB">
            <w:pPr>
              <w:spacing w:after="0" w:line="240" w:lineRule="auto"/>
              <w:rPr>
                <w:rFonts w:ascii="Calibri" w:eastAsia="Times New Roman" w:hAnsi="Calibri" w:cs="Times New Roman"/>
                <w:color w:val="000000"/>
                <w:sz w:val="18"/>
                <w:szCs w:val="18"/>
                <w:lang w:val="es-SV" w:eastAsia="es-SV"/>
              </w:rPr>
            </w:pPr>
            <w:r w:rsidRPr="000B01CB">
              <w:rPr>
                <w:rFonts w:ascii="Calibri" w:eastAsia="Times New Roman" w:hAnsi="Calibri" w:cs="Times New Roman"/>
                <w:color w:val="000000"/>
                <w:sz w:val="18"/>
                <w:szCs w:val="18"/>
                <w:lang w:val="es-SV" w:eastAsia="es-SV"/>
              </w:rPr>
              <w:t xml:space="preserve">Mecanismos de </w:t>
            </w:r>
            <w:r w:rsidR="00A307AC" w:rsidRPr="000B01CB">
              <w:rPr>
                <w:rFonts w:ascii="Calibri" w:eastAsia="Times New Roman" w:hAnsi="Calibri" w:cs="Times New Roman"/>
                <w:color w:val="000000"/>
                <w:sz w:val="18"/>
                <w:szCs w:val="18"/>
                <w:lang w:val="es-SV" w:eastAsia="es-SV"/>
              </w:rPr>
              <w:t>diálogo</w:t>
            </w:r>
            <w:r w:rsidRPr="000B01CB">
              <w:rPr>
                <w:rFonts w:ascii="Calibri" w:eastAsia="Times New Roman" w:hAnsi="Calibri" w:cs="Times New Roman"/>
                <w:color w:val="000000"/>
                <w:sz w:val="18"/>
                <w:szCs w:val="18"/>
                <w:lang w:val="es-SV" w:eastAsia="es-SV"/>
              </w:rPr>
              <w:t xml:space="preserve"> político como técnicos para potenciar una relación basada en la confianza con planes concretos de cooperación.</w:t>
            </w:r>
          </w:p>
        </w:tc>
        <w:tc>
          <w:tcPr>
            <w:tcW w:w="752" w:type="pct"/>
            <w:tcBorders>
              <w:top w:val="single" w:sz="4" w:space="0" w:color="auto"/>
              <w:left w:val="nil"/>
              <w:bottom w:val="single" w:sz="4" w:space="0" w:color="auto"/>
              <w:right w:val="single" w:sz="4" w:space="0" w:color="auto"/>
            </w:tcBorders>
            <w:shd w:val="clear" w:color="auto" w:fill="auto"/>
            <w:hideMark/>
          </w:tcPr>
          <w:p w14:paraId="168D5F2D" w14:textId="77777777" w:rsidR="000B01CB" w:rsidRPr="000B01CB" w:rsidRDefault="000B01CB" w:rsidP="000B01CB">
            <w:pPr>
              <w:spacing w:after="0" w:line="240" w:lineRule="auto"/>
              <w:rPr>
                <w:rFonts w:ascii="Calibri" w:eastAsia="Times New Roman" w:hAnsi="Calibri" w:cs="Times New Roman"/>
                <w:color w:val="000000"/>
                <w:sz w:val="18"/>
                <w:szCs w:val="18"/>
                <w:lang w:val="es-SV" w:eastAsia="es-SV"/>
              </w:rPr>
            </w:pPr>
            <w:r w:rsidRPr="000B01CB">
              <w:rPr>
                <w:rFonts w:ascii="Calibri" w:eastAsia="Times New Roman" w:hAnsi="Calibri" w:cs="Times New Roman"/>
                <w:color w:val="000000"/>
                <w:sz w:val="18"/>
                <w:szCs w:val="18"/>
                <w:lang w:val="es-SV" w:eastAsia="es-SV"/>
              </w:rPr>
              <w:t xml:space="preserve">Mantener activo y con cumplimiento de metas </w:t>
            </w:r>
            <w:r w:rsidR="00A307AC" w:rsidRPr="000B01CB">
              <w:rPr>
                <w:rFonts w:ascii="Calibri" w:eastAsia="Times New Roman" w:hAnsi="Calibri" w:cs="Times New Roman"/>
                <w:color w:val="000000"/>
                <w:sz w:val="18"/>
                <w:szCs w:val="18"/>
                <w:lang w:val="es-SV" w:eastAsia="es-SV"/>
              </w:rPr>
              <w:t>específicas</w:t>
            </w:r>
            <w:r w:rsidRPr="000B01CB">
              <w:rPr>
                <w:rFonts w:ascii="Calibri" w:eastAsia="Times New Roman" w:hAnsi="Calibri" w:cs="Times New Roman"/>
                <w:color w:val="000000"/>
                <w:sz w:val="18"/>
                <w:szCs w:val="18"/>
                <w:lang w:val="es-SV" w:eastAsia="es-SV"/>
              </w:rPr>
              <w:t xml:space="preserve"> los mecanismos de dialogo.</w:t>
            </w:r>
          </w:p>
        </w:tc>
        <w:tc>
          <w:tcPr>
            <w:tcW w:w="795" w:type="pct"/>
            <w:tcBorders>
              <w:top w:val="single" w:sz="4" w:space="0" w:color="auto"/>
              <w:left w:val="nil"/>
              <w:bottom w:val="single" w:sz="4" w:space="0" w:color="auto"/>
              <w:right w:val="single" w:sz="4" w:space="0" w:color="auto"/>
            </w:tcBorders>
            <w:shd w:val="clear" w:color="auto" w:fill="auto"/>
            <w:hideMark/>
          </w:tcPr>
          <w:p w14:paraId="4888FE44" w14:textId="77777777" w:rsidR="000B01CB" w:rsidRPr="000B01CB" w:rsidRDefault="000B01CB" w:rsidP="000B01CB">
            <w:pPr>
              <w:spacing w:after="0" w:line="240" w:lineRule="auto"/>
              <w:rPr>
                <w:rFonts w:ascii="Calibri" w:eastAsia="Times New Roman" w:hAnsi="Calibri" w:cs="Times New Roman"/>
                <w:color w:val="000000"/>
                <w:sz w:val="18"/>
                <w:szCs w:val="18"/>
                <w:lang w:val="es-SV" w:eastAsia="es-SV"/>
              </w:rPr>
            </w:pPr>
            <w:r w:rsidRPr="000B01CB">
              <w:rPr>
                <w:rFonts w:ascii="Calibri" w:eastAsia="Times New Roman" w:hAnsi="Calibri" w:cs="Times New Roman"/>
                <w:color w:val="000000"/>
                <w:sz w:val="18"/>
                <w:szCs w:val="18"/>
                <w:lang w:val="es-SV" w:eastAsia="es-SV"/>
              </w:rPr>
              <w:t>Activar los mecanismos de diálogos político como técnico con una representación con poder de impulsar las acciones en el sector público como privado.</w:t>
            </w:r>
          </w:p>
        </w:tc>
        <w:tc>
          <w:tcPr>
            <w:tcW w:w="732" w:type="pct"/>
            <w:tcBorders>
              <w:top w:val="single" w:sz="4" w:space="0" w:color="auto"/>
              <w:left w:val="nil"/>
              <w:bottom w:val="single" w:sz="4" w:space="0" w:color="auto"/>
              <w:right w:val="single" w:sz="4" w:space="0" w:color="auto"/>
            </w:tcBorders>
            <w:shd w:val="clear" w:color="auto" w:fill="auto"/>
            <w:vAlign w:val="bottom"/>
            <w:hideMark/>
          </w:tcPr>
          <w:p w14:paraId="4A8F4407" w14:textId="77777777" w:rsidR="000B01CB" w:rsidRDefault="000B01CB" w:rsidP="000B01CB">
            <w:pPr>
              <w:spacing w:after="0" w:line="240" w:lineRule="auto"/>
              <w:rPr>
                <w:rFonts w:ascii="Calibri" w:eastAsia="Times New Roman" w:hAnsi="Calibri" w:cs="Times New Roman"/>
                <w:color w:val="000000"/>
                <w:sz w:val="18"/>
                <w:szCs w:val="18"/>
                <w:lang w:val="es-SV" w:eastAsia="es-SV"/>
              </w:rPr>
            </w:pPr>
            <w:r w:rsidRPr="000B01CB">
              <w:rPr>
                <w:rFonts w:ascii="Calibri" w:eastAsia="Times New Roman" w:hAnsi="Calibri" w:cs="Times New Roman"/>
                <w:color w:val="000000"/>
                <w:sz w:val="18"/>
                <w:szCs w:val="18"/>
                <w:lang w:val="es-SV" w:eastAsia="es-SV"/>
              </w:rPr>
              <w:t>SETEPLAN, MINSAL, ISSS, FOSALUD, SM, BM, Organizaciones de la Sociedad Civil, Empresas Aseguradas Nacionales como Internacionales.</w:t>
            </w:r>
          </w:p>
          <w:p w14:paraId="7531ABC3" w14:textId="77777777" w:rsidR="00BD0B8E" w:rsidRPr="000B01CB" w:rsidRDefault="00BD0B8E" w:rsidP="000B01CB">
            <w:pPr>
              <w:spacing w:after="0" w:line="240" w:lineRule="auto"/>
              <w:rPr>
                <w:rFonts w:ascii="Calibri" w:eastAsia="Times New Roman" w:hAnsi="Calibri" w:cs="Times New Roman"/>
                <w:color w:val="000000"/>
                <w:sz w:val="18"/>
                <w:szCs w:val="18"/>
                <w:lang w:val="es-SV" w:eastAsia="es-SV"/>
              </w:rPr>
            </w:pPr>
          </w:p>
        </w:tc>
      </w:tr>
    </w:tbl>
    <w:p w14:paraId="01AF149B" w14:textId="77777777" w:rsidR="00A307AC" w:rsidRPr="00BD0B8E" w:rsidRDefault="00A307AC">
      <w:pPr>
        <w:rPr>
          <w:sz w:val="18"/>
          <w:szCs w:val="18"/>
        </w:rPr>
      </w:pPr>
    </w:p>
    <w:tbl>
      <w:tblPr>
        <w:tblStyle w:val="Tablaconcuadrcula"/>
        <w:tblW w:w="4984" w:type="pct"/>
        <w:tblLook w:val="04A0" w:firstRow="1" w:lastRow="0" w:firstColumn="1" w:lastColumn="0" w:noHBand="0" w:noVBand="1"/>
      </w:tblPr>
      <w:tblGrid>
        <w:gridCol w:w="9915"/>
        <w:gridCol w:w="637"/>
        <w:gridCol w:w="583"/>
        <w:gridCol w:w="653"/>
        <w:gridCol w:w="583"/>
        <w:gridCol w:w="581"/>
      </w:tblGrid>
      <w:tr w:rsidR="009F006B" w:rsidRPr="004240EE" w14:paraId="74DE253C" w14:textId="77777777" w:rsidTr="009F006B">
        <w:trPr>
          <w:trHeight w:val="351"/>
        </w:trPr>
        <w:tc>
          <w:tcPr>
            <w:tcW w:w="3828" w:type="pct"/>
          </w:tcPr>
          <w:p w14:paraId="34B63E4C" w14:textId="77777777" w:rsidR="009F006B" w:rsidRPr="004240EE" w:rsidRDefault="009F006B"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 xml:space="preserve">Acciones / </w:t>
            </w:r>
            <w:r w:rsidRPr="00EE1739">
              <w:rPr>
                <w:rFonts w:ascii="Calibri" w:eastAsia="Times New Roman" w:hAnsi="Calibri" w:cs="Times New Roman"/>
                <w:b/>
                <w:color w:val="000000"/>
                <w:sz w:val="18"/>
                <w:szCs w:val="18"/>
                <w:lang w:val="es-SV" w:eastAsia="es-SV"/>
              </w:rPr>
              <w:t>Periodo de ejecución</w:t>
            </w:r>
          </w:p>
        </w:tc>
        <w:tc>
          <w:tcPr>
            <w:tcW w:w="246" w:type="pct"/>
          </w:tcPr>
          <w:p w14:paraId="4E80C819" w14:textId="77777777" w:rsidR="009F006B" w:rsidRPr="00F925A9" w:rsidRDefault="009F006B"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2019</w:t>
            </w:r>
          </w:p>
          <w:p w14:paraId="3D89336F" w14:textId="77777777" w:rsidR="009F006B" w:rsidRPr="00F925A9" w:rsidRDefault="009F006B" w:rsidP="0025750E">
            <w:pPr>
              <w:jc w:val="center"/>
              <w:rPr>
                <w:rFonts w:ascii="Calibri" w:eastAsia="Times New Roman" w:hAnsi="Calibri" w:cs="Times New Roman"/>
                <w:b/>
                <w:color w:val="000000"/>
                <w:sz w:val="18"/>
                <w:szCs w:val="18"/>
                <w:lang w:val="es-SV" w:eastAsia="es-SV"/>
              </w:rPr>
            </w:pPr>
          </w:p>
        </w:tc>
        <w:tc>
          <w:tcPr>
            <w:tcW w:w="225" w:type="pct"/>
          </w:tcPr>
          <w:p w14:paraId="538706AF" w14:textId="77777777" w:rsidR="009F006B" w:rsidRPr="00F925A9" w:rsidRDefault="009F006B" w:rsidP="0025750E">
            <w:pP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2020</w:t>
            </w:r>
          </w:p>
        </w:tc>
        <w:tc>
          <w:tcPr>
            <w:tcW w:w="252" w:type="pct"/>
          </w:tcPr>
          <w:p w14:paraId="7E184DD9" w14:textId="77777777" w:rsidR="009F006B" w:rsidRPr="00F925A9" w:rsidRDefault="009F006B"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2021</w:t>
            </w:r>
          </w:p>
          <w:p w14:paraId="056F7BB7" w14:textId="77777777" w:rsidR="009F006B" w:rsidRPr="00F925A9" w:rsidRDefault="009F006B" w:rsidP="0025750E">
            <w:pPr>
              <w:jc w:val="center"/>
              <w:rPr>
                <w:rFonts w:ascii="Calibri" w:eastAsia="Times New Roman" w:hAnsi="Calibri" w:cs="Times New Roman"/>
                <w:b/>
                <w:color w:val="000000"/>
                <w:sz w:val="18"/>
                <w:szCs w:val="18"/>
                <w:lang w:val="es-SV" w:eastAsia="es-SV"/>
              </w:rPr>
            </w:pPr>
          </w:p>
        </w:tc>
        <w:tc>
          <w:tcPr>
            <w:tcW w:w="225" w:type="pct"/>
          </w:tcPr>
          <w:p w14:paraId="20E9D4F4" w14:textId="77777777" w:rsidR="009F006B" w:rsidRPr="00F925A9" w:rsidRDefault="009F006B"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2022</w:t>
            </w:r>
          </w:p>
          <w:p w14:paraId="459B5454" w14:textId="77777777" w:rsidR="009F006B" w:rsidRPr="00F925A9" w:rsidRDefault="009F006B" w:rsidP="0025750E">
            <w:pPr>
              <w:jc w:val="center"/>
              <w:rPr>
                <w:rFonts w:ascii="Calibri" w:eastAsia="Times New Roman" w:hAnsi="Calibri" w:cs="Times New Roman"/>
                <w:b/>
                <w:color w:val="000000"/>
                <w:sz w:val="18"/>
                <w:szCs w:val="18"/>
                <w:lang w:val="es-SV" w:eastAsia="es-SV"/>
              </w:rPr>
            </w:pPr>
          </w:p>
        </w:tc>
        <w:tc>
          <w:tcPr>
            <w:tcW w:w="224" w:type="pct"/>
          </w:tcPr>
          <w:p w14:paraId="72FF037D" w14:textId="77777777" w:rsidR="009F006B" w:rsidRPr="00F925A9" w:rsidRDefault="009F006B"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2023</w:t>
            </w:r>
          </w:p>
          <w:p w14:paraId="3C35BE9B" w14:textId="77777777" w:rsidR="009F006B" w:rsidRPr="00F925A9" w:rsidRDefault="009F006B" w:rsidP="0025750E">
            <w:pPr>
              <w:jc w:val="center"/>
              <w:rPr>
                <w:rFonts w:ascii="Calibri" w:eastAsia="Times New Roman" w:hAnsi="Calibri" w:cs="Times New Roman"/>
                <w:b/>
                <w:color w:val="000000"/>
                <w:sz w:val="18"/>
                <w:szCs w:val="18"/>
                <w:lang w:val="es-SV" w:eastAsia="es-SV"/>
              </w:rPr>
            </w:pPr>
          </w:p>
        </w:tc>
      </w:tr>
      <w:tr w:rsidR="009F006B" w:rsidRPr="0077324A" w14:paraId="19168B08" w14:textId="77777777" w:rsidTr="009F006B">
        <w:trPr>
          <w:trHeight w:val="305"/>
        </w:trPr>
        <w:tc>
          <w:tcPr>
            <w:tcW w:w="3828" w:type="pct"/>
            <w:hideMark/>
          </w:tcPr>
          <w:p w14:paraId="09476257" w14:textId="77777777" w:rsidR="009F006B" w:rsidRDefault="009F006B" w:rsidP="006A7A7E">
            <w:pPr>
              <w:rPr>
                <w:rFonts w:ascii="Calibri" w:hAnsi="Calibri"/>
                <w:color w:val="000000"/>
                <w:sz w:val="18"/>
                <w:szCs w:val="18"/>
              </w:rPr>
            </w:pPr>
            <w:r>
              <w:rPr>
                <w:rFonts w:ascii="Calibri" w:hAnsi="Calibri"/>
                <w:color w:val="000000"/>
                <w:sz w:val="18"/>
                <w:szCs w:val="18"/>
              </w:rPr>
              <w:t>Desarrollar un mapeo de actores claves del sector privado como del sector público.</w:t>
            </w:r>
          </w:p>
        </w:tc>
        <w:tc>
          <w:tcPr>
            <w:tcW w:w="246" w:type="pct"/>
            <w:vAlign w:val="center"/>
            <w:hideMark/>
          </w:tcPr>
          <w:p w14:paraId="12945AAE" w14:textId="77777777" w:rsidR="009F006B" w:rsidRDefault="009F006B" w:rsidP="006A7A7E">
            <w:pPr>
              <w:jc w:val="center"/>
              <w:rPr>
                <w:rFonts w:ascii="Calibri" w:hAnsi="Calibri"/>
                <w:color w:val="000000"/>
              </w:rPr>
            </w:pPr>
            <w:r>
              <w:rPr>
                <w:rFonts w:ascii="Calibri" w:hAnsi="Calibri"/>
                <w:color w:val="000000"/>
              </w:rPr>
              <w:t>X</w:t>
            </w:r>
          </w:p>
        </w:tc>
        <w:tc>
          <w:tcPr>
            <w:tcW w:w="225" w:type="pct"/>
            <w:vAlign w:val="center"/>
          </w:tcPr>
          <w:p w14:paraId="60678C17" w14:textId="77777777" w:rsidR="009F006B" w:rsidRDefault="009F006B" w:rsidP="006A7A7E">
            <w:pPr>
              <w:jc w:val="center"/>
              <w:rPr>
                <w:rFonts w:ascii="Calibri" w:hAnsi="Calibri"/>
                <w:color w:val="000000"/>
              </w:rPr>
            </w:pPr>
            <w:r>
              <w:rPr>
                <w:rFonts w:ascii="Calibri" w:hAnsi="Calibri"/>
                <w:color w:val="000000"/>
              </w:rPr>
              <w:t> </w:t>
            </w:r>
          </w:p>
        </w:tc>
        <w:tc>
          <w:tcPr>
            <w:tcW w:w="252" w:type="pct"/>
            <w:vAlign w:val="center"/>
          </w:tcPr>
          <w:p w14:paraId="7F76481C" w14:textId="77777777" w:rsidR="009F006B" w:rsidRDefault="009F006B" w:rsidP="006A7A7E">
            <w:pPr>
              <w:jc w:val="center"/>
              <w:rPr>
                <w:rFonts w:ascii="Calibri" w:hAnsi="Calibri"/>
                <w:color w:val="000000"/>
              </w:rPr>
            </w:pPr>
            <w:r>
              <w:rPr>
                <w:rFonts w:ascii="Calibri" w:hAnsi="Calibri"/>
                <w:color w:val="000000"/>
              </w:rPr>
              <w:t>X</w:t>
            </w:r>
          </w:p>
        </w:tc>
        <w:tc>
          <w:tcPr>
            <w:tcW w:w="225" w:type="pct"/>
            <w:vAlign w:val="center"/>
          </w:tcPr>
          <w:p w14:paraId="77B960BD" w14:textId="77777777" w:rsidR="009F006B" w:rsidRDefault="009F006B" w:rsidP="006A7A7E">
            <w:pPr>
              <w:jc w:val="center"/>
              <w:rPr>
                <w:rFonts w:ascii="Calibri" w:hAnsi="Calibri"/>
                <w:color w:val="000000"/>
              </w:rPr>
            </w:pPr>
            <w:r>
              <w:rPr>
                <w:rFonts w:ascii="Calibri" w:hAnsi="Calibri"/>
                <w:color w:val="000000"/>
              </w:rPr>
              <w:t> </w:t>
            </w:r>
          </w:p>
        </w:tc>
        <w:tc>
          <w:tcPr>
            <w:tcW w:w="224" w:type="pct"/>
            <w:vAlign w:val="center"/>
          </w:tcPr>
          <w:p w14:paraId="1DC13B8E" w14:textId="77777777" w:rsidR="009F006B" w:rsidRDefault="009F006B" w:rsidP="006A7A7E">
            <w:pPr>
              <w:jc w:val="center"/>
              <w:rPr>
                <w:rFonts w:ascii="Calibri" w:hAnsi="Calibri"/>
                <w:color w:val="000000"/>
              </w:rPr>
            </w:pPr>
            <w:r>
              <w:rPr>
                <w:rFonts w:ascii="Calibri" w:hAnsi="Calibri"/>
                <w:color w:val="000000"/>
              </w:rPr>
              <w:t>X</w:t>
            </w:r>
          </w:p>
        </w:tc>
      </w:tr>
      <w:tr w:rsidR="009F006B" w:rsidRPr="0077324A" w14:paraId="6E7306E2" w14:textId="77777777" w:rsidTr="009F006B">
        <w:trPr>
          <w:trHeight w:val="267"/>
        </w:trPr>
        <w:tc>
          <w:tcPr>
            <w:tcW w:w="3828" w:type="pct"/>
            <w:hideMark/>
          </w:tcPr>
          <w:p w14:paraId="10E08096" w14:textId="77777777" w:rsidR="009F006B" w:rsidRDefault="009F006B" w:rsidP="006A7A7E">
            <w:pPr>
              <w:rPr>
                <w:rFonts w:ascii="Calibri" w:hAnsi="Calibri"/>
                <w:color w:val="000000"/>
                <w:sz w:val="18"/>
                <w:szCs w:val="18"/>
              </w:rPr>
            </w:pPr>
            <w:r>
              <w:rPr>
                <w:rFonts w:ascii="Calibri" w:hAnsi="Calibri"/>
                <w:color w:val="000000"/>
                <w:sz w:val="18"/>
                <w:szCs w:val="18"/>
              </w:rPr>
              <w:t>Poner en funcionamiento los mecanismos de dialogo público-privado de proveedores de servicios de salud.</w:t>
            </w:r>
          </w:p>
        </w:tc>
        <w:tc>
          <w:tcPr>
            <w:tcW w:w="246" w:type="pct"/>
            <w:vAlign w:val="center"/>
            <w:hideMark/>
          </w:tcPr>
          <w:p w14:paraId="0FB1A355" w14:textId="77777777" w:rsidR="009F006B" w:rsidRDefault="009F006B" w:rsidP="006A7A7E">
            <w:pPr>
              <w:jc w:val="center"/>
              <w:rPr>
                <w:rFonts w:ascii="Calibri" w:hAnsi="Calibri"/>
                <w:color w:val="000000"/>
              </w:rPr>
            </w:pPr>
            <w:r>
              <w:rPr>
                <w:rFonts w:ascii="Calibri" w:hAnsi="Calibri"/>
                <w:color w:val="000000"/>
              </w:rPr>
              <w:t>X</w:t>
            </w:r>
          </w:p>
        </w:tc>
        <w:tc>
          <w:tcPr>
            <w:tcW w:w="225" w:type="pct"/>
            <w:vAlign w:val="center"/>
          </w:tcPr>
          <w:p w14:paraId="2CD3A722" w14:textId="77777777" w:rsidR="009F006B" w:rsidRDefault="009F006B" w:rsidP="006A7A7E">
            <w:pPr>
              <w:jc w:val="center"/>
              <w:rPr>
                <w:rFonts w:ascii="Calibri" w:hAnsi="Calibri"/>
                <w:color w:val="000000"/>
              </w:rPr>
            </w:pPr>
            <w:r>
              <w:rPr>
                <w:rFonts w:ascii="Calibri" w:hAnsi="Calibri"/>
                <w:color w:val="000000"/>
              </w:rPr>
              <w:t>X</w:t>
            </w:r>
          </w:p>
        </w:tc>
        <w:tc>
          <w:tcPr>
            <w:tcW w:w="252" w:type="pct"/>
            <w:vAlign w:val="center"/>
          </w:tcPr>
          <w:p w14:paraId="4EBF801E" w14:textId="77777777" w:rsidR="009F006B" w:rsidRDefault="009F006B" w:rsidP="006A7A7E">
            <w:pPr>
              <w:jc w:val="center"/>
              <w:rPr>
                <w:rFonts w:ascii="Calibri" w:hAnsi="Calibri"/>
                <w:color w:val="000000"/>
              </w:rPr>
            </w:pPr>
            <w:r>
              <w:rPr>
                <w:rFonts w:ascii="Calibri" w:hAnsi="Calibri"/>
                <w:color w:val="000000"/>
              </w:rPr>
              <w:t>X</w:t>
            </w:r>
          </w:p>
        </w:tc>
        <w:tc>
          <w:tcPr>
            <w:tcW w:w="225" w:type="pct"/>
            <w:vAlign w:val="center"/>
          </w:tcPr>
          <w:p w14:paraId="23A2E4A7" w14:textId="77777777" w:rsidR="009F006B" w:rsidRDefault="009F006B" w:rsidP="006A7A7E">
            <w:pPr>
              <w:jc w:val="center"/>
              <w:rPr>
                <w:rFonts w:ascii="Calibri" w:hAnsi="Calibri"/>
                <w:color w:val="000000"/>
              </w:rPr>
            </w:pPr>
            <w:r>
              <w:rPr>
                <w:rFonts w:ascii="Calibri" w:hAnsi="Calibri"/>
                <w:color w:val="000000"/>
              </w:rPr>
              <w:t>X</w:t>
            </w:r>
          </w:p>
        </w:tc>
        <w:tc>
          <w:tcPr>
            <w:tcW w:w="224" w:type="pct"/>
            <w:vAlign w:val="center"/>
          </w:tcPr>
          <w:p w14:paraId="3B2AA7C5" w14:textId="77777777" w:rsidR="009F006B" w:rsidRDefault="009F006B" w:rsidP="006A7A7E">
            <w:pPr>
              <w:jc w:val="center"/>
              <w:rPr>
                <w:rFonts w:ascii="Calibri" w:hAnsi="Calibri"/>
                <w:color w:val="000000"/>
              </w:rPr>
            </w:pPr>
            <w:r>
              <w:rPr>
                <w:rFonts w:ascii="Calibri" w:hAnsi="Calibri"/>
                <w:color w:val="000000"/>
              </w:rPr>
              <w:t>X</w:t>
            </w:r>
          </w:p>
        </w:tc>
      </w:tr>
      <w:tr w:rsidR="009F006B" w:rsidRPr="0077324A" w14:paraId="461BA375" w14:textId="77777777" w:rsidTr="009F006B">
        <w:trPr>
          <w:trHeight w:val="697"/>
        </w:trPr>
        <w:tc>
          <w:tcPr>
            <w:tcW w:w="3828" w:type="pct"/>
            <w:hideMark/>
          </w:tcPr>
          <w:p w14:paraId="4DDBEF88" w14:textId="77777777" w:rsidR="009F006B" w:rsidRDefault="009F006B" w:rsidP="006A7A7E">
            <w:pPr>
              <w:rPr>
                <w:rFonts w:ascii="Calibri" w:hAnsi="Calibri"/>
                <w:color w:val="000000"/>
                <w:sz w:val="18"/>
                <w:szCs w:val="18"/>
              </w:rPr>
            </w:pPr>
            <w:r w:rsidRPr="00BC4BA2">
              <w:rPr>
                <w:rFonts w:ascii="Calibri" w:hAnsi="Calibri"/>
                <w:color w:val="000000"/>
                <w:sz w:val="18"/>
                <w:szCs w:val="18"/>
              </w:rPr>
              <w:t>Un análisis de mercado que describe la estrategia del Gobierno y del sector privado para implementar efectivamente un abordaje de mercado total para prestar servicios, el cual considera si las personas tienen la capacidad y/o la voluntad de pagar por los servicios de VIH</w:t>
            </w:r>
          </w:p>
        </w:tc>
        <w:tc>
          <w:tcPr>
            <w:tcW w:w="246" w:type="pct"/>
            <w:vAlign w:val="center"/>
            <w:hideMark/>
          </w:tcPr>
          <w:p w14:paraId="09810FBF" w14:textId="77777777" w:rsidR="009F006B" w:rsidRDefault="009F006B" w:rsidP="006A7A7E">
            <w:pPr>
              <w:jc w:val="center"/>
              <w:rPr>
                <w:rFonts w:ascii="Calibri" w:hAnsi="Calibri"/>
                <w:color w:val="000000"/>
              </w:rPr>
            </w:pPr>
            <w:r>
              <w:rPr>
                <w:rFonts w:ascii="Calibri" w:hAnsi="Calibri"/>
                <w:color w:val="000000"/>
              </w:rPr>
              <w:t>X</w:t>
            </w:r>
          </w:p>
        </w:tc>
        <w:tc>
          <w:tcPr>
            <w:tcW w:w="225" w:type="pct"/>
            <w:vAlign w:val="center"/>
          </w:tcPr>
          <w:p w14:paraId="3745D5F9" w14:textId="77777777" w:rsidR="009F006B" w:rsidRDefault="009F006B" w:rsidP="006A7A7E">
            <w:pPr>
              <w:jc w:val="center"/>
              <w:rPr>
                <w:rFonts w:ascii="Calibri" w:hAnsi="Calibri"/>
                <w:color w:val="000000"/>
              </w:rPr>
            </w:pPr>
            <w:r>
              <w:rPr>
                <w:rFonts w:ascii="Calibri" w:hAnsi="Calibri"/>
                <w:color w:val="000000"/>
              </w:rPr>
              <w:t> </w:t>
            </w:r>
          </w:p>
        </w:tc>
        <w:tc>
          <w:tcPr>
            <w:tcW w:w="252" w:type="pct"/>
            <w:vAlign w:val="center"/>
          </w:tcPr>
          <w:p w14:paraId="0D2E8528" w14:textId="77777777" w:rsidR="009F006B" w:rsidRDefault="009F006B" w:rsidP="006A7A7E">
            <w:pPr>
              <w:jc w:val="center"/>
              <w:rPr>
                <w:rFonts w:ascii="Calibri" w:hAnsi="Calibri"/>
                <w:color w:val="000000"/>
              </w:rPr>
            </w:pPr>
            <w:r>
              <w:rPr>
                <w:rFonts w:ascii="Calibri" w:hAnsi="Calibri"/>
                <w:color w:val="000000"/>
              </w:rPr>
              <w:t>X</w:t>
            </w:r>
          </w:p>
        </w:tc>
        <w:tc>
          <w:tcPr>
            <w:tcW w:w="225" w:type="pct"/>
            <w:vAlign w:val="center"/>
          </w:tcPr>
          <w:p w14:paraId="4CB6FEE3" w14:textId="77777777" w:rsidR="009F006B" w:rsidRDefault="009F006B" w:rsidP="006A7A7E">
            <w:pPr>
              <w:jc w:val="center"/>
              <w:rPr>
                <w:rFonts w:ascii="Calibri" w:hAnsi="Calibri"/>
                <w:color w:val="000000"/>
              </w:rPr>
            </w:pPr>
            <w:r>
              <w:rPr>
                <w:rFonts w:ascii="Calibri" w:hAnsi="Calibri"/>
                <w:color w:val="000000"/>
              </w:rPr>
              <w:t> </w:t>
            </w:r>
          </w:p>
        </w:tc>
        <w:tc>
          <w:tcPr>
            <w:tcW w:w="224" w:type="pct"/>
            <w:vAlign w:val="center"/>
          </w:tcPr>
          <w:p w14:paraId="235D1C83" w14:textId="77777777" w:rsidR="009F006B" w:rsidRDefault="009F006B" w:rsidP="006A7A7E">
            <w:pPr>
              <w:jc w:val="center"/>
              <w:rPr>
                <w:rFonts w:ascii="Calibri" w:hAnsi="Calibri"/>
                <w:color w:val="000000"/>
              </w:rPr>
            </w:pPr>
            <w:r>
              <w:rPr>
                <w:rFonts w:ascii="Calibri" w:hAnsi="Calibri"/>
                <w:color w:val="000000"/>
              </w:rPr>
              <w:t>X</w:t>
            </w:r>
          </w:p>
        </w:tc>
      </w:tr>
      <w:tr w:rsidR="009F006B" w:rsidRPr="0077324A" w14:paraId="6DA10E81" w14:textId="77777777" w:rsidTr="009F006B">
        <w:trPr>
          <w:trHeight w:val="559"/>
        </w:trPr>
        <w:tc>
          <w:tcPr>
            <w:tcW w:w="3828" w:type="pct"/>
          </w:tcPr>
          <w:p w14:paraId="2D5A9F7D" w14:textId="77777777" w:rsidR="009F006B" w:rsidRPr="00BC4BA2" w:rsidRDefault="009F006B" w:rsidP="006A7A7E">
            <w:pPr>
              <w:rPr>
                <w:rFonts w:ascii="Calibri" w:hAnsi="Calibri"/>
                <w:color w:val="000000"/>
                <w:sz w:val="18"/>
                <w:szCs w:val="18"/>
              </w:rPr>
            </w:pPr>
            <w:r w:rsidRPr="00BC4BA2">
              <w:rPr>
                <w:rFonts w:ascii="Calibri" w:hAnsi="Calibri"/>
                <w:color w:val="000000"/>
                <w:sz w:val="18"/>
                <w:szCs w:val="18"/>
              </w:rPr>
              <w:t>Conversatorio para identificar y eliminar las barreras para la referencia y contra-Referencia entre sectores público y privado para institucionalizar buenas prácticas del sector privado en la entrega de servicios de VIH a personas viviendo con VIH de alto perfil en ingresos</w:t>
            </w:r>
          </w:p>
        </w:tc>
        <w:tc>
          <w:tcPr>
            <w:tcW w:w="246" w:type="pct"/>
            <w:vAlign w:val="center"/>
          </w:tcPr>
          <w:p w14:paraId="08A54C0A" w14:textId="77777777" w:rsidR="009F006B" w:rsidRDefault="009F006B" w:rsidP="006A7A7E">
            <w:pPr>
              <w:jc w:val="center"/>
              <w:rPr>
                <w:rFonts w:ascii="Calibri" w:hAnsi="Calibri"/>
                <w:color w:val="000000"/>
              </w:rPr>
            </w:pPr>
            <w:r>
              <w:rPr>
                <w:rFonts w:ascii="Calibri" w:hAnsi="Calibri"/>
                <w:color w:val="000000"/>
              </w:rPr>
              <w:t>X</w:t>
            </w:r>
          </w:p>
        </w:tc>
        <w:tc>
          <w:tcPr>
            <w:tcW w:w="225" w:type="pct"/>
            <w:vAlign w:val="center"/>
          </w:tcPr>
          <w:p w14:paraId="4862D600" w14:textId="77777777" w:rsidR="009F006B" w:rsidRDefault="009F006B" w:rsidP="006A7A7E">
            <w:pPr>
              <w:jc w:val="center"/>
              <w:rPr>
                <w:rFonts w:ascii="Calibri" w:hAnsi="Calibri"/>
                <w:color w:val="000000"/>
              </w:rPr>
            </w:pPr>
            <w:r>
              <w:rPr>
                <w:rFonts w:ascii="Calibri" w:hAnsi="Calibri"/>
                <w:color w:val="000000"/>
              </w:rPr>
              <w:t>X</w:t>
            </w:r>
          </w:p>
        </w:tc>
        <w:tc>
          <w:tcPr>
            <w:tcW w:w="252" w:type="pct"/>
            <w:vAlign w:val="center"/>
          </w:tcPr>
          <w:p w14:paraId="12B8AAF3" w14:textId="77777777" w:rsidR="009F006B" w:rsidRDefault="009F006B" w:rsidP="006A7A7E">
            <w:pPr>
              <w:jc w:val="center"/>
              <w:rPr>
                <w:rFonts w:ascii="Calibri" w:hAnsi="Calibri"/>
                <w:color w:val="000000"/>
              </w:rPr>
            </w:pPr>
            <w:r>
              <w:rPr>
                <w:rFonts w:ascii="Calibri" w:hAnsi="Calibri"/>
                <w:color w:val="000000"/>
              </w:rPr>
              <w:t>X</w:t>
            </w:r>
          </w:p>
        </w:tc>
        <w:tc>
          <w:tcPr>
            <w:tcW w:w="225" w:type="pct"/>
            <w:vAlign w:val="center"/>
          </w:tcPr>
          <w:p w14:paraId="5182E3CC" w14:textId="77777777" w:rsidR="009F006B" w:rsidRDefault="009F006B" w:rsidP="006A7A7E">
            <w:pPr>
              <w:jc w:val="center"/>
              <w:rPr>
                <w:rFonts w:ascii="Calibri" w:hAnsi="Calibri"/>
                <w:color w:val="000000"/>
              </w:rPr>
            </w:pPr>
            <w:r>
              <w:rPr>
                <w:rFonts w:ascii="Calibri" w:hAnsi="Calibri"/>
                <w:color w:val="000000"/>
              </w:rPr>
              <w:t>X</w:t>
            </w:r>
          </w:p>
        </w:tc>
        <w:tc>
          <w:tcPr>
            <w:tcW w:w="224" w:type="pct"/>
            <w:vAlign w:val="center"/>
          </w:tcPr>
          <w:p w14:paraId="2569F9CE" w14:textId="77777777" w:rsidR="009F006B" w:rsidRDefault="009F006B" w:rsidP="006A7A7E">
            <w:pPr>
              <w:jc w:val="center"/>
              <w:rPr>
                <w:rFonts w:ascii="Calibri" w:hAnsi="Calibri"/>
                <w:color w:val="000000"/>
              </w:rPr>
            </w:pPr>
            <w:r>
              <w:rPr>
                <w:rFonts w:ascii="Calibri" w:hAnsi="Calibri"/>
                <w:color w:val="000000"/>
              </w:rPr>
              <w:t>X</w:t>
            </w:r>
          </w:p>
        </w:tc>
      </w:tr>
      <w:tr w:rsidR="009F006B" w:rsidRPr="0077324A" w14:paraId="3814D566" w14:textId="77777777" w:rsidTr="009F006B">
        <w:trPr>
          <w:trHeight w:val="583"/>
        </w:trPr>
        <w:tc>
          <w:tcPr>
            <w:tcW w:w="3828" w:type="pct"/>
          </w:tcPr>
          <w:p w14:paraId="56B64D51" w14:textId="77777777" w:rsidR="009F006B" w:rsidRPr="00BC4BA2" w:rsidRDefault="009F006B" w:rsidP="006A7A7E">
            <w:pPr>
              <w:rPr>
                <w:rFonts w:ascii="Calibri" w:hAnsi="Calibri"/>
                <w:color w:val="000000"/>
                <w:sz w:val="18"/>
                <w:szCs w:val="18"/>
              </w:rPr>
            </w:pPr>
            <w:r w:rsidRPr="00BC4BA2">
              <w:rPr>
                <w:rFonts w:ascii="Calibri" w:hAnsi="Calibri"/>
                <w:color w:val="000000"/>
                <w:sz w:val="18"/>
                <w:szCs w:val="18"/>
              </w:rPr>
              <w:t>Reuniones individuales con líderes del sector privado (ANEP y/o Representante de Clínicas del Sector Privado), para lograr su participación en procesos relacionados con la planificación de programas de VIH</w:t>
            </w:r>
          </w:p>
        </w:tc>
        <w:tc>
          <w:tcPr>
            <w:tcW w:w="246" w:type="pct"/>
            <w:vAlign w:val="center"/>
          </w:tcPr>
          <w:p w14:paraId="2AC11057" w14:textId="77777777" w:rsidR="009F006B" w:rsidRDefault="009F006B" w:rsidP="006A7A7E">
            <w:pPr>
              <w:jc w:val="center"/>
              <w:rPr>
                <w:rFonts w:ascii="Calibri" w:hAnsi="Calibri"/>
                <w:color w:val="000000"/>
              </w:rPr>
            </w:pPr>
            <w:r>
              <w:rPr>
                <w:rFonts w:ascii="Calibri" w:hAnsi="Calibri"/>
                <w:color w:val="000000"/>
              </w:rPr>
              <w:t>X</w:t>
            </w:r>
          </w:p>
        </w:tc>
        <w:tc>
          <w:tcPr>
            <w:tcW w:w="225" w:type="pct"/>
            <w:vAlign w:val="center"/>
          </w:tcPr>
          <w:p w14:paraId="4B9CB35F" w14:textId="77777777" w:rsidR="009F006B" w:rsidRDefault="009F006B" w:rsidP="006A7A7E">
            <w:pPr>
              <w:jc w:val="center"/>
              <w:rPr>
                <w:rFonts w:ascii="Calibri" w:hAnsi="Calibri"/>
                <w:color w:val="000000"/>
              </w:rPr>
            </w:pPr>
            <w:r>
              <w:rPr>
                <w:rFonts w:ascii="Calibri" w:hAnsi="Calibri"/>
                <w:color w:val="000000"/>
              </w:rPr>
              <w:t> </w:t>
            </w:r>
          </w:p>
        </w:tc>
        <w:tc>
          <w:tcPr>
            <w:tcW w:w="252" w:type="pct"/>
            <w:vAlign w:val="center"/>
          </w:tcPr>
          <w:p w14:paraId="559A0E37" w14:textId="77777777" w:rsidR="009F006B" w:rsidRDefault="009F006B" w:rsidP="006A7A7E">
            <w:pPr>
              <w:jc w:val="center"/>
              <w:rPr>
                <w:rFonts w:ascii="Calibri" w:hAnsi="Calibri"/>
                <w:color w:val="000000"/>
              </w:rPr>
            </w:pPr>
            <w:r>
              <w:rPr>
                <w:rFonts w:ascii="Calibri" w:hAnsi="Calibri"/>
                <w:color w:val="000000"/>
              </w:rPr>
              <w:t>X</w:t>
            </w:r>
          </w:p>
        </w:tc>
        <w:tc>
          <w:tcPr>
            <w:tcW w:w="225" w:type="pct"/>
            <w:vAlign w:val="center"/>
          </w:tcPr>
          <w:p w14:paraId="1220317E" w14:textId="77777777" w:rsidR="009F006B" w:rsidRDefault="009F006B" w:rsidP="006A7A7E">
            <w:pPr>
              <w:jc w:val="center"/>
              <w:rPr>
                <w:rFonts w:ascii="Calibri" w:hAnsi="Calibri"/>
                <w:color w:val="000000"/>
              </w:rPr>
            </w:pPr>
            <w:r>
              <w:rPr>
                <w:rFonts w:ascii="Calibri" w:hAnsi="Calibri"/>
                <w:color w:val="000000"/>
              </w:rPr>
              <w:t> </w:t>
            </w:r>
          </w:p>
        </w:tc>
        <w:tc>
          <w:tcPr>
            <w:tcW w:w="224" w:type="pct"/>
            <w:vAlign w:val="center"/>
          </w:tcPr>
          <w:p w14:paraId="78177C9F" w14:textId="77777777" w:rsidR="009F006B" w:rsidRDefault="009F006B" w:rsidP="006A7A7E">
            <w:pPr>
              <w:jc w:val="center"/>
              <w:rPr>
                <w:rFonts w:ascii="Calibri" w:hAnsi="Calibri"/>
                <w:color w:val="000000"/>
              </w:rPr>
            </w:pPr>
            <w:r>
              <w:rPr>
                <w:rFonts w:ascii="Calibri" w:hAnsi="Calibri"/>
                <w:color w:val="000000"/>
              </w:rPr>
              <w:t>X</w:t>
            </w:r>
          </w:p>
        </w:tc>
      </w:tr>
      <w:tr w:rsidR="009F006B" w:rsidRPr="0077324A" w14:paraId="7F5DC1E9" w14:textId="77777777" w:rsidTr="009F006B">
        <w:trPr>
          <w:trHeight w:val="393"/>
        </w:trPr>
        <w:tc>
          <w:tcPr>
            <w:tcW w:w="3828" w:type="pct"/>
          </w:tcPr>
          <w:p w14:paraId="124B8ACA" w14:textId="77777777" w:rsidR="009F006B" w:rsidRPr="00BC4BA2" w:rsidRDefault="009F006B" w:rsidP="006A7A7E">
            <w:pPr>
              <w:rPr>
                <w:rFonts w:ascii="Calibri" w:hAnsi="Calibri"/>
                <w:color w:val="000000"/>
                <w:sz w:val="18"/>
                <w:szCs w:val="18"/>
              </w:rPr>
            </w:pPr>
            <w:r w:rsidRPr="00BC4BA2">
              <w:rPr>
                <w:rFonts w:ascii="Calibri" w:hAnsi="Calibri"/>
                <w:color w:val="000000"/>
                <w:sz w:val="18"/>
                <w:szCs w:val="18"/>
              </w:rPr>
              <w:t>Resumen ejecutivo con datos sobre prestación de servicios, por parte del sector privado y/o satisfacción de clientes de proveedores privados de prestación de servicios, incluidos en la planificación de programas de VIH</w:t>
            </w:r>
          </w:p>
        </w:tc>
        <w:tc>
          <w:tcPr>
            <w:tcW w:w="246" w:type="pct"/>
            <w:vAlign w:val="center"/>
          </w:tcPr>
          <w:p w14:paraId="77182DF6" w14:textId="77777777" w:rsidR="009F006B" w:rsidRDefault="009F006B" w:rsidP="006A7A7E">
            <w:pPr>
              <w:jc w:val="center"/>
              <w:rPr>
                <w:rFonts w:ascii="Calibri" w:hAnsi="Calibri"/>
                <w:color w:val="000000"/>
              </w:rPr>
            </w:pPr>
            <w:r>
              <w:rPr>
                <w:rFonts w:ascii="Calibri" w:hAnsi="Calibri"/>
                <w:color w:val="000000"/>
              </w:rPr>
              <w:t>X</w:t>
            </w:r>
          </w:p>
        </w:tc>
        <w:tc>
          <w:tcPr>
            <w:tcW w:w="225" w:type="pct"/>
            <w:vAlign w:val="center"/>
          </w:tcPr>
          <w:p w14:paraId="75A83A9D" w14:textId="77777777" w:rsidR="009F006B" w:rsidRDefault="009F006B" w:rsidP="006A7A7E">
            <w:pPr>
              <w:jc w:val="center"/>
              <w:rPr>
                <w:rFonts w:ascii="Calibri" w:hAnsi="Calibri"/>
                <w:color w:val="000000"/>
              </w:rPr>
            </w:pPr>
            <w:r>
              <w:rPr>
                <w:rFonts w:ascii="Calibri" w:hAnsi="Calibri"/>
                <w:color w:val="000000"/>
              </w:rPr>
              <w:t>X</w:t>
            </w:r>
          </w:p>
        </w:tc>
        <w:tc>
          <w:tcPr>
            <w:tcW w:w="252" w:type="pct"/>
            <w:vAlign w:val="center"/>
          </w:tcPr>
          <w:p w14:paraId="51DD89CD" w14:textId="77777777" w:rsidR="009F006B" w:rsidRDefault="009F006B" w:rsidP="006A7A7E">
            <w:pPr>
              <w:jc w:val="center"/>
              <w:rPr>
                <w:rFonts w:ascii="Calibri" w:hAnsi="Calibri"/>
                <w:color w:val="000000"/>
              </w:rPr>
            </w:pPr>
            <w:r>
              <w:rPr>
                <w:rFonts w:ascii="Calibri" w:hAnsi="Calibri"/>
                <w:color w:val="000000"/>
              </w:rPr>
              <w:t>X</w:t>
            </w:r>
          </w:p>
        </w:tc>
        <w:tc>
          <w:tcPr>
            <w:tcW w:w="225" w:type="pct"/>
            <w:vAlign w:val="center"/>
          </w:tcPr>
          <w:p w14:paraId="3AFC658C" w14:textId="77777777" w:rsidR="009F006B" w:rsidRDefault="009F006B" w:rsidP="006A7A7E">
            <w:pPr>
              <w:jc w:val="center"/>
              <w:rPr>
                <w:rFonts w:ascii="Calibri" w:hAnsi="Calibri"/>
                <w:color w:val="000000"/>
              </w:rPr>
            </w:pPr>
            <w:r>
              <w:rPr>
                <w:rFonts w:ascii="Calibri" w:hAnsi="Calibri"/>
                <w:color w:val="000000"/>
              </w:rPr>
              <w:t>X</w:t>
            </w:r>
          </w:p>
        </w:tc>
        <w:tc>
          <w:tcPr>
            <w:tcW w:w="224" w:type="pct"/>
            <w:vAlign w:val="center"/>
          </w:tcPr>
          <w:p w14:paraId="7FD09129" w14:textId="77777777" w:rsidR="009F006B" w:rsidRDefault="009F006B" w:rsidP="006A7A7E">
            <w:pPr>
              <w:jc w:val="center"/>
              <w:rPr>
                <w:rFonts w:ascii="Calibri" w:hAnsi="Calibri"/>
                <w:color w:val="000000"/>
              </w:rPr>
            </w:pPr>
            <w:r>
              <w:rPr>
                <w:rFonts w:ascii="Calibri" w:hAnsi="Calibri"/>
                <w:color w:val="000000"/>
              </w:rPr>
              <w:t>X</w:t>
            </w:r>
          </w:p>
        </w:tc>
      </w:tr>
      <w:tr w:rsidR="009F006B" w:rsidRPr="0077324A" w14:paraId="3C393C21" w14:textId="77777777" w:rsidTr="009F006B">
        <w:trPr>
          <w:trHeight w:val="278"/>
        </w:trPr>
        <w:tc>
          <w:tcPr>
            <w:tcW w:w="3828" w:type="pct"/>
          </w:tcPr>
          <w:p w14:paraId="4AE4F6C3" w14:textId="77777777" w:rsidR="009F006B" w:rsidRPr="00BC4BA2" w:rsidRDefault="009F006B" w:rsidP="006A7A7E">
            <w:pPr>
              <w:rPr>
                <w:rFonts w:ascii="Calibri" w:hAnsi="Calibri"/>
                <w:color w:val="000000"/>
                <w:sz w:val="18"/>
                <w:szCs w:val="18"/>
              </w:rPr>
            </w:pPr>
            <w:r w:rsidRPr="00BC4BA2">
              <w:rPr>
                <w:rFonts w:ascii="Calibri" w:hAnsi="Calibri"/>
                <w:color w:val="000000"/>
                <w:sz w:val="18"/>
                <w:szCs w:val="18"/>
              </w:rPr>
              <w:t>Apoyo en las comunicaciones que emitirá el PNS/MINSAL para asegurar que los proveedores privados reciben, entienden y adoptan la actualización del protocolo nacional para TARV</w:t>
            </w:r>
          </w:p>
        </w:tc>
        <w:tc>
          <w:tcPr>
            <w:tcW w:w="246" w:type="pct"/>
            <w:vAlign w:val="center"/>
          </w:tcPr>
          <w:p w14:paraId="4CDB7F11" w14:textId="77777777" w:rsidR="009F006B" w:rsidRDefault="009F006B" w:rsidP="006A7A7E">
            <w:pPr>
              <w:jc w:val="center"/>
              <w:rPr>
                <w:rFonts w:ascii="Calibri" w:hAnsi="Calibri"/>
                <w:color w:val="000000"/>
              </w:rPr>
            </w:pPr>
            <w:r>
              <w:rPr>
                <w:rFonts w:ascii="Calibri" w:hAnsi="Calibri"/>
                <w:color w:val="000000"/>
              </w:rPr>
              <w:t>X</w:t>
            </w:r>
          </w:p>
        </w:tc>
        <w:tc>
          <w:tcPr>
            <w:tcW w:w="225" w:type="pct"/>
            <w:vAlign w:val="center"/>
          </w:tcPr>
          <w:p w14:paraId="1BA67C0E" w14:textId="77777777" w:rsidR="009F006B" w:rsidRDefault="009F006B" w:rsidP="006A7A7E">
            <w:pPr>
              <w:jc w:val="center"/>
              <w:rPr>
                <w:rFonts w:ascii="Calibri" w:hAnsi="Calibri"/>
                <w:color w:val="000000"/>
              </w:rPr>
            </w:pPr>
            <w:r>
              <w:rPr>
                <w:rFonts w:ascii="Calibri" w:hAnsi="Calibri"/>
                <w:color w:val="000000"/>
              </w:rPr>
              <w:t> </w:t>
            </w:r>
          </w:p>
        </w:tc>
        <w:tc>
          <w:tcPr>
            <w:tcW w:w="252" w:type="pct"/>
            <w:vAlign w:val="center"/>
          </w:tcPr>
          <w:p w14:paraId="5CF1E67F" w14:textId="77777777" w:rsidR="009F006B" w:rsidRDefault="009F006B" w:rsidP="006A7A7E">
            <w:pPr>
              <w:jc w:val="center"/>
              <w:rPr>
                <w:rFonts w:ascii="Calibri" w:hAnsi="Calibri"/>
                <w:color w:val="000000"/>
              </w:rPr>
            </w:pPr>
            <w:r>
              <w:rPr>
                <w:rFonts w:ascii="Calibri" w:hAnsi="Calibri"/>
                <w:color w:val="000000"/>
              </w:rPr>
              <w:t>X</w:t>
            </w:r>
          </w:p>
        </w:tc>
        <w:tc>
          <w:tcPr>
            <w:tcW w:w="225" w:type="pct"/>
            <w:vAlign w:val="center"/>
          </w:tcPr>
          <w:p w14:paraId="472485EE" w14:textId="77777777" w:rsidR="009F006B" w:rsidRDefault="009F006B" w:rsidP="006A7A7E">
            <w:pPr>
              <w:jc w:val="center"/>
              <w:rPr>
                <w:rFonts w:ascii="Calibri" w:hAnsi="Calibri"/>
                <w:color w:val="000000"/>
              </w:rPr>
            </w:pPr>
            <w:r>
              <w:rPr>
                <w:rFonts w:ascii="Calibri" w:hAnsi="Calibri"/>
                <w:color w:val="000000"/>
              </w:rPr>
              <w:t> </w:t>
            </w:r>
          </w:p>
        </w:tc>
        <w:tc>
          <w:tcPr>
            <w:tcW w:w="224" w:type="pct"/>
            <w:vAlign w:val="center"/>
          </w:tcPr>
          <w:p w14:paraId="5F32D599" w14:textId="77777777" w:rsidR="009F006B" w:rsidRDefault="009F006B" w:rsidP="006A7A7E">
            <w:pPr>
              <w:jc w:val="center"/>
              <w:rPr>
                <w:rFonts w:ascii="Calibri" w:hAnsi="Calibri"/>
                <w:color w:val="000000"/>
              </w:rPr>
            </w:pPr>
            <w:r>
              <w:rPr>
                <w:rFonts w:ascii="Calibri" w:hAnsi="Calibri"/>
                <w:color w:val="000000"/>
              </w:rPr>
              <w:t>X</w:t>
            </w:r>
          </w:p>
        </w:tc>
      </w:tr>
      <w:tr w:rsidR="009F006B" w:rsidRPr="0077324A" w14:paraId="69C42CB1" w14:textId="77777777" w:rsidTr="009F006B">
        <w:trPr>
          <w:trHeight w:val="703"/>
        </w:trPr>
        <w:tc>
          <w:tcPr>
            <w:tcW w:w="3828" w:type="pct"/>
          </w:tcPr>
          <w:p w14:paraId="7AC486E4" w14:textId="77777777" w:rsidR="009F006B" w:rsidRPr="00BC4BA2" w:rsidRDefault="009F006B" w:rsidP="006A7A7E">
            <w:pPr>
              <w:rPr>
                <w:rFonts w:ascii="Calibri" w:hAnsi="Calibri"/>
                <w:color w:val="000000"/>
                <w:sz w:val="18"/>
                <w:szCs w:val="18"/>
              </w:rPr>
            </w:pPr>
            <w:r w:rsidRPr="00BC4BA2">
              <w:rPr>
                <w:rFonts w:ascii="Calibri" w:hAnsi="Calibri"/>
                <w:color w:val="000000"/>
                <w:sz w:val="18"/>
                <w:szCs w:val="18"/>
              </w:rPr>
              <w:t>Diálogo con el sector privado, para manifestar, dar a conocer su experiencia en VIH y expresar su interés sobre las oportunidades de mercado que apoyan la respuesta nacional al VIH y las oportunidades para contribuir con recursos financieros y no financieros a la respuesta nacional</w:t>
            </w:r>
            <w:r>
              <w:rPr>
                <w:rFonts w:ascii="Calibri" w:hAnsi="Calibri"/>
                <w:color w:val="000000"/>
                <w:sz w:val="18"/>
                <w:szCs w:val="18"/>
              </w:rPr>
              <w:t>.</w:t>
            </w:r>
          </w:p>
        </w:tc>
        <w:tc>
          <w:tcPr>
            <w:tcW w:w="246" w:type="pct"/>
            <w:vAlign w:val="center"/>
          </w:tcPr>
          <w:p w14:paraId="6077CEEA" w14:textId="77777777" w:rsidR="009F006B" w:rsidRDefault="009F006B" w:rsidP="006A7A7E">
            <w:pPr>
              <w:jc w:val="center"/>
              <w:rPr>
                <w:rFonts w:ascii="Calibri" w:hAnsi="Calibri"/>
                <w:color w:val="000000"/>
              </w:rPr>
            </w:pPr>
            <w:r>
              <w:rPr>
                <w:rFonts w:ascii="Calibri" w:hAnsi="Calibri"/>
                <w:color w:val="000000"/>
              </w:rPr>
              <w:t>X</w:t>
            </w:r>
          </w:p>
        </w:tc>
        <w:tc>
          <w:tcPr>
            <w:tcW w:w="225" w:type="pct"/>
            <w:vAlign w:val="center"/>
          </w:tcPr>
          <w:p w14:paraId="6F49CB09" w14:textId="77777777" w:rsidR="009F006B" w:rsidRDefault="009F006B" w:rsidP="006A7A7E">
            <w:pPr>
              <w:jc w:val="center"/>
              <w:rPr>
                <w:rFonts w:ascii="Calibri" w:hAnsi="Calibri"/>
                <w:color w:val="000000"/>
              </w:rPr>
            </w:pPr>
            <w:r>
              <w:rPr>
                <w:rFonts w:ascii="Calibri" w:hAnsi="Calibri"/>
                <w:color w:val="000000"/>
              </w:rPr>
              <w:t>X</w:t>
            </w:r>
          </w:p>
        </w:tc>
        <w:tc>
          <w:tcPr>
            <w:tcW w:w="252" w:type="pct"/>
            <w:vAlign w:val="center"/>
          </w:tcPr>
          <w:p w14:paraId="7CFF04EA" w14:textId="77777777" w:rsidR="009F006B" w:rsidRDefault="009F006B" w:rsidP="006A7A7E">
            <w:pPr>
              <w:jc w:val="center"/>
              <w:rPr>
                <w:rFonts w:ascii="Calibri" w:hAnsi="Calibri"/>
                <w:color w:val="000000"/>
              </w:rPr>
            </w:pPr>
            <w:r>
              <w:rPr>
                <w:rFonts w:ascii="Calibri" w:hAnsi="Calibri"/>
                <w:color w:val="000000"/>
              </w:rPr>
              <w:t>X</w:t>
            </w:r>
          </w:p>
        </w:tc>
        <w:tc>
          <w:tcPr>
            <w:tcW w:w="225" w:type="pct"/>
            <w:vAlign w:val="center"/>
          </w:tcPr>
          <w:p w14:paraId="5E6C6D88" w14:textId="77777777" w:rsidR="009F006B" w:rsidRDefault="009F006B" w:rsidP="006A7A7E">
            <w:pPr>
              <w:jc w:val="center"/>
              <w:rPr>
                <w:rFonts w:ascii="Calibri" w:hAnsi="Calibri"/>
                <w:color w:val="000000"/>
              </w:rPr>
            </w:pPr>
            <w:r>
              <w:rPr>
                <w:rFonts w:ascii="Calibri" w:hAnsi="Calibri"/>
                <w:color w:val="000000"/>
              </w:rPr>
              <w:t>X</w:t>
            </w:r>
          </w:p>
        </w:tc>
        <w:tc>
          <w:tcPr>
            <w:tcW w:w="224" w:type="pct"/>
            <w:vAlign w:val="center"/>
          </w:tcPr>
          <w:p w14:paraId="00B2E33C" w14:textId="77777777" w:rsidR="009F006B" w:rsidRDefault="009F006B" w:rsidP="006A7A7E">
            <w:pPr>
              <w:jc w:val="center"/>
              <w:rPr>
                <w:rFonts w:ascii="Calibri" w:hAnsi="Calibri"/>
                <w:color w:val="000000"/>
              </w:rPr>
            </w:pPr>
            <w:r>
              <w:rPr>
                <w:rFonts w:ascii="Calibri" w:hAnsi="Calibri"/>
                <w:color w:val="000000"/>
              </w:rPr>
              <w:t>X</w:t>
            </w:r>
          </w:p>
        </w:tc>
      </w:tr>
      <w:tr w:rsidR="009F006B" w:rsidRPr="0077324A" w14:paraId="7C3FFBD8" w14:textId="77777777" w:rsidTr="009F006B">
        <w:trPr>
          <w:trHeight w:val="984"/>
        </w:trPr>
        <w:tc>
          <w:tcPr>
            <w:tcW w:w="3828" w:type="pct"/>
          </w:tcPr>
          <w:p w14:paraId="25F36F79" w14:textId="77777777" w:rsidR="009F006B" w:rsidRPr="00BC4BA2" w:rsidRDefault="009F006B" w:rsidP="0025750E">
            <w:pPr>
              <w:rPr>
                <w:rFonts w:ascii="Calibri" w:hAnsi="Calibri"/>
                <w:color w:val="000000"/>
                <w:sz w:val="18"/>
                <w:szCs w:val="18"/>
              </w:rPr>
            </w:pPr>
            <w:r w:rsidRPr="00BC4BA2">
              <w:rPr>
                <w:rFonts w:ascii="Calibri" w:hAnsi="Calibri"/>
                <w:color w:val="000000"/>
                <w:sz w:val="18"/>
                <w:szCs w:val="18"/>
              </w:rPr>
              <w:t>Diálogo para diseñar y validar con el sector privado (ANEP y/o Representante de Clínicas del Sector Privado), Ministerio de Economía, Trabajo u otras instancias gubernamentales, una política de impuestos e incentivos para animar a los esfuerzos de la responsabilidad social corporativa de compañías que están contribuyendo con compromisos financieros y/o recursos no financieros</w:t>
            </w:r>
            <w:r>
              <w:rPr>
                <w:rFonts w:ascii="Calibri" w:hAnsi="Calibri"/>
                <w:color w:val="000000"/>
                <w:sz w:val="18"/>
                <w:szCs w:val="18"/>
              </w:rPr>
              <w:t>.</w:t>
            </w:r>
          </w:p>
        </w:tc>
        <w:tc>
          <w:tcPr>
            <w:tcW w:w="246" w:type="pct"/>
            <w:vAlign w:val="bottom"/>
          </w:tcPr>
          <w:p w14:paraId="07084CDA" w14:textId="77777777" w:rsidR="009F006B" w:rsidRDefault="009F006B" w:rsidP="006A7A7E">
            <w:pPr>
              <w:rPr>
                <w:rFonts w:ascii="Calibri" w:hAnsi="Calibri"/>
                <w:color w:val="000000"/>
              </w:rPr>
            </w:pPr>
            <w:r>
              <w:rPr>
                <w:rFonts w:ascii="Calibri" w:hAnsi="Calibri"/>
                <w:color w:val="000000"/>
              </w:rPr>
              <w:t>X</w:t>
            </w:r>
          </w:p>
          <w:p w14:paraId="6478FD24" w14:textId="77777777" w:rsidR="009F006B" w:rsidRDefault="009F006B" w:rsidP="006A7A7E">
            <w:pPr>
              <w:rPr>
                <w:rFonts w:ascii="Calibri" w:hAnsi="Calibri"/>
                <w:color w:val="000000"/>
              </w:rPr>
            </w:pPr>
          </w:p>
        </w:tc>
        <w:tc>
          <w:tcPr>
            <w:tcW w:w="225" w:type="pct"/>
            <w:vAlign w:val="center"/>
          </w:tcPr>
          <w:p w14:paraId="109445E4" w14:textId="77777777" w:rsidR="009F006B" w:rsidRDefault="009F006B" w:rsidP="006A7A7E">
            <w:pPr>
              <w:rPr>
                <w:rFonts w:ascii="Calibri" w:hAnsi="Calibri"/>
                <w:color w:val="000000"/>
              </w:rPr>
            </w:pPr>
          </w:p>
          <w:p w14:paraId="234A0051" w14:textId="77777777" w:rsidR="009F006B" w:rsidRDefault="009F006B" w:rsidP="006A7A7E">
            <w:pPr>
              <w:rPr>
                <w:rFonts w:ascii="Calibri" w:hAnsi="Calibri"/>
                <w:color w:val="000000"/>
              </w:rPr>
            </w:pPr>
            <w:r>
              <w:rPr>
                <w:rFonts w:ascii="Calibri" w:hAnsi="Calibri"/>
                <w:color w:val="000000"/>
              </w:rPr>
              <w:t>X</w:t>
            </w:r>
          </w:p>
          <w:p w14:paraId="68FAD7A6" w14:textId="77777777" w:rsidR="009F006B" w:rsidRDefault="009F006B" w:rsidP="006A7A7E">
            <w:pPr>
              <w:rPr>
                <w:rFonts w:ascii="Calibri" w:hAnsi="Calibri"/>
                <w:color w:val="000000"/>
              </w:rPr>
            </w:pPr>
          </w:p>
        </w:tc>
        <w:tc>
          <w:tcPr>
            <w:tcW w:w="252" w:type="pct"/>
            <w:vAlign w:val="center"/>
          </w:tcPr>
          <w:p w14:paraId="7A2FEC4B" w14:textId="77777777" w:rsidR="009F006B" w:rsidRDefault="009F006B" w:rsidP="0025750E">
            <w:pPr>
              <w:rPr>
                <w:rFonts w:ascii="Calibri" w:hAnsi="Calibri"/>
                <w:color w:val="000000"/>
              </w:rPr>
            </w:pPr>
          </w:p>
        </w:tc>
        <w:tc>
          <w:tcPr>
            <w:tcW w:w="225" w:type="pct"/>
            <w:vAlign w:val="center"/>
          </w:tcPr>
          <w:p w14:paraId="1B88F627" w14:textId="77777777" w:rsidR="009F006B" w:rsidRDefault="009F006B" w:rsidP="0025750E">
            <w:pPr>
              <w:rPr>
                <w:rFonts w:ascii="Calibri" w:hAnsi="Calibri"/>
                <w:color w:val="000000"/>
              </w:rPr>
            </w:pPr>
          </w:p>
        </w:tc>
        <w:tc>
          <w:tcPr>
            <w:tcW w:w="224" w:type="pct"/>
            <w:vAlign w:val="center"/>
          </w:tcPr>
          <w:p w14:paraId="70580836" w14:textId="77777777" w:rsidR="009F006B" w:rsidRDefault="009F006B" w:rsidP="0025750E">
            <w:pPr>
              <w:rPr>
                <w:rFonts w:ascii="Calibri" w:hAnsi="Calibri"/>
                <w:color w:val="000000"/>
              </w:rPr>
            </w:pPr>
          </w:p>
        </w:tc>
      </w:tr>
      <w:tr w:rsidR="009F006B" w:rsidRPr="0077324A" w14:paraId="761E5E35" w14:textId="77777777" w:rsidTr="009F006B">
        <w:trPr>
          <w:trHeight w:val="563"/>
        </w:trPr>
        <w:tc>
          <w:tcPr>
            <w:tcW w:w="3828" w:type="pct"/>
          </w:tcPr>
          <w:p w14:paraId="3DAD93F7" w14:textId="77777777" w:rsidR="009F006B" w:rsidRPr="00BC4BA2" w:rsidRDefault="009F006B" w:rsidP="006A7A7E">
            <w:pPr>
              <w:rPr>
                <w:rFonts w:ascii="Calibri" w:hAnsi="Calibri"/>
                <w:color w:val="000000"/>
                <w:sz w:val="18"/>
                <w:szCs w:val="18"/>
              </w:rPr>
            </w:pPr>
            <w:r>
              <w:rPr>
                <w:rFonts w:ascii="Calibri" w:hAnsi="Calibri"/>
                <w:color w:val="000000"/>
                <w:sz w:val="18"/>
                <w:szCs w:val="18"/>
              </w:rPr>
              <w:lastRenderedPageBreak/>
              <w:t>Investigar en otros sistemas de salud de otros países, para conocer los sistemas de financiamiento de la salud públicos/ privados.</w:t>
            </w:r>
          </w:p>
        </w:tc>
        <w:tc>
          <w:tcPr>
            <w:tcW w:w="246" w:type="pct"/>
            <w:vAlign w:val="bottom"/>
          </w:tcPr>
          <w:p w14:paraId="4712465E" w14:textId="77777777" w:rsidR="009F006B" w:rsidRDefault="009F006B" w:rsidP="006A7A7E">
            <w:pPr>
              <w:rPr>
                <w:rFonts w:ascii="Calibri" w:hAnsi="Calibri"/>
                <w:color w:val="000000"/>
              </w:rPr>
            </w:pPr>
            <w:r>
              <w:rPr>
                <w:rFonts w:ascii="Calibri" w:hAnsi="Calibri"/>
                <w:color w:val="000000"/>
              </w:rPr>
              <w:t>X</w:t>
            </w:r>
          </w:p>
        </w:tc>
        <w:tc>
          <w:tcPr>
            <w:tcW w:w="225" w:type="pct"/>
            <w:vAlign w:val="center"/>
          </w:tcPr>
          <w:p w14:paraId="2322639C" w14:textId="77777777" w:rsidR="009F006B" w:rsidRDefault="009F006B" w:rsidP="006A7A7E">
            <w:pPr>
              <w:rPr>
                <w:rFonts w:ascii="Calibri" w:hAnsi="Calibri"/>
                <w:color w:val="000000"/>
              </w:rPr>
            </w:pPr>
          </w:p>
          <w:p w14:paraId="79541AE1" w14:textId="77777777" w:rsidR="009F006B" w:rsidRDefault="009F006B" w:rsidP="006A7A7E">
            <w:pPr>
              <w:rPr>
                <w:rFonts w:ascii="Calibri" w:hAnsi="Calibri"/>
                <w:color w:val="000000"/>
              </w:rPr>
            </w:pPr>
            <w:r>
              <w:rPr>
                <w:rFonts w:ascii="Calibri" w:hAnsi="Calibri"/>
                <w:color w:val="000000"/>
              </w:rPr>
              <w:t>X</w:t>
            </w:r>
          </w:p>
        </w:tc>
        <w:tc>
          <w:tcPr>
            <w:tcW w:w="252" w:type="pct"/>
            <w:vAlign w:val="center"/>
          </w:tcPr>
          <w:p w14:paraId="2A982752" w14:textId="77777777" w:rsidR="009F006B" w:rsidRDefault="009F006B" w:rsidP="006A7A7E">
            <w:pPr>
              <w:rPr>
                <w:rFonts w:ascii="Calibri" w:hAnsi="Calibri"/>
                <w:color w:val="000000"/>
              </w:rPr>
            </w:pPr>
          </w:p>
        </w:tc>
        <w:tc>
          <w:tcPr>
            <w:tcW w:w="225" w:type="pct"/>
            <w:vAlign w:val="center"/>
          </w:tcPr>
          <w:p w14:paraId="2A2938C0" w14:textId="77777777" w:rsidR="009F006B" w:rsidRDefault="009F006B" w:rsidP="006A7A7E">
            <w:pPr>
              <w:rPr>
                <w:rFonts w:ascii="Calibri" w:hAnsi="Calibri"/>
                <w:color w:val="000000"/>
              </w:rPr>
            </w:pPr>
          </w:p>
        </w:tc>
        <w:tc>
          <w:tcPr>
            <w:tcW w:w="224" w:type="pct"/>
            <w:vAlign w:val="center"/>
          </w:tcPr>
          <w:p w14:paraId="0A72EDED" w14:textId="77777777" w:rsidR="009F006B" w:rsidRDefault="009F006B" w:rsidP="006A7A7E">
            <w:pPr>
              <w:rPr>
                <w:rFonts w:ascii="Calibri" w:hAnsi="Calibri"/>
                <w:color w:val="000000"/>
              </w:rPr>
            </w:pPr>
          </w:p>
        </w:tc>
      </w:tr>
      <w:tr w:rsidR="009F006B" w:rsidRPr="0077324A" w14:paraId="7F382A58" w14:textId="77777777" w:rsidTr="009F006B">
        <w:trPr>
          <w:trHeight w:val="563"/>
        </w:trPr>
        <w:tc>
          <w:tcPr>
            <w:tcW w:w="3828" w:type="pct"/>
          </w:tcPr>
          <w:p w14:paraId="0611118A" w14:textId="77777777" w:rsidR="009F006B" w:rsidRPr="003A252D" w:rsidRDefault="009F006B" w:rsidP="003A252D">
            <w:r w:rsidRPr="003A252D">
              <w:rPr>
                <w:rFonts w:ascii="Calibri" w:hAnsi="Calibri"/>
                <w:color w:val="000000"/>
                <w:sz w:val="18"/>
                <w:szCs w:val="18"/>
              </w:rPr>
              <w:t>Coordinación con laboratorios privados para la referencia y prestación del servicio de prueba de VIH y sífilis a poblaciones clave en laboratorios privados, incluye prueba y post-consejería, y reporte a sistema nacional.</w:t>
            </w:r>
          </w:p>
        </w:tc>
        <w:tc>
          <w:tcPr>
            <w:tcW w:w="246" w:type="pct"/>
            <w:vAlign w:val="bottom"/>
          </w:tcPr>
          <w:p w14:paraId="57DA9F64" w14:textId="77777777" w:rsidR="009F006B" w:rsidRDefault="009F006B" w:rsidP="003A252D">
            <w:pPr>
              <w:rPr>
                <w:rFonts w:ascii="Calibri" w:hAnsi="Calibri"/>
                <w:color w:val="000000"/>
              </w:rPr>
            </w:pPr>
            <w:r>
              <w:rPr>
                <w:rFonts w:ascii="Calibri" w:hAnsi="Calibri"/>
                <w:color w:val="000000"/>
              </w:rPr>
              <w:t>X</w:t>
            </w:r>
          </w:p>
        </w:tc>
        <w:tc>
          <w:tcPr>
            <w:tcW w:w="225" w:type="pct"/>
            <w:vAlign w:val="center"/>
          </w:tcPr>
          <w:p w14:paraId="7921AB5F" w14:textId="77777777" w:rsidR="009F006B" w:rsidRDefault="009F006B" w:rsidP="003A252D">
            <w:pPr>
              <w:rPr>
                <w:rFonts w:ascii="Calibri" w:hAnsi="Calibri"/>
                <w:color w:val="000000"/>
              </w:rPr>
            </w:pPr>
          </w:p>
          <w:p w14:paraId="1BB858DF" w14:textId="77777777" w:rsidR="009F006B" w:rsidRDefault="009F006B" w:rsidP="003A252D">
            <w:pPr>
              <w:rPr>
                <w:rFonts w:ascii="Calibri" w:hAnsi="Calibri"/>
                <w:color w:val="000000"/>
              </w:rPr>
            </w:pPr>
            <w:r>
              <w:rPr>
                <w:rFonts w:ascii="Calibri" w:hAnsi="Calibri"/>
                <w:color w:val="000000"/>
              </w:rPr>
              <w:t>X</w:t>
            </w:r>
          </w:p>
        </w:tc>
        <w:tc>
          <w:tcPr>
            <w:tcW w:w="252" w:type="pct"/>
            <w:vAlign w:val="bottom"/>
          </w:tcPr>
          <w:p w14:paraId="0A361225" w14:textId="77777777" w:rsidR="009F006B" w:rsidRDefault="009F006B" w:rsidP="003A252D">
            <w:pPr>
              <w:rPr>
                <w:rFonts w:ascii="Calibri" w:hAnsi="Calibri"/>
                <w:color w:val="000000"/>
              </w:rPr>
            </w:pPr>
            <w:r>
              <w:rPr>
                <w:rFonts w:ascii="Calibri" w:hAnsi="Calibri"/>
                <w:color w:val="000000"/>
              </w:rPr>
              <w:t>X</w:t>
            </w:r>
          </w:p>
        </w:tc>
        <w:tc>
          <w:tcPr>
            <w:tcW w:w="225" w:type="pct"/>
            <w:vAlign w:val="center"/>
          </w:tcPr>
          <w:p w14:paraId="5762D295" w14:textId="77777777" w:rsidR="009F006B" w:rsidRDefault="009F006B" w:rsidP="003A252D">
            <w:pPr>
              <w:rPr>
                <w:rFonts w:ascii="Calibri" w:hAnsi="Calibri"/>
                <w:color w:val="000000"/>
              </w:rPr>
            </w:pPr>
          </w:p>
          <w:p w14:paraId="0535805D" w14:textId="77777777" w:rsidR="009F006B" w:rsidRDefault="009F006B" w:rsidP="003A252D">
            <w:pPr>
              <w:rPr>
                <w:rFonts w:ascii="Calibri" w:hAnsi="Calibri"/>
                <w:color w:val="000000"/>
              </w:rPr>
            </w:pPr>
            <w:r>
              <w:rPr>
                <w:rFonts w:ascii="Calibri" w:hAnsi="Calibri"/>
                <w:color w:val="000000"/>
              </w:rPr>
              <w:t>X</w:t>
            </w:r>
          </w:p>
        </w:tc>
        <w:tc>
          <w:tcPr>
            <w:tcW w:w="224" w:type="pct"/>
            <w:vAlign w:val="bottom"/>
          </w:tcPr>
          <w:p w14:paraId="708A2847" w14:textId="77777777" w:rsidR="009F006B" w:rsidRDefault="009F006B" w:rsidP="003A252D">
            <w:pPr>
              <w:rPr>
                <w:rFonts w:ascii="Calibri" w:hAnsi="Calibri"/>
                <w:color w:val="000000"/>
              </w:rPr>
            </w:pPr>
            <w:r>
              <w:rPr>
                <w:rFonts w:ascii="Calibri" w:hAnsi="Calibri"/>
                <w:color w:val="000000"/>
              </w:rPr>
              <w:t>X</w:t>
            </w:r>
          </w:p>
        </w:tc>
      </w:tr>
      <w:tr w:rsidR="009F006B" w:rsidRPr="0077324A" w14:paraId="22A76F91" w14:textId="77777777" w:rsidTr="009F006B">
        <w:trPr>
          <w:trHeight w:val="563"/>
        </w:trPr>
        <w:tc>
          <w:tcPr>
            <w:tcW w:w="3828" w:type="pct"/>
          </w:tcPr>
          <w:p w14:paraId="28BD6A3B" w14:textId="77777777" w:rsidR="009F006B" w:rsidRPr="003A252D" w:rsidRDefault="009F006B" w:rsidP="003A252D">
            <w:pPr>
              <w:rPr>
                <w:rFonts w:ascii="Calibri" w:hAnsi="Calibri"/>
                <w:color w:val="000000"/>
                <w:sz w:val="18"/>
                <w:szCs w:val="18"/>
              </w:rPr>
            </w:pPr>
            <w:r w:rsidRPr="003A252D">
              <w:rPr>
                <w:rFonts w:ascii="Calibri" w:hAnsi="Calibri"/>
                <w:color w:val="000000"/>
                <w:sz w:val="18"/>
                <w:szCs w:val="18"/>
              </w:rPr>
              <w:t>Optimización del desempeño de la calidad</w:t>
            </w:r>
            <w:r>
              <w:rPr>
                <w:rFonts w:ascii="Calibri" w:hAnsi="Calibri"/>
                <w:color w:val="000000"/>
                <w:sz w:val="18"/>
                <w:szCs w:val="18"/>
              </w:rPr>
              <w:t xml:space="preserve"> en laboratorios privados </w:t>
            </w:r>
          </w:p>
          <w:p w14:paraId="05A12172" w14:textId="77777777" w:rsidR="009F006B" w:rsidRPr="003A252D" w:rsidRDefault="009F006B" w:rsidP="003A252D">
            <w:pPr>
              <w:rPr>
                <w:rFonts w:ascii="Calibri" w:hAnsi="Calibri"/>
                <w:color w:val="000000"/>
                <w:sz w:val="18"/>
                <w:szCs w:val="18"/>
              </w:rPr>
            </w:pPr>
          </w:p>
        </w:tc>
        <w:tc>
          <w:tcPr>
            <w:tcW w:w="246" w:type="pct"/>
            <w:vAlign w:val="bottom"/>
          </w:tcPr>
          <w:p w14:paraId="118CB4E2" w14:textId="77777777" w:rsidR="009F006B" w:rsidRDefault="009F006B" w:rsidP="003A252D">
            <w:pPr>
              <w:rPr>
                <w:rFonts w:ascii="Calibri" w:hAnsi="Calibri"/>
                <w:color w:val="000000"/>
              </w:rPr>
            </w:pPr>
            <w:r>
              <w:rPr>
                <w:rFonts w:ascii="Calibri" w:hAnsi="Calibri"/>
                <w:color w:val="000000"/>
              </w:rPr>
              <w:t>X</w:t>
            </w:r>
          </w:p>
        </w:tc>
        <w:tc>
          <w:tcPr>
            <w:tcW w:w="225" w:type="pct"/>
            <w:vAlign w:val="center"/>
          </w:tcPr>
          <w:p w14:paraId="5E040ADB" w14:textId="77777777" w:rsidR="009F006B" w:rsidRDefault="009F006B" w:rsidP="003A252D">
            <w:pPr>
              <w:rPr>
                <w:rFonts w:ascii="Calibri" w:hAnsi="Calibri"/>
                <w:color w:val="000000"/>
              </w:rPr>
            </w:pPr>
          </w:p>
          <w:p w14:paraId="5C215BB5" w14:textId="77777777" w:rsidR="009F006B" w:rsidRDefault="009F006B" w:rsidP="003A252D">
            <w:pPr>
              <w:rPr>
                <w:rFonts w:ascii="Calibri" w:hAnsi="Calibri"/>
                <w:color w:val="000000"/>
              </w:rPr>
            </w:pPr>
            <w:r>
              <w:rPr>
                <w:rFonts w:ascii="Calibri" w:hAnsi="Calibri"/>
                <w:color w:val="000000"/>
              </w:rPr>
              <w:t>X</w:t>
            </w:r>
          </w:p>
        </w:tc>
        <w:tc>
          <w:tcPr>
            <w:tcW w:w="252" w:type="pct"/>
            <w:vAlign w:val="bottom"/>
          </w:tcPr>
          <w:p w14:paraId="06C81B07" w14:textId="77777777" w:rsidR="009F006B" w:rsidRDefault="009F006B" w:rsidP="003A252D">
            <w:pPr>
              <w:rPr>
                <w:rFonts w:ascii="Calibri" w:hAnsi="Calibri"/>
                <w:color w:val="000000"/>
              </w:rPr>
            </w:pPr>
            <w:r>
              <w:rPr>
                <w:rFonts w:ascii="Calibri" w:hAnsi="Calibri"/>
                <w:color w:val="000000"/>
              </w:rPr>
              <w:t>X</w:t>
            </w:r>
          </w:p>
        </w:tc>
        <w:tc>
          <w:tcPr>
            <w:tcW w:w="225" w:type="pct"/>
            <w:vAlign w:val="center"/>
          </w:tcPr>
          <w:p w14:paraId="45C1A114" w14:textId="77777777" w:rsidR="009F006B" w:rsidRDefault="009F006B" w:rsidP="003A252D">
            <w:pPr>
              <w:rPr>
                <w:rFonts w:ascii="Calibri" w:hAnsi="Calibri"/>
                <w:color w:val="000000"/>
              </w:rPr>
            </w:pPr>
          </w:p>
          <w:p w14:paraId="304D4552" w14:textId="77777777" w:rsidR="009F006B" w:rsidRDefault="009F006B" w:rsidP="003A252D">
            <w:pPr>
              <w:rPr>
                <w:rFonts w:ascii="Calibri" w:hAnsi="Calibri"/>
                <w:color w:val="000000"/>
              </w:rPr>
            </w:pPr>
            <w:r>
              <w:rPr>
                <w:rFonts w:ascii="Calibri" w:hAnsi="Calibri"/>
                <w:color w:val="000000"/>
              </w:rPr>
              <w:t>X</w:t>
            </w:r>
          </w:p>
        </w:tc>
        <w:tc>
          <w:tcPr>
            <w:tcW w:w="224" w:type="pct"/>
            <w:vAlign w:val="bottom"/>
          </w:tcPr>
          <w:p w14:paraId="1F693874" w14:textId="77777777" w:rsidR="009F006B" w:rsidRDefault="009F006B" w:rsidP="003A252D">
            <w:pPr>
              <w:rPr>
                <w:rFonts w:ascii="Calibri" w:hAnsi="Calibri"/>
                <w:color w:val="000000"/>
              </w:rPr>
            </w:pPr>
            <w:r>
              <w:rPr>
                <w:rFonts w:ascii="Calibri" w:hAnsi="Calibri"/>
                <w:color w:val="000000"/>
              </w:rPr>
              <w:t>X</w:t>
            </w:r>
          </w:p>
        </w:tc>
      </w:tr>
    </w:tbl>
    <w:p w14:paraId="0C6FD4B6" w14:textId="77777777" w:rsidR="003A252D" w:rsidRDefault="003A252D"/>
    <w:tbl>
      <w:tblPr>
        <w:tblW w:w="5000" w:type="pct"/>
        <w:tblCellMar>
          <w:left w:w="70" w:type="dxa"/>
          <w:right w:w="70" w:type="dxa"/>
        </w:tblCellMar>
        <w:tblLook w:val="04A0" w:firstRow="1" w:lastRow="0" w:firstColumn="1" w:lastColumn="0" w:noHBand="0" w:noVBand="1"/>
      </w:tblPr>
      <w:tblGrid>
        <w:gridCol w:w="3163"/>
        <w:gridCol w:w="1510"/>
        <w:gridCol w:w="2126"/>
        <w:gridCol w:w="1276"/>
        <w:gridCol w:w="3017"/>
        <w:gridCol w:w="1902"/>
      </w:tblGrid>
      <w:tr w:rsidR="005F7825" w:rsidRPr="0077324A" w14:paraId="5FF01895" w14:textId="77777777" w:rsidTr="003B6724">
        <w:trPr>
          <w:trHeight w:val="496"/>
        </w:trPr>
        <w:tc>
          <w:tcPr>
            <w:tcW w:w="1217"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9400516" w14:textId="77777777" w:rsidR="005F7825" w:rsidRPr="0077324A" w:rsidRDefault="005F7825" w:rsidP="005F7825">
            <w:pP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 xml:space="preserve">Líneas de acción de la estrategia </w:t>
            </w:r>
          </w:p>
        </w:tc>
        <w:tc>
          <w:tcPr>
            <w:tcW w:w="581" w:type="pct"/>
            <w:tcBorders>
              <w:top w:val="single" w:sz="4" w:space="0" w:color="auto"/>
              <w:left w:val="nil"/>
              <w:bottom w:val="single" w:sz="4" w:space="0" w:color="auto"/>
              <w:right w:val="single" w:sz="4" w:space="0" w:color="auto"/>
            </w:tcBorders>
            <w:shd w:val="clear" w:color="auto" w:fill="F7CAAC" w:themeFill="accent2" w:themeFillTint="66"/>
            <w:hideMark/>
          </w:tcPr>
          <w:p w14:paraId="680FF4F5" w14:textId="77777777" w:rsidR="005F7825" w:rsidRPr="005F7825" w:rsidRDefault="005F7825" w:rsidP="005F7825">
            <w:pPr>
              <w:rPr>
                <w:rFonts w:ascii="Calibri" w:eastAsia="Times New Roman" w:hAnsi="Calibri" w:cs="Times New Roman"/>
                <w:color w:val="000000"/>
                <w:sz w:val="18"/>
                <w:szCs w:val="18"/>
                <w:lang w:val="es-SV" w:eastAsia="es-SV"/>
              </w:rPr>
            </w:pPr>
            <w:r w:rsidRPr="005F7825">
              <w:rPr>
                <w:rFonts w:ascii="Calibri" w:eastAsia="Times New Roman" w:hAnsi="Calibri" w:cs="Times New Roman"/>
                <w:color w:val="000000"/>
                <w:sz w:val="18"/>
                <w:szCs w:val="18"/>
                <w:lang w:val="es-SV" w:eastAsia="es-SV"/>
              </w:rPr>
              <w:t>Situación actual</w:t>
            </w:r>
          </w:p>
          <w:p w14:paraId="47353E49" w14:textId="77777777" w:rsidR="005F7825" w:rsidRPr="005F7825" w:rsidRDefault="005F7825" w:rsidP="00312362">
            <w:pPr>
              <w:rPr>
                <w:rFonts w:ascii="Calibri" w:eastAsia="Times New Roman" w:hAnsi="Calibri" w:cs="Times New Roman"/>
                <w:color w:val="000000"/>
                <w:sz w:val="18"/>
                <w:szCs w:val="18"/>
                <w:lang w:val="es-SV" w:eastAsia="es-SV"/>
              </w:rPr>
            </w:pPr>
          </w:p>
        </w:tc>
        <w:tc>
          <w:tcPr>
            <w:tcW w:w="818" w:type="pct"/>
            <w:tcBorders>
              <w:top w:val="single" w:sz="4" w:space="0" w:color="auto"/>
              <w:left w:val="nil"/>
              <w:bottom w:val="single" w:sz="4" w:space="0" w:color="auto"/>
              <w:right w:val="single" w:sz="4" w:space="0" w:color="auto"/>
            </w:tcBorders>
            <w:shd w:val="clear" w:color="auto" w:fill="F7CAAC" w:themeFill="accent2" w:themeFillTint="66"/>
            <w:hideMark/>
          </w:tcPr>
          <w:p w14:paraId="60A343D8" w14:textId="77777777" w:rsidR="005F7825" w:rsidRPr="005F7825" w:rsidRDefault="005F7825" w:rsidP="005F7825">
            <w:pPr>
              <w:rPr>
                <w:rFonts w:ascii="Calibri" w:eastAsia="Times New Roman" w:hAnsi="Calibri" w:cs="Times New Roman"/>
                <w:color w:val="000000"/>
                <w:sz w:val="18"/>
                <w:szCs w:val="18"/>
                <w:lang w:val="es-SV" w:eastAsia="es-SV"/>
              </w:rPr>
            </w:pPr>
            <w:r w:rsidRPr="005F7825">
              <w:rPr>
                <w:rFonts w:ascii="Calibri" w:eastAsia="Times New Roman" w:hAnsi="Calibri" w:cs="Times New Roman"/>
                <w:color w:val="000000"/>
                <w:sz w:val="18"/>
                <w:szCs w:val="18"/>
                <w:lang w:val="es-SV" w:eastAsia="es-SV"/>
              </w:rPr>
              <w:t xml:space="preserve">Oportunidades </w:t>
            </w:r>
          </w:p>
          <w:p w14:paraId="726EA0B0" w14:textId="77777777" w:rsidR="005F7825" w:rsidRPr="005F7825" w:rsidRDefault="005F7825" w:rsidP="005F7825">
            <w:pPr>
              <w:spacing w:after="0" w:line="240" w:lineRule="auto"/>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 </w:t>
            </w:r>
          </w:p>
        </w:tc>
        <w:tc>
          <w:tcPr>
            <w:tcW w:w="491" w:type="pct"/>
            <w:tcBorders>
              <w:top w:val="single" w:sz="4" w:space="0" w:color="auto"/>
              <w:left w:val="nil"/>
              <w:bottom w:val="single" w:sz="4" w:space="0" w:color="auto"/>
              <w:right w:val="single" w:sz="4" w:space="0" w:color="auto"/>
            </w:tcBorders>
            <w:shd w:val="clear" w:color="auto" w:fill="F7CAAC" w:themeFill="accent2" w:themeFillTint="66"/>
            <w:hideMark/>
          </w:tcPr>
          <w:p w14:paraId="19177D5F" w14:textId="77777777" w:rsidR="005F7825" w:rsidRPr="005F7825" w:rsidRDefault="005F7825" w:rsidP="005F7825">
            <w:pPr>
              <w:rPr>
                <w:rFonts w:ascii="Calibri" w:eastAsia="Times New Roman" w:hAnsi="Calibri" w:cs="Times New Roman"/>
                <w:color w:val="000000"/>
                <w:sz w:val="18"/>
                <w:szCs w:val="18"/>
                <w:lang w:val="es-SV" w:eastAsia="es-SV"/>
              </w:rPr>
            </w:pPr>
            <w:r w:rsidRPr="005F7825">
              <w:rPr>
                <w:rFonts w:ascii="Calibri" w:eastAsia="Times New Roman" w:hAnsi="Calibri" w:cs="Times New Roman"/>
                <w:color w:val="000000"/>
                <w:sz w:val="18"/>
                <w:szCs w:val="18"/>
                <w:lang w:val="es-SV" w:eastAsia="es-SV"/>
              </w:rPr>
              <w:t>Desafíos</w:t>
            </w:r>
          </w:p>
        </w:tc>
        <w:tc>
          <w:tcPr>
            <w:tcW w:w="1161" w:type="pct"/>
            <w:tcBorders>
              <w:top w:val="single" w:sz="4" w:space="0" w:color="auto"/>
              <w:left w:val="nil"/>
              <w:bottom w:val="single" w:sz="4" w:space="0" w:color="auto"/>
              <w:right w:val="single" w:sz="4" w:space="0" w:color="auto"/>
            </w:tcBorders>
            <w:shd w:val="clear" w:color="auto" w:fill="F7CAAC" w:themeFill="accent2" w:themeFillTint="66"/>
            <w:hideMark/>
          </w:tcPr>
          <w:p w14:paraId="35315BB0" w14:textId="77777777" w:rsidR="005F7825" w:rsidRPr="005F7825" w:rsidRDefault="005F7825" w:rsidP="005F7825">
            <w:pPr>
              <w:rPr>
                <w:rFonts w:ascii="Calibri" w:eastAsia="Times New Roman" w:hAnsi="Calibri" w:cs="Times New Roman"/>
                <w:color w:val="000000"/>
                <w:sz w:val="18"/>
                <w:szCs w:val="18"/>
                <w:lang w:val="es-SV" w:eastAsia="es-SV"/>
              </w:rPr>
            </w:pPr>
            <w:r w:rsidRPr="005F7825">
              <w:rPr>
                <w:rFonts w:ascii="Calibri" w:eastAsia="Times New Roman" w:hAnsi="Calibri" w:cs="Times New Roman"/>
                <w:color w:val="000000"/>
                <w:sz w:val="18"/>
                <w:szCs w:val="18"/>
                <w:lang w:val="es-SV" w:eastAsia="es-SV"/>
              </w:rPr>
              <w:t xml:space="preserve"> Meta (en base a brechas y prioridades) </w:t>
            </w:r>
          </w:p>
        </w:tc>
        <w:tc>
          <w:tcPr>
            <w:tcW w:w="732" w:type="pct"/>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41972EED" w14:textId="77777777" w:rsidR="005F7825" w:rsidRPr="005F7825" w:rsidRDefault="005F7825" w:rsidP="005F7825">
            <w:pPr>
              <w:rPr>
                <w:rFonts w:ascii="Calibri" w:eastAsia="Times New Roman" w:hAnsi="Calibri" w:cs="Times New Roman"/>
                <w:color w:val="000000"/>
                <w:sz w:val="18"/>
                <w:szCs w:val="18"/>
                <w:lang w:val="es-SV" w:eastAsia="es-SV"/>
              </w:rPr>
            </w:pPr>
            <w:r w:rsidRPr="005F7825">
              <w:rPr>
                <w:rFonts w:ascii="Calibri" w:eastAsia="Times New Roman" w:hAnsi="Calibri" w:cs="Times New Roman"/>
                <w:color w:val="000000"/>
                <w:sz w:val="18"/>
                <w:szCs w:val="18"/>
                <w:lang w:val="es-SV" w:eastAsia="es-SV"/>
              </w:rPr>
              <w:t>Responsables de actividades</w:t>
            </w:r>
          </w:p>
        </w:tc>
      </w:tr>
      <w:tr w:rsidR="000B01CB" w:rsidRPr="000B01CB" w14:paraId="39C98CD2" w14:textId="77777777" w:rsidTr="003B6724">
        <w:trPr>
          <w:trHeight w:val="1525"/>
        </w:trPr>
        <w:tc>
          <w:tcPr>
            <w:tcW w:w="1217" w:type="pct"/>
            <w:tcBorders>
              <w:top w:val="single" w:sz="4" w:space="0" w:color="auto"/>
              <w:left w:val="single" w:sz="4" w:space="0" w:color="auto"/>
              <w:bottom w:val="single" w:sz="4" w:space="0" w:color="auto"/>
              <w:right w:val="single" w:sz="4" w:space="0" w:color="auto"/>
            </w:tcBorders>
            <w:shd w:val="clear" w:color="auto" w:fill="auto"/>
            <w:hideMark/>
          </w:tcPr>
          <w:p w14:paraId="18EBE7D8" w14:textId="77777777" w:rsidR="000B01CB" w:rsidRPr="000B01CB" w:rsidRDefault="000B01CB" w:rsidP="000B01CB">
            <w:pPr>
              <w:spacing w:after="0" w:line="240" w:lineRule="auto"/>
              <w:rPr>
                <w:rFonts w:ascii="Calibri" w:eastAsia="Times New Roman" w:hAnsi="Calibri" w:cs="Times New Roman"/>
                <w:b/>
                <w:bCs/>
                <w:color w:val="000000"/>
                <w:sz w:val="18"/>
                <w:szCs w:val="18"/>
                <w:lang w:val="es-SV" w:eastAsia="es-SV"/>
              </w:rPr>
            </w:pPr>
            <w:r w:rsidRPr="000B01CB">
              <w:rPr>
                <w:rFonts w:ascii="Calibri" w:eastAsia="Times New Roman" w:hAnsi="Calibri" w:cs="Times New Roman"/>
                <w:b/>
                <w:bCs/>
                <w:color w:val="000000"/>
                <w:sz w:val="18"/>
                <w:szCs w:val="18"/>
                <w:lang w:val="es-SV" w:eastAsia="es-SV"/>
              </w:rPr>
              <w:t>3.Movilización de recursos  mediante la coordinación con ONG que  implementan acciones de prevención  en VIH y cuentan con planes de sostenibilidad implementándose, para su integración en la respuesta nacional al VIH</w:t>
            </w:r>
          </w:p>
        </w:tc>
        <w:tc>
          <w:tcPr>
            <w:tcW w:w="581" w:type="pct"/>
            <w:tcBorders>
              <w:top w:val="single" w:sz="4" w:space="0" w:color="auto"/>
              <w:left w:val="nil"/>
              <w:bottom w:val="single" w:sz="4" w:space="0" w:color="auto"/>
              <w:right w:val="single" w:sz="4" w:space="0" w:color="auto"/>
            </w:tcBorders>
            <w:shd w:val="clear" w:color="auto" w:fill="auto"/>
            <w:hideMark/>
          </w:tcPr>
          <w:p w14:paraId="2D2A0989" w14:textId="77777777" w:rsidR="000B01CB" w:rsidRPr="000B01CB" w:rsidRDefault="000B01CB" w:rsidP="000B01CB">
            <w:pPr>
              <w:spacing w:after="0" w:line="240" w:lineRule="auto"/>
              <w:rPr>
                <w:rFonts w:ascii="Calibri" w:eastAsia="Times New Roman" w:hAnsi="Calibri" w:cs="Times New Roman"/>
                <w:color w:val="000000"/>
                <w:sz w:val="18"/>
                <w:szCs w:val="18"/>
                <w:lang w:val="es-SV" w:eastAsia="es-SV"/>
              </w:rPr>
            </w:pPr>
            <w:r w:rsidRPr="000B01CB">
              <w:rPr>
                <w:rFonts w:ascii="Calibri" w:eastAsia="Times New Roman" w:hAnsi="Calibri" w:cs="Times New Roman"/>
                <w:color w:val="000000"/>
                <w:sz w:val="18"/>
                <w:szCs w:val="18"/>
                <w:lang w:val="es-SV" w:eastAsia="es-SV"/>
              </w:rPr>
              <w:t xml:space="preserve">Disminución drástica del financiamiento bilateral como multilateral dirigido a ONG. </w:t>
            </w:r>
          </w:p>
        </w:tc>
        <w:tc>
          <w:tcPr>
            <w:tcW w:w="818" w:type="pct"/>
            <w:tcBorders>
              <w:top w:val="single" w:sz="4" w:space="0" w:color="auto"/>
              <w:left w:val="nil"/>
              <w:bottom w:val="single" w:sz="4" w:space="0" w:color="auto"/>
              <w:right w:val="single" w:sz="4" w:space="0" w:color="auto"/>
            </w:tcBorders>
            <w:shd w:val="clear" w:color="auto" w:fill="auto"/>
            <w:hideMark/>
          </w:tcPr>
          <w:p w14:paraId="40BC8BDC" w14:textId="77777777" w:rsidR="000B01CB" w:rsidRPr="000B01CB" w:rsidRDefault="000B01CB" w:rsidP="000B01CB">
            <w:pPr>
              <w:spacing w:after="0" w:line="240" w:lineRule="auto"/>
              <w:rPr>
                <w:rFonts w:ascii="Calibri" w:eastAsia="Times New Roman" w:hAnsi="Calibri" w:cs="Times New Roman"/>
                <w:color w:val="000000"/>
                <w:sz w:val="18"/>
                <w:szCs w:val="18"/>
                <w:lang w:val="es-SV" w:eastAsia="es-SV"/>
              </w:rPr>
            </w:pPr>
            <w:r w:rsidRPr="000B01CB">
              <w:rPr>
                <w:rFonts w:ascii="Calibri" w:eastAsia="Times New Roman" w:hAnsi="Calibri" w:cs="Times New Roman"/>
                <w:color w:val="000000"/>
                <w:sz w:val="18"/>
                <w:szCs w:val="18"/>
                <w:lang w:val="es-SV" w:eastAsia="es-SV"/>
              </w:rPr>
              <w:t xml:space="preserve">La implementación de planes de sostenibilidad que pueden ser ampliadas y ser parte del </w:t>
            </w:r>
            <w:r w:rsidR="00124CBC" w:rsidRPr="000B01CB">
              <w:rPr>
                <w:rFonts w:ascii="Calibri" w:eastAsia="Times New Roman" w:hAnsi="Calibri" w:cs="Times New Roman"/>
                <w:color w:val="000000"/>
                <w:sz w:val="18"/>
                <w:szCs w:val="18"/>
                <w:lang w:val="es-SV" w:eastAsia="es-SV"/>
              </w:rPr>
              <w:t>catálogo</w:t>
            </w:r>
            <w:r w:rsidRPr="000B01CB">
              <w:rPr>
                <w:rFonts w:ascii="Calibri" w:eastAsia="Times New Roman" w:hAnsi="Calibri" w:cs="Times New Roman"/>
                <w:color w:val="000000"/>
                <w:sz w:val="18"/>
                <w:szCs w:val="18"/>
                <w:lang w:val="es-SV" w:eastAsia="es-SV"/>
              </w:rPr>
              <w:t xml:space="preserve"> de cooperación sur-sur y cooperación triangular.</w:t>
            </w:r>
          </w:p>
        </w:tc>
        <w:tc>
          <w:tcPr>
            <w:tcW w:w="491" w:type="pct"/>
            <w:tcBorders>
              <w:top w:val="single" w:sz="4" w:space="0" w:color="auto"/>
              <w:left w:val="nil"/>
              <w:bottom w:val="single" w:sz="4" w:space="0" w:color="auto"/>
              <w:right w:val="single" w:sz="4" w:space="0" w:color="auto"/>
            </w:tcBorders>
            <w:shd w:val="clear" w:color="auto" w:fill="auto"/>
            <w:hideMark/>
          </w:tcPr>
          <w:p w14:paraId="1C4E4E84" w14:textId="77777777" w:rsidR="000B01CB" w:rsidRPr="000B01CB" w:rsidRDefault="000B01CB" w:rsidP="000B01CB">
            <w:pPr>
              <w:spacing w:after="0" w:line="240" w:lineRule="auto"/>
              <w:rPr>
                <w:rFonts w:ascii="Calibri" w:eastAsia="Times New Roman" w:hAnsi="Calibri" w:cs="Times New Roman"/>
                <w:color w:val="000000"/>
                <w:sz w:val="18"/>
                <w:szCs w:val="18"/>
                <w:lang w:val="es-SV" w:eastAsia="es-SV"/>
              </w:rPr>
            </w:pPr>
            <w:r w:rsidRPr="000B01CB">
              <w:rPr>
                <w:rFonts w:ascii="Calibri" w:eastAsia="Times New Roman" w:hAnsi="Calibri" w:cs="Times New Roman"/>
                <w:color w:val="000000"/>
                <w:sz w:val="18"/>
                <w:szCs w:val="18"/>
                <w:lang w:val="es-SV" w:eastAsia="es-SV"/>
              </w:rPr>
              <w:t>Sistematizar las iniciativas exitosas.</w:t>
            </w:r>
          </w:p>
        </w:tc>
        <w:tc>
          <w:tcPr>
            <w:tcW w:w="1161" w:type="pct"/>
            <w:tcBorders>
              <w:top w:val="single" w:sz="4" w:space="0" w:color="auto"/>
              <w:left w:val="nil"/>
              <w:bottom w:val="single" w:sz="4" w:space="0" w:color="auto"/>
              <w:right w:val="single" w:sz="4" w:space="0" w:color="auto"/>
            </w:tcBorders>
            <w:shd w:val="clear" w:color="auto" w:fill="auto"/>
            <w:hideMark/>
          </w:tcPr>
          <w:p w14:paraId="0326DE65" w14:textId="77777777" w:rsidR="000B01CB" w:rsidRDefault="000B01CB" w:rsidP="000B01CB">
            <w:pPr>
              <w:spacing w:after="0" w:line="240" w:lineRule="auto"/>
              <w:rPr>
                <w:rFonts w:ascii="Calibri" w:eastAsia="Times New Roman" w:hAnsi="Calibri" w:cs="Times New Roman"/>
                <w:color w:val="000000"/>
                <w:sz w:val="18"/>
                <w:szCs w:val="18"/>
                <w:lang w:val="es-SV" w:eastAsia="es-SV"/>
              </w:rPr>
            </w:pPr>
            <w:r w:rsidRPr="000B01CB">
              <w:rPr>
                <w:rFonts w:ascii="Calibri" w:eastAsia="Times New Roman" w:hAnsi="Calibri" w:cs="Times New Roman"/>
                <w:color w:val="000000"/>
                <w:sz w:val="18"/>
                <w:szCs w:val="18"/>
                <w:lang w:val="es-SV" w:eastAsia="es-SV"/>
              </w:rPr>
              <w:t>Desarrollar al menos dos cooperaciones sur-sur o cooperación triangular de iniciativas exitosas de sostenibilidad en el marco de la respuesta nacional al VIH.</w:t>
            </w:r>
          </w:p>
          <w:p w14:paraId="052E8443" w14:textId="77777777" w:rsidR="005E5473" w:rsidRPr="000B01CB" w:rsidRDefault="005E5473" w:rsidP="000B01CB">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Considerar las experiencias exitosas de Entre Amigos y CONSTRASIDA.</w:t>
            </w:r>
          </w:p>
        </w:tc>
        <w:tc>
          <w:tcPr>
            <w:tcW w:w="732" w:type="pct"/>
            <w:tcBorders>
              <w:top w:val="single" w:sz="4" w:space="0" w:color="auto"/>
              <w:left w:val="nil"/>
              <w:bottom w:val="single" w:sz="4" w:space="0" w:color="auto"/>
              <w:right w:val="single" w:sz="4" w:space="0" w:color="auto"/>
            </w:tcBorders>
            <w:shd w:val="clear" w:color="auto" w:fill="auto"/>
            <w:vAlign w:val="bottom"/>
            <w:hideMark/>
          </w:tcPr>
          <w:p w14:paraId="6494C154" w14:textId="77777777" w:rsidR="000B01CB" w:rsidRPr="000B01CB" w:rsidRDefault="000B01CB" w:rsidP="000B01CB">
            <w:pPr>
              <w:spacing w:after="0" w:line="240" w:lineRule="auto"/>
              <w:rPr>
                <w:rFonts w:ascii="Calibri" w:eastAsia="Times New Roman" w:hAnsi="Calibri" w:cs="Times New Roman"/>
                <w:color w:val="000000"/>
                <w:sz w:val="18"/>
                <w:szCs w:val="18"/>
                <w:lang w:val="es-SV" w:eastAsia="es-SV"/>
              </w:rPr>
            </w:pPr>
            <w:r w:rsidRPr="000B01CB">
              <w:rPr>
                <w:rFonts w:ascii="Calibri" w:eastAsia="Times New Roman" w:hAnsi="Calibri" w:cs="Times New Roman"/>
                <w:color w:val="000000"/>
                <w:sz w:val="18"/>
                <w:szCs w:val="18"/>
                <w:lang w:val="es-SV" w:eastAsia="es-SV"/>
              </w:rPr>
              <w:t>SETEPLAN, MINSAL, ISSS, FOSALUD, SM, BM, Organizaciones de la Sociedad Civil, Empresas Aseguradas Nacionales como Internacionales.</w:t>
            </w:r>
          </w:p>
        </w:tc>
      </w:tr>
    </w:tbl>
    <w:p w14:paraId="042C32A1" w14:textId="77777777" w:rsidR="00124CBC" w:rsidRDefault="00124CBC"/>
    <w:tbl>
      <w:tblPr>
        <w:tblStyle w:val="Tablaconcuadrcula"/>
        <w:tblW w:w="5000" w:type="pct"/>
        <w:tblLook w:val="04A0" w:firstRow="1" w:lastRow="0" w:firstColumn="1" w:lastColumn="0" w:noHBand="0" w:noVBand="1"/>
      </w:tblPr>
      <w:tblGrid>
        <w:gridCol w:w="10088"/>
        <w:gridCol w:w="581"/>
        <w:gridCol w:w="581"/>
        <w:gridCol w:w="581"/>
        <w:gridCol w:w="582"/>
        <w:gridCol w:w="581"/>
      </w:tblGrid>
      <w:tr w:rsidR="001D4FCA" w:rsidRPr="004240EE" w14:paraId="1B47F029" w14:textId="77777777" w:rsidTr="001D4FCA">
        <w:trPr>
          <w:trHeight w:val="412"/>
        </w:trPr>
        <w:tc>
          <w:tcPr>
            <w:tcW w:w="3882" w:type="pct"/>
          </w:tcPr>
          <w:p w14:paraId="2E9EF1E7" w14:textId="77777777" w:rsidR="001D4FCA" w:rsidRPr="004240EE" w:rsidRDefault="001D4FCA"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 xml:space="preserve">Acciones / </w:t>
            </w:r>
            <w:r w:rsidRPr="00EE1739">
              <w:rPr>
                <w:rFonts w:ascii="Calibri" w:eastAsia="Times New Roman" w:hAnsi="Calibri" w:cs="Times New Roman"/>
                <w:b/>
                <w:color w:val="000000"/>
                <w:sz w:val="18"/>
                <w:szCs w:val="18"/>
                <w:lang w:val="es-SV" w:eastAsia="es-SV"/>
              </w:rPr>
              <w:t>Periodo de ejecución</w:t>
            </w:r>
          </w:p>
        </w:tc>
        <w:tc>
          <w:tcPr>
            <w:tcW w:w="224" w:type="pct"/>
          </w:tcPr>
          <w:p w14:paraId="22B2F33A" w14:textId="77777777" w:rsidR="001D4FCA" w:rsidRPr="00F925A9" w:rsidRDefault="001D4FCA"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2019</w:t>
            </w:r>
          </w:p>
          <w:p w14:paraId="4629B669" w14:textId="77777777" w:rsidR="001D4FCA" w:rsidRPr="00F925A9" w:rsidRDefault="001D4FCA" w:rsidP="0025750E">
            <w:pPr>
              <w:jc w:val="center"/>
              <w:rPr>
                <w:rFonts w:ascii="Calibri" w:eastAsia="Times New Roman" w:hAnsi="Calibri" w:cs="Times New Roman"/>
                <w:b/>
                <w:color w:val="000000"/>
                <w:sz w:val="18"/>
                <w:szCs w:val="18"/>
                <w:lang w:val="es-SV" w:eastAsia="es-SV"/>
              </w:rPr>
            </w:pPr>
          </w:p>
        </w:tc>
        <w:tc>
          <w:tcPr>
            <w:tcW w:w="224" w:type="pct"/>
          </w:tcPr>
          <w:p w14:paraId="4947B8C7" w14:textId="77777777" w:rsidR="001D4FCA" w:rsidRPr="00F925A9" w:rsidRDefault="001D4FCA" w:rsidP="0025750E">
            <w:pP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2020</w:t>
            </w:r>
          </w:p>
        </w:tc>
        <w:tc>
          <w:tcPr>
            <w:tcW w:w="224" w:type="pct"/>
          </w:tcPr>
          <w:p w14:paraId="5F8893F1" w14:textId="77777777" w:rsidR="001D4FCA" w:rsidRPr="00F925A9" w:rsidRDefault="001D4FCA"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2021</w:t>
            </w:r>
          </w:p>
          <w:p w14:paraId="15A062BD" w14:textId="77777777" w:rsidR="001D4FCA" w:rsidRPr="00F925A9" w:rsidRDefault="001D4FCA" w:rsidP="0025750E">
            <w:pPr>
              <w:jc w:val="center"/>
              <w:rPr>
                <w:rFonts w:ascii="Calibri" w:eastAsia="Times New Roman" w:hAnsi="Calibri" w:cs="Times New Roman"/>
                <w:b/>
                <w:color w:val="000000"/>
                <w:sz w:val="18"/>
                <w:szCs w:val="18"/>
                <w:lang w:val="es-SV" w:eastAsia="es-SV"/>
              </w:rPr>
            </w:pPr>
          </w:p>
        </w:tc>
        <w:tc>
          <w:tcPr>
            <w:tcW w:w="224" w:type="pct"/>
          </w:tcPr>
          <w:p w14:paraId="44F8AC80" w14:textId="77777777" w:rsidR="001D4FCA" w:rsidRPr="00F925A9" w:rsidRDefault="001D4FCA"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2022</w:t>
            </w:r>
          </w:p>
          <w:p w14:paraId="12FE7B0D" w14:textId="77777777" w:rsidR="001D4FCA" w:rsidRPr="00F925A9" w:rsidRDefault="001D4FCA" w:rsidP="0025750E">
            <w:pPr>
              <w:jc w:val="center"/>
              <w:rPr>
                <w:rFonts w:ascii="Calibri" w:eastAsia="Times New Roman" w:hAnsi="Calibri" w:cs="Times New Roman"/>
                <w:b/>
                <w:color w:val="000000"/>
                <w:sz w:val="18"/>
                <w:szCs w:val="18"/>
                <w:lang w:val="es-SV" w:eastAsia="es-SV"/>
              </w:rPr>
            </w:pPr>
          </w:p>
        </w:tc>
        <w:tc>
          <w:tcPr>
            <w:tcW w:w="224" w:type="pct"/>
          </w:tcPr>
          <w:p w14:paraId="47C35F50" w14:textId="77777777" w:rsidR="001D4FCA" w:rsidRPr="00F925A9" w:rsidRDefault="001D4FCA"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2023</w:t>
            </w:r>
          </w:p>
          <w:p w14:paraId="2D2C65BE" w14:textId="77777777" w:rsidR="001D4FCA" w:rsidRPr="00F925A9" w:rsidRDefault="001D4FCA" w:rsidP="0025750E">
            <w:pPr>
              <w:jc w:val="center"/>
              <w:rPr>
                <w:rFonts w:ascii="Calibri" w:eastAsia="Times New Roman" w:hAnsi="Calibri" w:cs="Times New Roman"/>
                <w:b/>
                <w:color w:val="000000"/>
                <w:sz w:val="18"/>
                <w:szCs w:val="18"/>
                <w:lang w:val="es-SV" w:eastAsia="es-SV"/>
              </w:rPr>
            </w:pPr>
          </w:p>
        </w:tc>
      </w:tr>
      <w:tr w:rsidR="001D4FCA" w:rsidRPr="0077324A" w14:paraId="066F0AC3" w14:textId="77777777" w:rsidTr="001D4FCA">
        <w:trPr>
          <w:trHeight w:val="311"/>
        </w:trPr>
        <w:tc>
          <w:tcPr>
            <w:tcW w:w="3882" w:type="pct"/>
            <w:hideMark/>
          </w:tcPr>
          <w:p w14:paraId="31D508F9" w14:textId="77777777" w:rsidR="001D4FCA" w:rsidRDefault="001D4FCA" w:rsidP="0025750E">
            <w:pPr>
              <w:rPr>
                <w:rFonts w:ascii="Calibri" w:hAnsi="Calibri"/>
                <w:color w:val="000000"/>
                <w:sz w:val="18"/>
                <w:szCs w:val="18"/>
              </w:rPr>
            </w:pPr>
            <w:r>
              <w:rPr>
                <w:rFonts w:ascii="Calibri" w:hAnsi="Calibri"/>
                <w:color w:val="000000"/>
                <w:sz w:val="18"/>
                <w:szCs w:val="18"/>
              </w:rPr>
              <w:t>Mapear y sistematizar las iniciativas de sostenibilidad exitosas.</w:t>
            </w:r>
          </w:p>
        </w:tc>
        <w:tc>
          <w:tcPr>
            <w:tcW w:w="224" w:type="pct"/>
            <w:vAlign w:val="bottom"/>
            <w:hideMark/>
          </w:tcPr>
          <w:p w14:paraId="54C5F526" w14:textId="77777777" w:rsidR="001D4FCA" w:rsidRDefault="001D4FCA" w:rsidP="0025750E">
            <w:pPr>
              <w:jc w:val="center"/>
              <w:rPr>
                <w:rFonts w:ascii="Calibri" w:hAnsi="Calibri"/>
                <w:color w:val="000000"/>
              </w:rPr>
            </w:pPr>
            <w:r>
              <w:rPr>
                <w:rFonts w:ascii="Calibri" w:hAnsi="Calibri"/>
                <w:color w:val="000000"/>
              </w:rPr>
              <w:t> x</w:t>
            </w:r>
          </w:p>
        </w:tc>
        <w:tc>
          <w:tcPr>
            <w:tcW w:w="224" w:type="pct"/>
            <w:vAlign w:val="center"/>
          </w:tcPr>
          <w:p w14:paraId="495A9197" w14:textId="77777777" w:rsidR="001D4FCA" w:rsidRDefault="001D4FCA" w:rsidP="0025750E">
            <w:pPr>
              <w:jc w:val="center"/>
              <w:rPr>
                <w:rFonts w:ascii="Calibri" w:hAnsi="Calibri"/>
                <w:color w:val="000000"/>
              </w:rPr>
            </w:pPr>
          </w:p>
        </w:tc>
        <w:tc>
          <w:tcPr>
            <w:tcW w:w="224" w:type="pct"/>
            <w:vAlign w:val="center"/>
          </w:tcPr>
          <w:p w14:paraId="32901F14" w14:textId="77777777" w:rsidR="001D4FCA" w:rsidRDefault="001D4FCA" w:rsidP="0025750E">
            <w:pPr>
              <w:jc w:val="center"/>
              <w:rPr>
                <w:rFonts w:ascii="Calibri" w:hAnsi="Calibri"/>
                <w:color w:val="000000"/>
              </w:rPr>
            </w:pPr>
            <w:r>
              <w:rPr>
                <w:rFonts w:ascii="Calibri" w:hAnsi="Calibri"/>
                <w:color w:val="000000"/>
              </w:rPr>
              <w:t> </w:t>
            </w:r>
          </w:p>
        </w:tc>
        <w:tc>
          <w:tcPr>
            <w:tcW w:w="224" w:type="pct"/>
            <w:vAlign w:val="center"/>
          </w:tcPr>
          <w:p w14:paraId="5E051835" w14:textId="77777777" w:rsidR="001D4FCA" w:rsidRDefault="001D4FCA" w:rsidP="0025750E">
            <w:pPr>
              <w:jc w:val="center"/>
              <w:rPr>
                <w:rFonts w:ascii="Calibri" w:hAnsi="Calibri"/>
                <w:color w:val="000000"/>
              </w:rPr>
            </w:pPr>
            <w:r>
              <w:rPr>
                <w:rFonts w:ascii="Calibri" w:hAnsi="Calibri"/>
                <w:color w:val="000000"/>
              </w:rPr>
              <w:t>x</w:t>
            </w:r>
          </w:p>
        </w:tc>
        <w:tc>
          <w:tcPr>
            <w:tcW w:w="224" w:type="pct"/>
            <w:vAlign w:val="center"/>
          </w:tcPr>
          <w:p w14:paraId="047E9036" w14:textId="77777777" w:rsidR="001D4FCA" w:rsidRDefault="001D4FCA" w:rsidP="0025750E">
            <w:pPr>
              <w:jc w:val="center"/>
              <w:rPr>
                <w:rFonts w:ascii="Calibri" w:hAnsi="Calibri"/>
                <w:color w:val="000000"/>
              </w:rPr>
            </w:pPr>
            <w:r>
              <w:rPr>
                <w:rFonts w:ascii="Calibri" w:hAnsi="Calibri"/>
                <w:color w:val="000000"/>
              </w:rPr>
              <w:t> </w:t>
            </w:r>
          </w:p>
        </w:tc>
      </w:tr>
      <w:tr w:rsidR="001D4FCA" w:rsidRPr="0077324A" w14:paraId="29B16482" w14:textId="77777777" w:rsidTr="001D4FCA">
        <w:trPr>
          <w:trHeight w:val="557"/>
        </w:trPr>
        <w:tc>
          <w:tcPr>
            <w:tcW w:w="3882" w:type="pct"/>
            <w:hideMark/>
          </w:tcPr>
          <w:p w14:paraId="6CFC9595" w14:textId="77777777" w:rsidR="001D4FCA" w:rsidRDefault="001D4FCA" w:rsidP="005E5473">
            <w:pPr>
              <w:rPr>
                <w:rFonts w:ascii="Calibri" w:hAnsi="Calibri"/>
                <w:color w:val="000000"/>
                <w:sz w:val="18"/>
                <w:szCs w:val="18"/>
              </w:rPr>
            </w:pPr>
            <w:r>
              <w:rPr>
                <w:rFonts w:ascii="Calibri" w:hAnsi="Calibri"/>
                <w:color w:val="000000"/>
                <w:sz w:val="18"/>
                <w:szCs w:val="18"/>
              </w:rPr>
              <w:t>Incorporar a diversos actores del desarrollo (socios cooperantes, organizaciones de sociedad civil, sector privados entre otros) al proceso posicionar al país como oferente de cooperación sur-sur y cooperación triangular en iniciativas de sostenibilidad.</w:t>
            </w:r>
          </w:p>
        </w:tc>
        <w:tc>
          <w:tcPr>
            <w:tcW w:w="224" w:type="pct"/>
            <w:vAlign w:val="center"/>
            <w:hideMark/>
          </w:tcPr>
          <w:p w14:paraId="31035E8E" w14:textId="77777777" w:rsidR="001D4FCA" w:rsidRDefault="001D4FCA" w:rsidP="005E5473">
            <w:pPr>
              <w:jc w:val="center"/>
              <w:rPr>
                <w:rFonts w:ascii="Calibri" w:hAnsi="Calibri"/>
                <w:color w:val="000000"/>
              </w:rPr>
            </w:pPr>
            <w:r>
              <w:rPr>
                <w:rFonts w:ascii="Calibri" w:hAnsi="Calibri"/>
                <w:color w:val="000000"/>
              </w:rPr>
              <w:t>x</w:t>
            </w:r>
          </w:p>
        </w:tc>
        <w:tc>
          <w:tcPr>
            <w:tcW w:w="224" w:type="pct"/>
            <w:vAlign w:val="center"/>
          </w:tcPr>
          <w:p w14:paraId="694F36F0" w14:textId="77777777" w:rsidR="001D4FCA" w:rsidRDefault="001D4FCA" w:rsidP="005E5473">
            <w:pPr>
              <w:jc w:val="center"/>
              <w:rPr>
                <w:rFonts w:ascii="Calibri" w:hAnsi="Calibri"/>
                <w:color w:val="000000"/>
              </w:rPr>
            </w:pPr>
            <w:r>
              <w:rPr>
                <w:rFonts w:ascii="Calibri" w:hAnsi="Calibri"/>
                <w:color w:val="000000"/>
              </w:rPr>
              <w:t>x</w:t>
            </w:r>
          </w:p>
        </w:tc>
        <w:tc>
          <w:tcPr>
            <w:tcW w:w="224" w:type="pct"/>
            <w:vAlign w:val="center"/>
          </w:tcPr>
          <w:p w14:paraId="1EFB8EB9" w14:textId="77777777" w:rsidR="001D4FCA" w:rsidRDefault="001D4FCA" w:rsidP="005E5473">
            <w:pPr>
              <w:jc w:val="center"/>
              <w:rPr>
                <w:rFonts w:ascii="Calibri" w:hAnsi="Calibri"/>
                <w:color w:val="000000"/>
              </w:rPr>
            </w:pPr>
            <w:r>
              <w:rPr>
                <w:rFonts w:ascii="Calibri" w:hAnsi="Calibri"/>
                <w:color w:val="000000"/>
              </w:rPr>
              <w:t>x</w:t>
            </w:r>
          </w:p>
        </w:tc>
        <w:tc>
          <w:tcPr>
            <w:tcW w:w="224" w:type="pct"/>
            <w:vAlign w:val="center"/>
          </w:tcPr>
          <w:p w14:paraId="339F1A83" w14:textId="77777777" w:rsidR="001D4FCA" w:rsidRDefault="001D4FCA" w:rsidP="005E5473">
            <w:pPr>
              <w:jc w:val="center"/>
              <w:rPr>
                <w:rFonts w:ascii="Calibri" w:hAnsi="Calibri"/>
                <w:color w:val="000000"/>
              </w:rPr>
            </w:pPr>
            <w:r>
              <w:rPr>
                <w:rFonts w:ascii="Calibri" w:hAnsi="Calibri"/>
                <w:color w:val="000000"/>
              </w:rPr>
              <w:t>x</w:t>
            </w:r>
          </w:p>
        </w:tc>
        <w:tc>
          <w:tcPr>
            <w:tcW w:w="224" w:type="pct"/>
            <w:vAlign w:val="center"/>
          </w:tcPr>
          <w:p w14:paraId="79C8DC1E" w14:textId="77777777" w:rsidR="001D4FCA" w:rsidRDefault="001D4FCA" w:rsidP="005E5473">
            <w:pPr>
              <w:jc w:val="center"/>
              <w:rPr>
                <w:rFonts w:ascii="Calibri" w:hAnsi="Calibri"/>
                <w:color w:val="000000"/>
              </w:rPr>
            </w:pPr>
            <w:r>
              <w:rPr>
                <w:rFonts w:ascii="Calibri" w:hAnsi="Calibri"/>
                <w:color w:val="000000"/>
              </w:rPr>
              <w:t>x</w:t>
            </w:r>
          </w:p>
        </w:tc>
      </w:tr>
      <w:tr w:rsidR="001D4FCA" w:rsidRPr="0077324A" w14:paraId="6A3C4B75" w14:textId="77777777" w:rsidTr="001D4FCA">
        <w:trPr>
          <w:trHeight w:val="409"/>
        </w:trPr>
        <w:tc>
          <w:tcPr>
            <w:tcW w:w="3882" w:type="pct"/>
            <w:hideMark/>
          </w:tcPr>
          <w:p w14:paraId="1569A193" w14:textId="77777777" w:rsidR="001D4FCA" w:rsidRDefault="001D4FCA" w:rsidP="005E5473">
            <w:pPr>
              <w:rPr>
                <w:rFonts w:ascii="Calibri" w:hAnsi="Calibri"/>
                <w:color w:val="000000"/>
                <w:sz w:val="18"/>
                <w:szCs w:val="18"/>
              </w:rPr>
            </w:pPr>
            <w:r>
              <w:rPr>
                <w:rFonts w:ascii="Calibri" w:hAnsi="Calibri"/>
                <w:color w:val="000000"/>
                <w:sz w:val="18"/>
                <w:szCs w:val="18"/>
              </w:rPr>
              <w:t>Presentar en foros nacionales, regionales como internacionales el catálogo de cooperación sobre iniciativas de sostenibilidad.</w:t>
            </w:r>
          </w:p>
        </w:tc>
        <w:tc>
          <w:tcPr>
            <w:tcW w:w="224" w:type="pct"/>
            <w:vAlign w:val="center"/>
            <w:hideMark/>
          </w:tcPr>
          <w:p w14:paraId="10684FC9" w14:textId="77777777" w:rsidR="001D4FCA" w:rsidRDefault="001D4FCA" w:rsidP="005E5473">
            <w:pPr>
              <w:jc w:val="center"/>
              <w:rPr>
                <w:rFonts w:ascii="Calibri" w:hAnsi="Calibri"/>
                <w:color w:val="000000"/>
              </w:rPr>
            </w:pPr>
            <w:r>
              <w:rPr>
                <w:rFonts w:ascii="Calibri" w:hAnsi="Calibri"/>
                <w:color w:val="000000"/>
              </w:rPr>
              <w:t>x</w:t>
            </w:r>
          </w:p>
        </w:tc>
        <w:tc>
          <w:tcPr>
            <w:tcW w:w="224" w:type="pct"/>
            <w:vAlign w:val="center"/>
          </w:tcPr>
          <w:p w14:paraId="0CC97B29" w14:textId="77777777" w:rsidR="001D4FCA" w:rsidRDefault="001D4FCA" w:rsidP="005E5473">
            <w:pPr>
              <w:jc w:val="center"/>
              <w:rPr>
                <w:rFonts w:ascii="Calibri" w:hAnsi="Calibri"/>
                <w:color w:val="000000"/>
              </w:rPr>
            </w:pPr>
            <w:r>
              <w:rPr>
                <w:rFonts w:ascii="Calibri" w:hAnsi="Calibri"/>
                <w:color w:val="000000"/>
              </w:rPr>
              <w:t>x</w:t>
            </w:r>
          </w:p>
        </w:tc>
        <w:tc>
          <w:tcPr>
            <w:tcW w:w="224" w:type="pct"/>
            <w:vAlign w:val="center"/>
          </w:tcPr>
          <w:p w14:paraId="28867CA8" w14:textId="77777777" w:rsidR="001D4FCA" w:rsidRDefault="001D4FCA" w:rsidP="005E5473">
            <w:pPr>
              <w:jc w:val="center"/>
              <w:rPr>
                <w:rFonts w:ascii="Calibri" w:hAnsi="Calibri"/>
                <w:color w:val="000000"/>
              </w:rPr>
            </w:pPr>
            <w:r>
              <w:rPr>
                <w:rFonts w:ascii="Calibri" w:hAnsi="Calibri"/>
                <w:color w:val="000000"/>
              </w:rPr>
              <w:t>x</w:t>
            </w:r>
          </w:p>
        </w:tc>
        <w:tc>
          <w:tcPr>
            <w:tcW w:w="224" w:type="pct"/>
            <w:vAlign w:val="center"/>
          </w:tcPr>
          <w:p w14:paraId="4A690BAD" w14:textId="77777777" w:rsidR="001D4FCA" w:rsidRDefault="001D4FCA" w:rsidP="005E5473">
            <w:pPr>
              <w:jc w:val="center"/>
              <w:rPr>
                <w:rFonts w:ascii="Calibri" w:hAnsi="Calibri"/>
                <w:color w:val="000000"/>
              </w:rPr>
            </w:pPr>
            <w:r>
              <w:rPr>
                <w:rFonts w:ascii="Calibri" w:hAnsi="Calibri"/>
                <w:color w:val="000000"/>
              </w:rPr>
              <w:t>x</w:t>
            </w:r>
          </w:p>
        </w:tc>
        <w:tc>
          <w:tcPr>
            <w:tcW w:w="224" w:type="pct"/>
            <w:vAlign w:val="center"/>
          </w:tcPr>
          <w:p w14:paraId="3AF1D319" w14:textId="77777777" w:rsidR="001D4FCA" w:rsidRDefault="001D4FCA" w:rsidP="005E5473">
            <w:pPr>
              <w:jc w:val="center"/>
              <w:rPr>
                <w:rFonts w:ascii="Calibri" w:hAnsi="Calibri"/>
                <w:color w:val="000000"/>
              </w:rPr>
            </w:pPr>
            <w:r>
              <w:rPr>
                <w:rFonts w:ascii="Calibri" w:hAnsi="Calibri"/>
                <w:color w:val="000000"/>
              </w:rPr>
              <w:t>x</w:t>
            </w:r>
          </w:p>
        </w:tc>
      </w:tr>
      <w:tr w:rsidR="001D4FCA" w:rsidRPr="0077324A" w14:paraId="120945ED" w14:textId="77777777" w:rsidTr="001D4FCA">
        <w:trPr>
          <w:trHeight w:val="415"/>
        </w:trPr>
        <w:tc>
          <w:tcPr>
            <w:tcW w:w="3882" w:type="pct"/>
          </w:tcPr>
          <w:p w14:paraId="2627BE7E" w14:textId="77777777" w:rsidR="001D4FCA" w:rsidRDefault="001D4FCA" w:rsidP="005E5473">
            <w:pPr>
              <w:rPr>
                <w:rFonts w:ascii="Calibri" w:hAnsi="Calibri"/>
                <w:color w:val="000000"/>
                <w:sz w:val="18"/>
                <w:szCs w:val="18"/>
              </w:rPr>
            </w:pPr>
            <w:r w:rsidRPr="00BC4BA2">
              <w:rPr>
                <w:rFonts w:ascii="Calibri" w:hAnsi="Calibri"/>
                <w:color w:val="000000"/>
                <w:sz w:val="18"/>
                <w:szCs w:val="18"/>
              </w:rPr>
              <w:t>Un análisis del financiamiento, la transición y las oportunidades para movilizar fuentes nacionales (sin incluir las donaciones de FM) para las organizaciones de la sociedad civil que trabajan en el VIH/SIDA, incluidas las organizaciones de población clave</w:t>
            </w:r>
          </w:p>
        </w:tc>
        <w:tc>
          <w:tcPr>
            <w:tcW w:w="224" w:type="pct"/>
            <w:vAlign w:val="center"/>
          </w:tcPr>
          <w:p w14:paraId="5DC3AC55" w14:textId="77777777" w:rsidR="001D4FCA" w:rsidRDefault="001D4FCA" w:rsidP="005E5473">
            <w:pPr>
              <w:jc w:val="center"/>
              <w:rPr>
                <w:rFonts w:ascii="Calibri" w:hAnsi="Calibri"/>
                <w:color w:val="000000"/>
              </w:rPr>
            </w:pPr>
            <w:r>
              <w:rPr>
                <w:rFonts w:ascii="Calibri" w:hAnsi="Calibri"/>
                <w:color w:val="000000"/>
              </w:rPr>
              <w:t>x</w:t>
            </w:r>
          </w:p>
        </w:tc>
        <w:tc>
          <w:tcPr>
            <w:tcW w:w="224" w:type="pct"/>
            <w:vAlign w:val="center"/>
          </w:tcPr>
          <w:p w14:paraId="36B71A70" w14:textId="77777777" w:rsidR="001D4FCA" w:rsidRDefault="001D4FCA" w:rsidP="005E5473">
            <w:pPr>
              <w:jc w:val="center"/>
              <w:rPr>
                <w:rFonts w:ascii="Calibri" w:hAnsi="Calibri"/>
                <w:color w:val="000000"/>
              </w:rPr>
            </w:pPr>
            <w:r>
              <w:rPr>
                <w:rFonts w:ascii="Calibri" w:hAnsi="Calibri"/>
                <w:color w:val="000000"/>
              </w:rPr>
              <w:t>x</w:t>
            </w:r>
          </w:p>
        </w:tc>
        <w:tc>
          <w:tcPr>
            <w:tcW w:w="224" w:type="pct"/>
            <w:vAlign w:val="center"/>
          </w:tcPr>
          <w:p w14:paraId="297E0132" w14:textId="77777777" w:rsidR="001D4FCA" w:rsidRDefault="001D4FCA" w:rsidP="005E5473">
            <w:pPr>
              <w:jc w:val="center"/>
              <w:rPr>
                <w:rFonts w:ascii="Calibri" w:hAnsi="Calibri"/>
                <w:color w:val="000000"/>
              </w:rPr>
            </w:pPr>
            <w:r>
              <w:rPr>
                <w:rFonts w:ascii="Calibri" w:hAnsi="Calibri"/>
                <w:color w:val="000000"/>
              </w:rPr>
              <w:t>x</w:t>
            </w:r>
          </w:p>
        </w:tc>
        <w:tc>
          <w:tcPr>
            <w:tcW w:w="224" w:type="pct"/>
            <w:vAlign w:val="center"/>
          </w:tcPr>
          <w:p w14:paraId="6200B214" w14:textId="77777777" w:rsidR="001D4FCA" w:rsidRDefault="001D4FCA" w:rsidP="005E5473">
            <w:pPr>
              <w:jc w:val="center"/>
              <w:rPr>
                <w:rFonts w:ascii="Calibri" w:hAnsi="Calibri"/>
                <w:color w:val="000000"/>
              </w:rPr>
            </w:pPr>
            <w:r>
              <w:rPr>
                <w:rFonts w:ascii="Calibri" w:hAnsi="Calibri"/>
                <w:color w:val="000000"/>
              </w:rPr>
              <w:t>x</w:t>
            </w:r>
          </w:p>
        </w:tc>
        <w:tc>
          <w:tcPr>
            <w:tcW w:w="224" w:type="pct"/>
            <w:vAlign w:val="center"/>
          </w:tcPr>
          <w:p w14:paraId="4FBC9E14" w14:textId="77777777" w:rsidR="001D4FCA" w:rsidRDefault="001D4FCA" w:rsidP="005E5473">
            <w:pPr>
              <w:jc w:val="center"/>
              <w:rPr>
                <w:rFonts w:ascii="Calibri" w:hAnsi="Calibri"/>
                <w:color w:val="000000"/>
              </w:rPr>
            </w:pPr>
            <w:r>
              <w:rPr>
                <w:rFonts w:ascii="Calibri" w:hAnsi="Calibri"/>
                <w:color w:val="000000"/>
              </w:rPr>
              <w:t>x</w:t>
            </w:r>
          </w:p>
        </w:tc>
      </w:tr>
      <w:tr w:rsidR="001D4FCA" w:rsidRPr="0077324A" w14:paraId="3E3E27A0" w14:textId="77777777" w:rsidTr="001D4FCA">
        <w:trPr>
          <w:trHeight w:val="818"/>
        </w:trPr>
        <w:tc>
          <w:tcPr>
            <w:tcW w:w="3882" w:type="pct"/>
          </w:tcPr>
          <w:p w14:paraId="08CC54B7" w14:textId="77777777" w:rsidR="001D4FCA" w:rsidRDefault="001D4FCA" w:rsidP="005E5473">
            <w:pPr>
              <w:rPr>
                <w:rFonts w:ascii="Calibri" w:hAnsi="Calibri"/>
                <w:color w:val="000000"/>
                <w:sz w:val="18"/>
                <w:szCs w:val="18"/>
              </w:rPr>
            </w:pPr>
            <w:r w:rsidRPr="00BC4BA2">
              <w:rPr>
                <w:rFonts w:ascii="Calibri" w:hAnsi="Calibri"/>
                <w:color w:val="000000"/>
                <w:sz w:val="18"/>
                <w:szCs w:val="18"/>
              </w:rPr>
              <w:t xml:space="preserve">Analizar las oportunidades o la propuesta de reformas al marco político, legal y regulatorio para permitir que las organizaciones de la sociedad civil se financien con un presupuesto gubernamental para servicios de VIH (oportunidades para la contratación social) mediante una competencia abierta y oportuna que </w:t>
            </w:r>
            <w:r>
              <w:rPr>
                <w:rFonts w:ascii="Calibri" w:hAnsi="Calibri"/>
                <w:color w:val="000000"/>
                <w:sz w:val="18"/>
                <w:szCs w:val="18"/>
              </w:rPr>
              <w:t>incluya la rendición de cuentas.</w:t>
            </w:r>
          </w:p>
        </w:tc>
        <w:tc>
          <w:tcPr>
            <w:tcW w:w="224" w:type="pct"/>
            <w:vAlign w:val="center"/>
          </w:tcPr>
          <w:p w14:paraId="21DAAC20" w14:textId="77777777" w:rsidR="001D4FCA" w:rsidRDefault="001D4FCA" w:rsidP="005E5473">
            <w:pPr>
              <w:jc w:val="center"/>
              <w:rPr>
                <w:rFonts w:ascii="Calibri" w:hAnsi="Calibri"/>
                <w:color w:val="000000"/>
              </w:rPr>
            </w:pPr>
            <w:r>
              <w:rPr>
                <w:rFonts w:ascii="Calibri" w:hAnsi="Calibri"/>
                <w:color w:val="000000"/>
              </w:rPr>
              <w:t>x</w:t>
            </w:r>
          </w:p>
        </w:tc>
        <w:tc>
          <w:tcPr>
            <w:tcW w:w="224" w:type="pct"/>
            <w:vAlign w:val="center"/>
          </w:tcPr>
          <w:p w14:paraId="5D0A1194" w14:textId="77777777" w:rsidR="001D4FCA" w:rsidRDefault="001D4FCA" w:rsidP="005E5473">
            <w:pPr>
              <w:jc w:val="center"/>
              <w:rPr>
                <w:rFonts w:ascii="Calibri" w:hAnsi="Calibri"/>
                <w:color w:val="000000"/>
              </w:rPr>
            </w:pPr>
            <w:r>
              <w:rPr>
                <w:rFonts w:ascii="Calibri" w:hAnsi="Calibri"/>
                <w:color w:val="000000"/>
              </w:rPr>
              <w:t>x</w:t>
            </w:r>
          </w:p>
        </w:tc>
        <w:tc>
          <w:tcPr>
            <w:tcW w:w="224" w:type="pct"/>
            <w:vAlign w:val="center"/>
          </w:tcPr>
          <w:p w14:paraId="66513F51" w14:textId="77777777" w:rsidR="001D4FCA" w:rsidRDefault="001D4FCA" w:rsidP="005E5473">
            <w:pPr>
              <w:jc w:val="center"/>
              <w:rPr>
                <w:rFonts w:ascii="Calibri" w:hAnsi="Calibri"/>
                <w:color w:val="000000"/>
              </w:rPr>
            </w:pPr>
            <w:r>
              <w:rPr>
                <w:rFonts w:ascii="Calibri" w:hAnsi="Calibri"/>
                <w:color w:val="000000"/>
              </w:rPr>
              <w:t>x</w:t>
            </w:r>
          </w:p>
        </w:tc>
        <w:tc>
          <w:tcPr>
            <w:tcW w:w="224" w:type="pct"/>
            <w:vAlign w:val="center"/>
          </w:tcPr>
          <w:p w14:paraId="55F6FD7C" w14:textId="77777777" w:rsidR="001D4FCA" w:rsidRDefault="001D4FCA" w:rsidP="005E5473">
            <w:pPr>
              <w:jc w:val="center"/>
              <w:rPr>
                <w:rFonts w:ascii="Calibri" w:hAnsi="Calibri"/>
                <w:color w:val="000000"/>
              </w:rPr>
            </w:pPr>
            <w:r>
              <w:rPr>
                <w:rFonts w:ascii="Calibri" w:hAnsi="Calibri"/>
                <w:color w:val="000000"/>
              </w:rPr>
              <w:t>x</w:t>
            </w:r>
          </w:p>
        </w:tc>
        <w:tc>
          <w:tcPr>
            <w:tcW w:w="224" w:type="pct"/>
            <w:vAlign w:val="center"/>
          </w:tcPr>
          <w:p w14:paraId="7F676FEF" w14:textId="77777777" w:rsidR="001D4FCA" w:rsidRDefault="001D4FCA" w:rsidP="005E5473">
            <w:pPr>
              <w:jc w:val="center"/>
              <w:rPr>
                <w:rFonts w:ascii="Calibri" w:hAnsi="Calibri"/>
                <w:color w:val="000000"/>
              </w:rPr>
            </w:pPr>
            <w:r>
              <w:rPr>
                <w:rFonts w:ascii="Calibri" w:hAnsi="Calibri"/>
                <w:color w:val="000000"/>
              </w:rPr>
              <w:t>x</w:t>
            </w:r>
          </w:p>
        </w:tc>
      </w:tr>
      <w:tr w:rsidR="001D4FCA" w:rsidRPr="0077324A" w14:paraId="5FEE262E" w14:textId="77777777" w:rsidTr="001D4FCA">
        <w:trPr>
          <w:trHeight w:val="419"/>
        </w:trPr>
        <w:tc>
          <w:tcPr>
            <w:tcW w:w="3882" w:type="pct"/>
          </w:tcPr>
          <w:p w14:paraId="7182EC14" w14:textId="77777777" w:rsidR="001D4FCA" w:rsidRDefault="001D4FCA" w:rsidP="005E5473">
            <w:pPr>
              <w:rPr>
                <w:rFonts w:ascii="Calibri" w:hAnsi="Calibri"/>
                <w:color w:val="000000"/>
                <w:sz w:val="18"/>
                <w:szCs w:val="18"/>
              </w:rPr>
            </w:pPr>
            <w:r w:rsidRPr="00BC4BA2">
              <w:rPr>
                <w:rFonts w:ascii="Calibri" w:hAnsi="Calibri"/>
                <w:color w:val="000000"/>
                <w:sz w:val="18"/>
                <w:szCs w:val="18"/>
              </w:rPr>
              <w:t>Un estudio de costo-efectividad para lograr mejores operaciones o intervenciones.</w:t>
            </w:r>
          </w:p>
        </w:tc>
        <w:tc>
          <w:tcPr>
            <w:tcW w:w="224" w:type="pct"/>
            <w:vAlign w:val="center"/>
          </w:tcPr>
          <w:p w14:paraId="46A7BBFE" w14:textId="77777777" w:rsidR="001D4FCA" w:rsidRDefault="001D4FCA" w:rsidP="005E5473">
            <w:pPr>
              <w:jc w:val="center"/>
              <w:rPr>
                <w:rFonts w:ascii="Calibri" w:hAnsi="Calibri"/>
                <w:color w:val="000000"/>
              </w:rPr>
            </w:pPr>
            <w:r>
              <w:rPr>
                <w:rFonts w:ascii="Calibri" w:hAnsi="Calibri"/>
                <w:color w:val="000000"/>
              </w:rPr>
              <w:t>x</w:t>
            </w:r>
          </w:p>
        </w:tc>
        <w:tc>
          <w:tcPr>
            <w:tcW w:w="224" w:type="pct"/>
            <w:vAlign w:val="center"/>
          </w:tcPr>
          <w:p w14:paraId="2BE3DB83" w14:textId="77777777" w:rsidR="001D4FCA" w:rsidRDefault="001D4FCA" w:rsidP="005E5473">
            <w:pPr>
              <w:jc w:val="center"/>
              <w:rPr>
                <w:rFonts w:ascii="Calibri" w:hAnsi="Calibri"/>
                <w:color w:val="000000"/>
              </w:rPr>
            </w:pPr>
            <w:r>
              <w:rPr>
                <w:rFonts w:ascii="Calibri" w:hAnsi="Calibri"/>
                <w:color w:val="000000"/>
              </w:rPr>
              <w:t>x</w:t>
            </w:r>
          </w:p>
        </w:tc>
        <w:tc>
          <w:tcPr>
            <w:tcW w:w="224" w:type="pct"/>
            <w:vAlign w:val="center"/>
          </w:tcPr>
          <w:p w14:paraId="5F68FB11" w14:textId="77777777" w:rsidR="001D4FCA" w:rsidRDefault="001D4FCA" w:rsidP="005E5473">
            <w:pPr>
              <w:jc w:val="center"/>
              <w:rPr>
                <w:rFonts w:ascii="Calibri" w:hAnsi="Calibri"/>
                <w:color w:val="000000"/>
              </w:rPr>
            </w:pPr>
            <w:r>
              <w:rPr>
                <w:rFonts w:ascii="Calibri" w:hAnsi="Calibri"/>
                <w:color w:val="000000"/>
              </w:rPr>
              <w:t>x</w:t>
            </w:r>
          </w:p>
        </w:tc>
        <w:tc>
          <w:tcPr>
            <w:tcW w:w="224" w:type="pct"/>
            <w:vAlign w:val="center"/>
          </w:tcPr>
          <w:p w14:paraId="5974AA25" w14:textId="77777777" w:rsidR="001D4FCA" w:rsidRDefault="001D4FCA" w:rsidP="005E5473">
            <w:pPr>
              <w:jc w:val="center"/>
              <w:rPr>
                <w:rFonts w:ascii="Calibri" w:hAnsi="Calibri"/>
                <w:color w:val="000000"/>
              </w:rPr>
            </w:pPr>
            <w:r>
              <w:rPr>
                <w:rFonts w:ascii="Calibri" w:hAnsi="Calibri"/>
                <w:color w:val="000000"/>
              </w:rPr>
              <w:t>x</w:t>
            </w:r>
          </w:p>
        </w:tc>
        <w:tc>
          <w:tcPr>
            <w:tcW w:w="224" w:type="pct"/>
            <w:vAlign w:val="center"/>
          </w:tcPr>
          <w:p w14:paraId="6BB027A7" w14:textId="77777777" w:rsidR="001D4FCA" w:rsidRDefault="001D4FCA" w:rsidP="005E5473">
            <w:pPr>
              <w:jc w:val="center"/>
              <w:rPr>
                <w:rFonts w:ascii="Calibri" w:hAnsi="Calibri"/>
                <w:color w:val="000000"/>
              </w:rPr>
            </w:pPr>
            <w:r>
              <w:rPr>
                <w:rFonts w:ascii="Calibri" w:hAnsi="Calibri"/>
                <w:color w:val="000000"/>
              </w:rPr>
              <w:t>x</w:t>
            </w:r>
          </w:p>
        </w:tc>
      </w:tr>
    </w:tbl>
    <w:p w14:paraId="4E3B9DEF" w14:textId="77777777" w:rsidR="00124CBC" w:rsidRDefault="00124CBC"/>
    <w:tbl>
      <w:tblPr>
        <w:tblW w:w="5000" w:type="pct"/>
        <w:tblCellMar>
          <w:left w:w="70" w:type="dxa"/>
          <w:right w:w="70" w:type="dxa"/>
        </w:tblCellMar>
        <w:tblLook w:val="04A0" w:firstRow="1" w:lastRow="0" w:firstColumn="1" w:lastColumn="0" w:noHBand="0" w:noVBand="1"/>
      </w:tblPr>
      <w:tblGrid>
        <w:gridCol w:w="3164"/>
        <w:gridCol w:w="1954"/>
        <w:gridCol w:w="1954"/>
        <w:gridCol w:w="1954"/>
        <w:gridCol w:w="2066"/>
        <w:gridCol w:w="1902"/>
      </w:tblGrid>
      <w:tr w:rsidR="005F7825" w:rsidRPr="0077324A" w14:paraId="02EC65B7" w14:textId="77777777" w:rsidTr="00124CBC">
        <w:trPr>
          <w:trHeight w:val="823"/>
        </w:trPr>
        <w:tc>
          <w:tcPr>
            <w:tcW w:w="1217"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026B0E4" w14:textId="77777777" w:rsidR="005F7825" w:rsidRPr="0077324A" w:rsidRDefault="005F7825" w:rsidP="005F7825">
            <w:pP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lastRenderedPageBreak/>
              <w:t xml:space="preserve">Líneas de acción de la estrategia </w:t>
            </w:r>
          </w:p>
        </w:tc>
        <w:tc>
          <w:tcPr>
            <w:tcW w:w="752"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75CF737" w14:textId="77777777" w:rsidR="005F7825" w:rsidRPr="005F7825" w:rsidRDefault="005F7825" w:rsidP="005F7825">
            <w:pPr>
              <w:rPr>
                <w:rFonts w:ascii="Calibri" w:eastAsia="Times New Roman" w:hAnsi="Calibri" w:cs="Times New Roman"/>
                <w:color w:val="000000"/>
                <w:sz w:val="18"/>
                <w:szCs w:val="18"/>
                <w:lang w:val="es-SV" w:eastAsia="es-SV"/>
              </w:rPr>
            </w:pPr>
            <w:r w:rsidRPr="005F7825">
              <w:rPr>
                <w:rFonts w:ascii="Calibri" w:eastAsia="Times New Roman" w:hAnsi="Calibri" w:cs="Times New Roman"/>
                <w:color w:val="000000"/>
                <w:sz w:val="18"/>
                <w:szCs w:val="18"/>
                <w:lang w:val="es-SV" w:eastAsia="es-SV"/>
              </w:rPr>
              <w:t>Situación actual</w:t>
            </w:r>
          </w:p>
          <w:p w14:paraId="5484D165" w14:textId="77777777" w:rsidR="005F7825" w:rsidRPr="005F7825" w:rsidRDefault="005F7825" w:rsidP="00312362">
            <w:pPr>
              <w:rPr>
                <w:rFonts w:ascii="Calibri" w:eastAsia="Times New Roman" w:hAnsi="Calibri" w:cs="Times New Roman"/>
                <w:color w:val="000000"/>
                <w:sz w:val="18"/>
                <w:szCs w:val="18"/>
                <w:lang w:val="es-SV" w:eastAsia="es-SV"/>
              </w:rPr>
            </w:pPr>
          </w:p>
        </w:tc>
        <w:tc>
          <w:tcPr>
            <w:tcW w:w="752"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661F66C" w14:textId="77777777" w:rsidR="005F7825" w:rsidRPr="005F7825" w:rsidRDefault="005F7825" w:rsidP="005F7825">
            <w:pPr>
              <w:rPr>
                <w:rFonts w:ascii="Calibri" w:eastAsia="Times New Roman" w:hAnsi="Calibri" w:cs="Times New Roman"/>
                <w:color w:val="000000"/>
                <w:sz w:val="18"/>
                <w:szCs w:val="18"/>
                <w:lang w:val="es-SV" w:eastAsia="es-SV"/>
              </w:rPr>
            </w:pPr>
            <w:r w:rsidRPr="005F7825">
              <w:rPr>
                <w:rFonts w:ascii="Calibri" w:eastAsia="Times New Roman" w:hAnsi="Calibri" w:cs="Times New Roman"/>
                <w:color w:val="000000"/>
                <w:sz w:val="18"/>
                <w:szCs w:val="18"/>
                <w:lang w:val="es-SV" w:eastAsia="es-SV"/>
              </w:rPr>
              <w:t xml:space="preserve">Oportunidades </w:t>
            </w:r>
          </w:p>
          <w:p w14:paraId="773741D5" w14:textId="77777777" w:rsidR="005F7825" w:rsidRPr="005F7825" w:rsidRDefault="005F7825" w:rsidP="005F7825">
            <w:pPr>
              <w:spacing w:after="0" w:line="240" w:lineRule="auto"/>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 </w:t>
            </w:r>
          </w:p>
        </w:tc>
        <w:tc>
          <w:tcPr>
            <w:tcW w:w="752"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DE575DA" w14:textId="77777777" w:rsidR="005F7825" w:rsidRPr="005F7825" w:rsidRDefault="005F7825" w:rsidP="005F7825">
            <w:pPr>
              <w:rPr>
                <w:rFonts w:ascii="Calibri" w:eastAsia="Times New Roman" w:hAnsi="Calibri" w:cs="Times New Roman"/>
                <w:color w:val="000000"/>
                <w:sz w:val="18"/>
                <w:szCs w:val="18"/>
                <w:lang w:val="es-SV" w:eastAsia="es-SV"/>
              </w:rPr>
            </w:pPr>
            <w:r w:rsidRPr="005F7825">
              <w:rPr>
                <w:rFonts w:ascii="Calibri" w:eastAsia="Times New Roman" w:hAnsi="Calibri" w:cs="Times New Roman"/>
                <w:color w:val="000000"/>
                <w:sz w:val="18"/>
                <w:szCs w:val="18"/>
                <w:lang w:val="es-SV" w:eastAsia="es-SV"/>
              </w:rPr>
              <w:t>Desafíos</w:t>
            </w:r>
          </w:p>
        </w:tc>
        <w:tc>
          <w:tcPr>
            <w:tcW w:w="795"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6E6EE36" w14:textId="77777777" w:rsidR="005F7825" w:rsidRPr="005F7825" w:rsidRDefault="005F7825" w:rsidP="005F7825">
            <w:pPr>
              <w:rPr>
                <w:rFonts w:ascii="Calibri" w:eastAsia="Times New Roman" w:hAnsi="Calibri" w:cs="Times New Roman"/>
                <w:color w:val="000000"/>
                <w:sz w:val="18"/>
                <w:szCs w:val="18"/>
                <w:lang w:val="es-SV" w:eastAsia="es-SV"/>
              </w:rPr>
            </w:pPr>
            <w:r w:rsidRPr="005F7825">
              <w:rPr>
                <w:rFonts w:ascii="Calibri" w:eastAsia="Times New Roman" w:hAnsi="Calibri" w:cs="Times New Roman"/>
                <w:color w:val="000000"/>
                <w:sz w:val="18"/>
                <w:szCs w:val="18"/>
                <w:lang w:val="es-SV" w:eastAsia="es-SV"/>
              </w:rPr>
              <w:t xml:space="preserve"> Meta (en base a brechas y prioridades) </w:t>
            </w:r>
          </w:p>
        </w:tc>
        <w:tc>
          <w:tcPr>
            <w:tcW w:w="732"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644D4211" w14:textId="77777777" w:rsidR="005F7825" w:rsidRPr="005F7825" w:rsidRDefault="005F7825" w:rsidP="005F7825">
            <w:pPr>
              <w:rPr>
                <w:rFonts w:ascii="Calibri" w:eastAsia="Times New Roman" w:hAnsi="Calibri" w:cs="Times New Roman"/>
                <w:color w:val="000000"/>
                <w:sz w:val="18"/>
                <w:szCs w:val="18"/>
                <w:lang w:val="es-SV" w:eastAsia="es-SV"/>
              </w:rPr>
            </w:pPr>
            <w:r w:rsidRPr="005F7825">
              <w:rPr>
                <w:rFonts w:ascii="Calibri" w:eastAsia="Times New Roman" w:hAnsi="Calibri" w:cs="Times New Roman"/>
                <w:color w:val="000000"/>
                <w:sz w:val="18"/>
                <w:szCs w:val="18"/>
                <w:lang w:val="es-SV" w:eastAsia="es-SV"/>
              </w:rPr>
              <w:t>Responsables de actividades</w:t>
            </w:r>
          </w:p>
        </w:tc>
      </w:tr>
      <w:tr w:rsidR="000B01CB" w:rsidRPr="000B01CB" w14:paraId="3E270A62" w14:textId="77777777" w:rsidTr="0022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0"/>
        </w:trPr>
        <w:tc>
          <w:tcPr>
            <w:tcW w:w="1217" w:type="pct"/>
            <w:shd w:val="clear" w:color="auto" w:fill="auto"/>
            <w:hideMark/>
          </w:tcPr>
          <w:p w14:paraId="4206C14C" w14:textId="77777777" w:rsidR="000B01CB" w:rsidRPr="000B01CB" w:rsidRDefault="000B01CB" w:rsidP="000B01CB">
            <w:pPr>
              <w:spacing w:after="0" w:line="240" w:lineRule="auto"/>
              <w:rPr>
                <w:rFonts w:ascii="Calibri" w:eastAsia="Times New Roman" w:hAnsi="Calibri" w:cs="Times New Roman"/>
                <w:b/>
                <w:bCs/>
                <w:color w:val="000000"/>
                <w:sz w:val="18"/>
                <w:szCs w:val="18"/>
                <w:lang w:val="es-SV" w:eastAsia="es-SV"/>
              </w:rPr>
            </w:pPr>
            <w:r w:rsidRPr="000B01CB">
              <w:rPr>
                <w:rFonts w:ascii="Calibri" w:eastAsia="Times New Roman" w:hAnsi="Calibri" w:cs="Times New Roman"/>
                <w:b/>
                <w:bCs/>
                <w:color w:val="000000"/>
                <w:sz w:val="18"/>
                <w:szCs w:val="18"/>
                <w:lang w:val="es-SV" w:eastAsia="es-SV"/>
              </w:rPr>
              <w:t>4.Movilización de recursos privados   mediante otras estrategias focalizadas  para determinados  segmentos  de población,  vigentes y/o potenciales</w:t>
            </w:r>
          </w:p>
        </w:tc>
        <w:tc>
          <w:tcPr>
            <w:tcW w:w="752" w:type="pct"/>
            <w:shd w:val="clear" w:color="auto" w:fill="auto"/>
            <w:hideMark/>
          </w:tcPr>
          <w:p w14:paraId="183253B6" w14:textId="77777777" w:rsidR="000B01CB" w:rsidRPr="000B01CB" w:rsidRDefault="000B01CB" w:rsidP="000B01CB">
            <w:pPr>
              <w:spacing w:after="0" w:line="240" w:lineRule="auto"/>
              <w:rPr>
                <w:rFonts w:ascii="Calibri" w:eastAsia="Times New Roman" w:hAnsi="Calibri" w:cs="Times New Roman"/>
                <w:color w:val="000000"/>
                <w:sz w:val="18"/>
                <w:szCs w:val="18"/>
                <w:lang w:val="es-SV" w:eastAsia="es-SV"/>
              </w:rPr>
            </w:pPr>
            <w:r w:rsidRPr="000B01CB">
              <w:rPr>
                <w:rFonts w:ascii="Calibri" w:eastAsia="Times New Roman" w:hAnsi="Calibri" w:cs="Times New Roman"/>
                <w:color w:val="000000"/>
                <w:sz w:val="18"/>
                <w:szCs w:val="18"/>
                <w:lang w:val="es-SV" w:eastAsia="es-SV"/>
              </w:rPr>
              <w:t>Existe una desconfianza entre el sector privado con el sector público, sin embargo por parte del sector público se están impulsando acciones de acercamiento.</w:t>
            </w:r>
          </w:p>
        </w:tc>
        <w:tc>
          <w:tcPr>
            <w:tcW w:w="752" w:type="pct"/>
            <w:shd w:val="clear" w:color="auto" w:fill="auto"/>
            <w:hideMark/>
          </w:tcPr>
          <w:p w14:paraId="5DC22217" w14:textId="77777777" w:rsidR="000B01CB" w:rsidRPr="000B01CB" w:rsidRDefault="000B01CB" w:rsidP="000B01CB">
            <w:pPr>
              <w:spacing w:after="0" w:line="240" w:lineRule="auto"/>
              <w:rPr>
                <w:rFonts w:ascii="Calibri" w:eastAsia="Times New Roman" w:hAnsi="Calibri" w:cs="Times New Roman"/>
                <w:color w:val="000000"/>
                <w:sz w:val="18"/>
                <w:szCs w:val="18"/>
                <w:lang w:val="es-SV" w:eastAsia="es-SV"/>
              </w:rPr>
            </w:pPr>
            <w:r w:rsidRPr="000B01CB">
              <w:rPr>
                <w:rFonts w:ascii="Calibri" w:eastAsia="Times New Roman" w:hAnsi="Calibri" w:cs="Times New Roman"/>
                <w:color w:val="000000"/>
                <w:sz w:val="18"/>
                <w:szCs w:val="18"/>
                <w:lang w:val="es-SV" w:eastAsia="es-SV"/>
              </w:rPr>
              <w:t xml:space="preserve">Mecanismos de </w:t>
            </w:r>
            <w:r w:rsidR="00124CBC" w:rsidRPr="000B01CB">
              <w:rPr>
                <w:rFonts w:ascii="Calibri" w:eastAsia="Times New Roman" w:hAnsi="Calibri" w:cs="Times New Roman"/>
                <w:color w:val="000000"/>
                <w:sz w:val="18"/>
                <w:szCs w:val="18"/>
                <w:lang w:val="es-SV" w:eastAsia="es-SV"/>
              </w:rPr>
              <w:t>diálogo</w:t>
            </w:r>
            <w:r w:rsidRPr="000B01CB">
              <w:rPr>
                <w:rFonts w:ascii="Calibri" w:eastAsia="Times New Roman" w:hAnsi="Calibri" w:cs="Times New Roman"/>
                <w:color w:val="000000"/>
                <w:sz w:val="18"/>
                <w:szCs w:val="18"/>
                <w:lang w:val="es-SV" w:eastAsia="es-SV"/>
              </w:rPr>
              <w:t xml:space="preserve"> político como técnicos para potenciar una relación basada en la confianza con planes concretos de cooperación.</w:t>
            </w:r>
          </w:p>
        </w:tc>
        <w:tc>
          <w:tcPr>
            <w:tcW w:w="752" w:type="pct"/>
            <w:shd w:val="clear" w:color="auto" w:fill="auto"/>
            <w:hideMark/>
          </w:tcPr>
          <w:p w14:paraId="7BA2B64D" w14:textId="77777777" w:rsidR="000B01CB" w:rsidRPr="000B01CB" w:rsidRDefault="000B01CB" w:rsidP="000B01CB">
            <w:pPr>
              <w:spacing w:after="0" w:line="240" w:lineRule="auto"/>
              <w:rPr>
                <w:rFonts w:ascii="Calibri" w:eastAsia="Times New Roman" w:hAnsi="Calibri" w:cs="Times New Roman"/>
                <w:color w:val="000000"/>
                <w:sz w:val="18"/>
                <w:szCs w:val="18"/>
                <w:lang w:val="es-SV" w:eastAsia="es-SV"/>
              </w:rPr>
            </w:pPr>
            <w:r w:rsidRPr="000B01CB">
              <w:rPr>
                <w:rFonts w:ascii="Calibri" w:eastAsia="Times New Roman" w:hAnsi="Calibri" w:cs="Times New Roman"/>
                <w:color w:val="000000"/>
                <w:sz w:val="18"/>
                <w:szCs w:val="18"/>
                <w:lang w:val="es-SV" w:eastAsia="es-SV"/>
              </w:rPr>
              <w:t xml:space="preserve">Mantener activo y con cumplimiento de metas </w:t>
            </w:r>
            <w:r w:rsidR="00124CBC" w:rsidRPr="000B01CB">
              <w:rPr>
                <w:rFonts w:ascii="Calibri" w:eastAsia="Times New Roman" w:hAnsi="Calibri" w:cs="Times New Roman"/>
                <w:color w:val="000000"/>
                <w:sz w:val="18"/>
                <w:szCs w:val="18"/>
                <w:lang w:val="es-SV" w:eastAsia="es-SV"/>
              </w:rPr>
              <w:t>específicas</w:t>
            </w:r>
            <w:r w:rsidRPr="000B01CB">
              <w:rPr>
                <w:rFonts w:ascii="Calibri" w:eastAsia="Times New Roman" w:hAnsi="Calibri" w:cs="Times New Roman"/>
                <w:color w:val="000000"/>
                <w:sz w:val="18"/>
                <w:szCs w:val="18"/>
                <w:lang w:val="es-SV" w:eastAsia="es-SV"/>
              </w:rPr>
              <w:t xml:space="preserve"> los mecanismos de dialogo.</w:t>
            </w:r>
          </w:p>
        </w:tc>
        <w:tc>
          <w:tcPr>
            <w:tcW w:w="795" w:type="pct"/>
            <w:shd w:val="clear" w:color="auto" w:fill="auto"/>
            <w:hideMark/>
          </w:tcPr>
          <w:p w14:paraId="2C38A208" w14:textId="77777777" w:rsidR="000B01CB" w:rsidRPr="000B01CB" w:rsidRDefault="000B01CB" w:rsidP="000B01CB">
            <w:pPr>
              <w:spacing w:after="0" w:line="240" w:lineRule="auto"/>
              <w:rPr>
                <w:rFonts w:ascii="Calibri" w:eastAsia="Times New Roman" w:hAnsi="Calibri" w:cs="Times New Roman"/>
                <w:color w:val="000000"/>
                <w:sz w:val="18"/>
                <w:szCs w:val="18"/>
                <w:lang w:val="es-SV" w:eastAsia="es-SV"/>
              </w:rPr>
            </w:pPr>
            <w:r w:rsidRPr="000B01CB">
              <w:rPr>
                <w:rFonts w:ascii="Calibri" w:eastAsia="Times New Roman" w:hAnsi="Calibri" w:cs="Times New Roman"/>
                <w:color w:val="000000"/>
                <w:sz w:val="18"/>
                <w:szCs w:val="18"/>
                <w:lang w:val="es-SV" w:eastAsia="es-SV"/>
              </w:rPr>
              <w:t>Activar los mecanismos de diálogos político como técnico con una representación con poder de impulsar las acciones en el sector público como privado.</w:t>
            </w:r>
          </w:p>
        </w:tc>
        <w:tc>
          <w:tcPr>
            <w:tcW w:w="732" w:type="pct"/>
            <w:shd w:val="clear" w:color="auto" w:fill="auto"/>
            <w:vAlign w:val="bottom"/>
            <w:hideMark/>
          </w:tcPr>
          <w:p w14:paraId="13ACE2B4" w14:textId="77777777" w:rsidR="000B01CB" w:rsidRDefault="000B01CB" w:rsidP="000B01CB">
            <w:pPr>
              <w:spacing w:after="0" w:line="240" w:lineRule="auto"/>
              <w:rPr>
                <w:rFonts w:ascii="Calibri" w:eastAsia="Times New Roman" w:hAnsi="Calibri" w:cs="Times New Roman"/>
                <w:color w:val="000000"/>
                <w:sz w:val="18"/>
                <w:szCs w:val="18"/>
                <w:lang w:val="es-SV" w:eastAsia="es-SV"/>
              </w:rPr>
            </w:pPr>
            <w:r w:rsidRPr="000B01CB">
              <w:rPr>
                <w:rFonts w:ascii="Calibri" w:eastAsia="Times New Roman" w:hAnsi="Calibri" w:cs="Times New Roman"/>
                <w:color w:val="000000"/>
                <w:sz w:val="18"/>
                <w:szCs w:val="18"/>
                <w:lang w:val="es-SV" w:eastAsia="es-SV"/>
              </w:rPr>
              <w:t>SETEPLAN, MINSAL, ISSS, FOSALUD, SM, BM, Organizaciones de la Sociedad Civil, Empresas Aseguradas Nacionales como Internacionales.</w:t>
            </w:r>
          </w:p>
          <w:p w14:paraId="6A81C60A" w14:textId="77777777" w:rsidR="00124CBC" w:rsidRDefault="00124CBC" w:rsidP="000B01CB">
            <w:pPr>
              <w:spacing w:after="0" w:line="240" w:lineRule="auto"/>
              <w:rPr>
                <w:rFonts w:ascii="Calibri" w:eastAsia="Times New Roman" w:hAnsi="Calibri" w:cs="Times New Roman"/>
                <w:color w:val="000000"/>
                <w:sz w:val="18"/>
                <w:szCs w:val="18"/>
                <w:lang w:val="es-SV" w:eastAsia="es-SV"/>
              </w:rPr>
            </w:pPr>
          </w:p>
          <w:p w14:paraId="0F9765BF" w14:textId="77777777" w:rsidR="00124CBC" w:rsidRPr="000B01CB" w:rsidRDefault="00124CBC" w:rsidP="000B01CB">
            <w:pPr>
              <w:spacing w:after="0" w:line="240" w:lineRule="auto"/>
              <w:rPr>
                <w:rFonts w:ascii="Calibri" w:eastAsia="Times New Roman" w:hAnsi="Calibri" w:cs="Times New Roman"/>
                <w:color w:val="000000"/>
                <w:sz w:val="18"/>
                <w:szCs w:val="18"/>
                <w:lang w:val="es-SV" w:eastAsia="es-SV"/>
              </w:rPr>
            </w:pPr>
          </w:p>
        </w:tc>
      </w:tr>
    </w:tbl>
    <w:p w14:paraId="7AC61BB4" w14:textId="77777777" w:rsidR="00124CBC" w:rsidRDefault="00124CBC"/>
    <w:tbl>
      <w:tblPr>
        <w:tblStyle w:val="Tablaconcuadrcula"/>
        <w:tblW w:w="4975" w:type="pct"/>
        <w:tblLook w:val="04A0" w:firstRow="1" w:lastRow="0" w:firstColumn="1" w:lastColumn="0" w:noHBand="0" w:noVBand="1"/>
      </w:tblPr>
      <w:tblGrid>
        <w:gridCol w:w="9593"/>
        <w:gridCol w:w="675"/>
        <w:gridCol w:w="693"/>
        <w:gridCol w:w="693"/>
        <w:gridCol w:w="693"/>
        <w:gridCol w:w="582"/>
      </w:tblGrid>
      <w:tr w:rsidR="001D4FCA" w:rsidRPr="004240EE" w14:paraId="1886F937" w14:textId="77777777" w:rsidTr="001D4FCA">
        <w:trPr>
          <w:trHeight w:val="412"/>
        </w:trPr>
        <w:tc>
          <w:tcPr>
            <w:tcW w:w="3710" w:type="pct"/>
          </w:tcPr>
          <w:p w14:paraId="1D21BAE2" w14:textId="77777777" w:rsidR="001D4FCA" w:rsidRPr="004240EE" w:rsidRDefault="001D4FCA" w:rsidP="0025750E">
            <w:pP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 xml:space="preserve">                                                                          Acciones / </w:t>
            </w:r>
            <w:r w:rsidRPr="00EE1739">
              <w:rPr>
                <w:rFonts w:ascii="Calibri" w:eastAsia="Times New Roman" w:hAnsi="Calibri" w:cs="Times New Roman"/>
                <w:b/>
                <w:color w:val="000000"/>
                <w:sz w:val="18"/>
                <w:szCs w:val="18"/>
                <w:lang w:val="es-SV" w:eastAsia="es-SV"/>
              </w:rPr>
              <w:t>Periodo de ejecución</w:t>
            </w:r>
          </w:p>
        </w:tc>
        <w:tc>
          <w:tcPr>
            <w:tcW w:w="261" w:type="pct"/>
          </w:tcPr>
          <w:p w14:paraId="320B388F" w14:textId="77777777" w:rsidR="001D4FCA" w:rsidRPr="00F925A9" w:rsidRDefault="001D4FCA"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2019</w:t>
            </w:r>
          </w:p>
          <w:p w14:paraId="73859239" w14:textId="77777777" w:rsidR="001D4FCA" w:rsidRPr="00F925A9" w:rsidRDefault="001D4FCA" w:rsidP="0025750E">
            <w:pPr>
              <w:jc w:val="center"/>
              <w:rPr>
                <w:rFonts w:ascii="Calibri" w:eastAsia="Times New Roman" w:hAnsi="Calibri" w:cs="Times New Roman"/>
                <w:b/>
                <w:color w:val="000000"/>
                <w:sz w:val="18"/>
                <w:szCs w:val="18"/>
                <w:lang w:val="es-SV" w:eastAsia="es-SV"/>
              </w:rPr>
            </w:pPr>
          </w:p>
        </w:tc>
        <w:tc>
          <w:tcPr>
            <w:tcW w:w="268" w:type="pct"/>
          </w:tcPr>
          <w:p w14:paraId="66479176" w14:textId="77777777" w:rsidR="001D4FCA" w:rsidRPr="00F925A9" w:rsidRDefault="001D4FCA" w:rsidP="0025750E">
            <w:pP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2020</w:t>
            </w:r>
          </w:p>
        </w:tc>
        <w:tc>
          <w:tcPr>
            <w:tcW w:w="268" w:type="pct"/>
          </w:tcPr>
          <w:p w14:paraId="62A44657" w14:textId="77777777" w:rsidR="001D4FCA" w:rsidRPr="00F925A9" w:rsidRDefault="001D4FCA"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2021</w:t>
            </w:r>
          </w:p>
          <w:p w14:paraId="532B55B7" w14:textId="77777777" w:rsidR="001D4FCA" w:rsidRPr="00F925A9" w:rsidRDefault="001D4FCA" w:rsidP="0025750E">
            <w:pPr>
              <w:jc w:val="center"/>
              <w:rPr>
                <w:rFonts w:ascii="Calibri" w:eastAsia="Times New Roman" w:hAnsi="Calibri" w:cs="Times New Roman"/>
                <w:b/>
                <w:color w:val="000000"/>
                <w:sz w:val="18"/>
                <w:szCs w:val="18"/>
                <w:lang w:val="es-SV" w:eastAsia="es-SV"/>
              </w:rPr>
            </w:pPr>
          </w:p>
        </w:tc>
        <w:tc>
          <w:tcPr>
            <w:tcW w:w="268" w:type="pct"/>
          </w:tcPr>
          <w:p w14:paraId="40842CB7" w14:textId="77777777" w:rsidR="001D4FCA" w:rsidRPr="00F925A9" w:rsidRDefault="001D4FCA"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2022</w:t>
            </w:r>
          </w:p>
          <w:p w14:paraId="29B43D27" w14:textId="77777777" w:rsidR="001D4FCA" w:rsidRPr="00F925A9" w:rsidRDefault="001D4FCA" w:rsidP="0025750E">
            <w:pPr>
              <w:jc w:val="center"/>
              <w:rPr>
                <w:rFonts w:ascii="Calibri" w:eastAsia="Times New Roman" w:hAnsi="Calibri" w:cs="Times New Roman"/>
                <w:b/>
                <w:color w:val="000000"/>
                <w:sz w:val="18"/>
                <w:szCs w:val="18"/>
                <w:lang w:val="es-SV" w:eastAsia="es-SV"/>
              </w:rPr>
            </w:pPr>
          </w:p>
        </w:tc>
        <w:tc>
          <w:tcPr>
            <w:tcW w:w="225" w:type="pct"/>
          </w:tcPr>
          <w:p w14:paraId="029ABE63" w14:textId="77777777" w:rsidR="001D4FCA" w:rsidRPr="00F925A9" w:rsidRDefault="001D4FCA"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2023</w:t>
            </w:r>
          </w:p>
          <w:p w14:paraId="05869ECE" w14:textId="77777777" w:rsidR="001D4FCA" w:rsidRPr="00F925A9" w:rsidRDefault="001D4FCA" w:rsidP="0025750E">
            <w:pPr>
              <w:jc w:val="center"/>
              <w:rPr>
                <w:rFonts w:ascii="Calibri" w:eastAsia="Times New Roman" w:hAnsi="Calibri" w:cs="Times New Roman"/>
                <w:b/>
                <w:color w:val="000000"/>
                <w:sz w:val="18"/>
                <w:szCs w:val="18"/>
                <w:lang w:val="es-SV" w:eastAsia="es-SV"/>
              </w:rPr>
            </w:pPr>
          </w:p>
        </w:tc>
      </w:tr>
      <w:tr w:rsidR="001D4FCA" w:rsidRPr="0077324A" w14:paraId="3245CEB5" w14:textId="77777777" w:rsidTr="001D4FCA">
        <w:trPr>
          <w:trHeight w:val="479"/>
        </w:trPr>
        <w:tc>
          <w:tcPr>
            <w:tcW w:w="3710" w:type="pct"/>
            <w:hideMark/>
          </w:tcPr>
          <w:p w14:paraId="0D137C2E" w14:textId="77777777" w:rsidR="001D4FCA" w:rsidRDefault="001D4FCA" w:rsidP="0025750E">
            <w:pPr>
              <w:rPr>
                <w:rFonts w:ascii="Calibri" w:hAnsi="Calibri"/>
                <w:color w:val="000000"/>
                <w:sz w:val="18"/>
                <w:szCs w:val="18"/>
              </w:rPr>
            </w:pPr>
            <w:r>
              <w:rPr>
                <w:rFonts w:ascii="Calibri" w:hAnsi="Calibri"/>
                <w:color w:val="000000"/>
                <w:sz w:val="18"/>
                <w:szCs w:val="18"/>
              </w:rPr>
              <w:t>Establecer quiénes conforman los segmentos poblacionales objeto de intervención de manera conjunta (sector público y sector privado)</w:t>
            </w:r>
          </w:p>
        </w:tc>
        <w:tc>
          <w:tcPr>
            <w:tcW w:w="261" w:type="pct"/>
            <w:vAlign w:val="bottom"/>
            <w:hideMark/>
          </w:tcPr>
          <w:p w14:paraId="3F8FA6B2" w14:textId="77777777" w:rsidR="001D4FCA" w:rsidRDefault="001D4FCA" w:rsidP="0025750E">
            <w:pPr>
              <w:jc w:val="center"/>
              <w:rPr>
                <w:rFonts w:ascii="Calibri" w:hAnsi="Calibri"/>
                <w:color w:val="000000"/>
              </w:rPr>
            </w:pPr>
            <w:r>
              <w:rPr>
                <w:rFonts w:ascii="Calibri" w:hAnsi="Calibri"/>
                <w:color w:val="000000"/>
              </w:rPr>
              <w:t> </w:t>
            </w:r>
          </w:p>
        </w:tc>
        <w:tc>
          <w:tcPr>
            <w:tcW w:w="268" w:type="pct"/>
            <w:vAlign w:val="center"/>
          </w:tcPr>
          <w:p w14:paraId="04FAE2C8" w14:textId="77777777" w:rsidR="001D4FCA" w:rsidRDefault="001D4FCA" w:rsidP="0025750E">
            <w:pPr>
              <w:jc w:val="center"/>
              <w:rPr>
                <w:rFonts w:ascii="Calibri" w:hAnsi="Calibri"/>
                <w:color w:val="000000"/>
              </w:rPr>
            </w:pPr>
            <w:r>
              <w:rPr>
                <w:rFonts w:ascii="Calibri" w:hAnsi="Calibri"/>
                <w:color w:val="000000"/>
              </w:rPr>
              <w:t>x</w:t>
            </w:r>
          </w:p>
        </w:tc>
        <w:tc>
          <w:tcPr>
            <w:tcW w:w="268" w:type="pct"/>
            <w:vAlign w:val="center"/>
          </w:tcPr>
          <w:p w14:paraId="27DAC1DD" w14:textId="77777777" w:rsidR="001D4FCA" w:rsidRDefault="001D4FCA" w:rsidP="0025750E">
            <w:pPr>
              <w:jc w:val="center"/>
              <w:rPr>
                <w:rFonts w:ascii="Calibri" w:hAnsi="Calibri"/>
                <w:color w:val="000000"/>
              </w:rPr>
            </w:pPr>
            <w:r>
              <w:rPr>
                <w:rFonts w:ascii="Calibri" w:hAnsi="Calibri"/>
                <w:color w:val="000000"/>
              </w:rPr>
              <w:t> </w:t>
            </w:r>
          </w:p>
        </w:tc>
        <w:tc>
          <w:tcPr>
            <w:tcW w:w="268" w:type="pct"/>
            <w:vAlign w:val="center"/>
          </w:tcPr>
          <w:p w14:paraId="0E4BFF66" w14:textId="77777777" w:rsidR="001D4FCA" w:rsidRDefault="001D4FCA" w:rsidP="0025750E">
            <w:pPr>
              <w:jc w:val="center"/>
              <w:rPr>
                <w:rFonts w:ascii="Calibri" w:hAnsi="Calibri"/>
                <w:color w:val="000000"/>
              </w:rPr>
            </w:pPr>
            <w:r>
              <w:rPr>
                <w:rFonts w:ascii="Calibri" w:hAnsi="Calibri"/>
                <w:color w:val="000000"/>
              </w:rPr>
              <w:t>x</w:t>
            </w:r>
          </w:p>
        </w:tc>
        <w:tc>
          <w:tcPr>
            <w:tcW w:w="225" w:type="pct"/>
            <w:vAlign w:val="center"/>
          </w:tcPr>
          <w:p w14:paraId="1491A3CE" w14:textId="77777777" w:rsidR="001D4FCA" w:rsidRDefault="001D4FCA" w:rsidP="0025750E">
            <w:pPr>
              <w:jc w:val="center"/>
              <w:rPr>
                <w:rFonts w:ascii="Calibri" w:hAnsi="Calibri"/>
                <w:color w:val="000000"/>
              </w:rPr>
            </w:pPr>
            <w:r>
              <w:rPr>
                <w:rFonts w:ascii="Calibri" w:hAnsi="Calibri"/>
                <w:color w:val="000000"/>
              </w:rPr>
              <w:t> </w:t>
            </w:r>
          </w:p>
        </w:tc>
      </w:tr>
      <w:tr w:rsidR="001D4FCA" w:rsidRPr="0077324A" w14:paraId="057B4D32" w14:textId="77777777" w:rsidTr="001D4FCA">
        <w:trPr>
          <w:trHeight w:val="401"/>
        </w:trPr>
        <w:tc>
          <w:tcPr>
            <w:tcW w:w="3710" w:type="pct"/>
            <w:hideMark/>
          </w:tcPr>
          <w:p w14:paraId="3B17CA6C" w14:textId="77777777" w:rsidR="001D4FCA" w:rsidRDefault="001D4FCA" w:rsidP="0025750E">
            <w:pPr>
              <w:rPr>
                <w:rFonts w:ascii="Calibri" w:hAnsi="Calibri"/>
                <w:color w:val="000000"/>
                <w:sz w:val="18"/>
                <w:szCs w:val="18"/>
              </w:rPr>
            </w:pPr>
            <w:r>
              <w:rPr>
                <w:rFonts w:ascii="Calibri" w:hAnsi="Calibri"/>
                <w:color w:val="000000"/>
                <w:sz w:val="18"/>
                <w:szCs w:val="18"/>
              </w:rPr>
              <w:t>Diseñar que mecanismo de focalización que será desarrollado (a la demanda o a la oferta) de manera conjunta entre ambos sectores.</w:t>
            </w:r>
          </w:p>
        </w:tc>
        <w:tc>
          <w:tcPr>
            <w:tcW w:w="261" w:type="pct"/>
            <w:vAlign w:val="bottom"/>
            <w:hideMark/>
          </w:tcPr>
          <w:p w14:paraId="1ABD74D1" w14:textId="77777777" w:rsidR="001D4FCA" w:rsidRDefault="001D4FCA" w:rsidP="0025750E">
            <w:pPr>
              <w:jc w:val="center"/>
              <w:rPr>
                <w:rFonts w:ascii="Calibri" w:hAnsi="Calibri"/>
                <w:color w:val="000000"/>
              </w:rPr>
            </w:pPr>
            <w:r>
              <w:rPr>
                <w:rFonts w:ascii="Calibri" w:hAnsi="Calibri"/>
                <w:color w:val="000000"/>
              </w:rPr>
              <w:t> </w:t>
            </w:r>
          </w:p>
        </w:tc>
        <w:tc>
          <w:tcPr>
            <w:tcW w:w="268" w:type="pct"/>
            <w:vAlign w:val="center"/>
          </w:tcPr>
          <w:p w14:paraId="713738C2" w14:textId="77777777" w:rsidR="001D4FCA" w:rsidRDefault="001D4FCA" w:rsidP="0025750E">
            <w:pPr>
              <w:jc w:val="center"/>
              <w:rPr>
                <w:rFonts w:ascii="Calibri" w:hAnsi="Calibri"/>
                <w:color w:val="000000"/>
              </w:rPr>
            </w:pPr>
            <w:r>
              <w:rPr>
                <w:rFonts w:ascii="Calibri" w:hAnsi="Calibri"/>
                <w:color w:val="000000"/>
              </w:rPr>
              <w:t>x</w:t>
            </w:r>
          </w:p>
        </w:tc>
        <w:tc>
          <w:tcPr>
            <w:tcW w:w="268" w:type="pct"/>
            <w:vAlign w:val="center"/>
          </w:tcPr>
          <w:p w14:paraId="6E896B93" w14:textId="77777777" w:rsidR="001D4FCA" w:rsidRDefault="001D4FCA" w:rsidP="0025750E">
            <w:pPr>
              <w:jc w:val="center"/>
              <w:rPr>
                <w:rFonts w:ascii="Calibri" w:hAnsi="Calibri"/>
                <w:color w:val="000000"/>
              </w:rPr>
            </w:pPr>
            <w:r>
              <w:rPr>
                <w:rFonts w:ascii="Calibri" w:hAnsi="Calibri"/>
                <w:color w:val="000000"/>
              </w:rPr>
              <w:t> </w:t>
            </w:r>
          </w:p>
        </w:tc>
        <w:tc>
          <w:tcPr>
            <w:tcW w:w="268" w:type="pct"/>
            <w:vAlign w:val="center"/>
          </w:tcPr>
          <w:p w14:paraId="28F0E568" w14:textId="77777777" w:rsidR="001D4FCA" w:rsidRDefault="001D4FCA" w:rsidP="0025750E">
            <w:pPr>
              <w:jc w:val="center"/>
              <w:rPr>
                <w:rFonts w:ascii="Calibri" w:hAnsi="Calibri"/>
                <w:color w:val="000000"/>
              </w:rPr>
            </w:pPr>
            <w:r>
              <w:rPr>
                <w:rFonts w:ascii="Calibri" w:hAnsi="Calibri"/>
                <w:color w:val="000000"/>
              </w:rPr>
              <w:t>x</w:t>
            </w:r>
          </w:p>
        </w:tc>
        <w:tc>
          <w:tcPr>
            <w:tcW w:w="225" w:type="pct"/>
            <w:vAlign w:val="center"/>
          </w:tcPr>
          <w:p w14:paraId="3C9D9C20" w14:textId="77777777" w:rsidR="001D4FCA" w:rsidRDefault="001D4FCA" w:rsidP="0025750E">
            <w:pPr>
              <w:jc w:val="center"/>
              <w:rPr>
                <w:rFonts w:ascii="Calibri" w:hAnsi="Calibri"/>
                <w:color w:val="000000"/>
              </w:rPr>
            </w:pPr>
            <w:r>
              <w:rPr>
                <w:rFonts w:ascii="Calibri" w:hAnsi="Calibri"/>
                <w:color w:val="000000"/>
              </w:rPr>
              <w:t> </w:t>
            </w:r>
          </w:p>
        </w:tc>
      </w:tr>
      <w:tr w:rsidR="001D4FCA" w:rsidRPr="0077324A" w14:paraId="6F34148C" w14:textId="77777777" w:rsidTr="001D4FCA">
        <w:trPr>
          <w:trHeight w:val="805"/>
        </w:trPr>
        <w:tc>
          <w:tcPr>
            <w:tcW w:w="3710" w:type="pct"/>
            <w:hideMark/>
          </w:tcPr>
          <w:p w14:paraId="664D3B46" w14:textId="77777777" w:rsidR="001D4FCA" w:rsidRDefault="001D4FCA" w:rsidP="0025750E">
            <w:pPr>
              <w:rPr>
                <w:rFonts w:ascii="Calibri" w:hAnsi="Calibri"/>
                <w:color w:val="000000"/>
                <w:sz w:val="18"/>
                <w:szCs w:val="18"/>
              </w:rPr>
            </w:pPr>
            <w:r>
              <w:rPr>
                <w:rFonts w:ascii="Calibri" w:hAnsi="Calibri"/>
                <w:color w:val="000000"/>
                <w:sz w:val="18"/>
                <w:szCs w:val="18"/>
              </w:rPr>
              <w:t>Implementar registros administrativo administrativos y registros estadísticos [Registro base, Registro primario y Registro integrado (registro longitudinal, otros registro integrados)] con el propósito de dar soporte al mecanismo de focalización.</w:t>
            </w:r>
          </w:p>
        </w:tc>
        <w:tc>
          <w:tcPr>
            <w:tcW w:w="261" w:type="pct"/>
            <w:vAlign w:val="bottom"/>
            <w:hideMark/>
          </w:tcPr>
          <w:p w14:paraId="3BE7CA8A" w14:textId="77777777" w:rsidR="001D4FCA" w:rsidRDefault="001D4FCA" w:rsidP="0025750E">
            <w:pPr>
              <w:jc w:val="center"/>
              <w:rPr>
                <w:rFonts w:ascii="Calibri" w:hAnsi="Calibri"/>
                <w:color w:val="000000"/>
              </w:rPr>
            </w:pPr>
            <w:r>
              <w:rPr>
                <w:rFonts w:ascii="Calibri" w:hAnsi="Calibri"/>
                <w:color w:val="000000"/>
              </w:rPr>
              <w:t> </w:t>
            </w:r>
          </w:p>
        </w:tc>
        <w:tc>
          <w:tcPr>
            <w:tcW w:w="268" w:type="pct"/>
            <w:vAlign w:val="center"/>
          </w:tcPr>
          <w:p w14:paraId="4651EF5E" w14:textId="77777777" w:rsidR="001D4FCA" w:rsidRDefault="001D4FCA" w:rsidP="0025750E">
            <w:pPr>
              <w:jc w:val="center"/>
              <w:rPr>
                <w:rFonts w:ascii="Calibri" w:hAnsi="Calibri"/>
                <w:color w:val="000000"/>
              </w:rPr>
            </w:pPr>
            <w:r>
              <w:rPr>
                <w:rFonts w:ascii="Calibri" w:hAnsi="Calibri"/>
                <w:color w:val="000000"/>
              </w:rPr>
              <w:t>x</w:t>
            </w:r>
          </w:p>
        </w:tc>
        <w:tc>
          <w:tcPr>
            <w:tcW w:w="268" w:type="pct"/>
            <w:vAlign w:val="center"/>
          </w:tcPr>
          <w:p w14:paraId="5058BDD1" w14:textId="77777777" w:rsidR="001D4FCA" w:rsidRDefault="001D4FCA" w:rsidP="0025750E">
            <w:pPr>
              <w:jc w:val="center"/>
              <w:rPr>
                <w:rFonts w:ascii="Calibri" w:hAnsi="Calibri"/>
                <w:color w:val="000000"/>
              </w:rPr>
            </w:pPr>
            <w:r>
              <w:rPr>
                <w:rFonts w:ascii="Calibri" w:hAnsi="Calibri"/>
                <w:color w:val="000000"/>
              </w:rPr>
              <w:t>x</w:t>
            </w:r>
          </w:p>
        </w:tc>
        <w:tc>
          <w:tcPr>
            <w:tcW w:w="268" w:type="pct"/>
            <w:vAlign w:val="center"/>
          </w:tcPr>
          <w:p w14:paraId="7776DE81" w14:textId="77777777" w:rsidR="001D4FCA" w:rsidRDefault="001D4FCA" w:rsidP="0025750E">
            <w:pPr>
              <w:jc w:val="center"/>
              <w:rPr>
                <w:rFonts w:ascii="Calibri" w:hAnsi="Calibri"/>
                <w:color w:val="000000"/>
              </w:rPr>
            </w:pPr>
            <w:r>
              <w:rPr>
                <w:rFonts w:ascii="Calibri" w:hAnsi="Calibri"/>
                <w:color w:val="000000"/>
              </w:rPr>
              <w:t>x</w:t>
            </w:r>
          </w:p>
        </w:tc>
        <w:tc>
          <w:tcPr>
            <w:tcW w:w="225" w:type="pct"/>
            <w:vAlign w:val="center"/>
          </w:tcPr>
          <w:p w14:paraId="2642E411" w14:textId="77777777" w:rsidR="001D4FCA" w:rsidRDefault="001D4FCA" w:rsidP="0025750E">
            <w:pPr>
              <w:jc w:val="center"/>
              <w:rPr>
                <w:rFonts w:ascii="Calibri" w:hAnsi="Calibri"/>
                <w:color w:val="000000"/>
              </w:rPr>
            </w:pPr>
            <w:r>
              <w:rPr>
                <w:rFonts w:ascii="Calibri" w:hAnsi="Calibri"/>
                <w:color w:val="000000"/>
              </w:rPr>
              <w:t>x</w:t>
            </w:r>
          </w:p>
        </w:tc>
      </w:tr>
      <w:tr w:rsidR="001D4FCA" w:rsidRPr="0077324A" w14:paraId="334EF3FF" w14:textId="77777777" w:rsidTr="001D4FCA">
        <w:trPr>
          <w:trHeight w:val="805"/>
        </w:trPr>
        <w:tc>
          <w:tcPr>
            <w:tcW w:w="3710" w:type="pct"/>
          </w:tcPr>
          <w:p w14:paraId="3C053DCA" w14:textId="77777777" w:rsidR="001D4FCA" w:rsidRDefault="001D4FCA" w:rsidP="00F95D2A">
            <w:pPr>
              <w:rPr>
                <w:rFonts w:ascii="Calibri" w:hAnsi="Calibri"/>
                <w:color w:val="000000"/>
                <w:sz w:val="18"/>
                <w:szCs w:val="18"/>
              </w:rPr>
            </w:pPr>
            <w:r>
              <w:rPr>
                <w:rFonts w:ascii="Calibri" w:hAnsi="Calibri"/>
                <w:color w:val="000000"/>
                <w:sz w:val="18"/>
                <w:szCs w:val="18"/>
              </w:rPr>
              <w:t>Coordinación entre INSAFOR y Sociedad civil, en el accionar de la Mesa de VIH) para la obtención de fondos para fortalecimiento de capacidades.</w:t>
            </w:r>
          </w:p>
        </w:tc>
        <w:tc>
          <w:tcPr>
            <w:tcW w:w="261" w:type="pct"/>
            <w:vAlign w:val="center"/>
          </w:tcPr>
          <w:p w14:paraId="30203CD6" w14:textId="77777777" w:rsidR="001D4FCA" w:rsidRDefault="001D4FCA" w:rsidP="00F95D2A">
            <w:pPr>
              <w:jc w:val="center"/>
              <w:rPr>
                <w:rFonts w:ascii="Calibri" w:hAnsi="Calibri"/>
                <w:color w:val="000000"/>
              </w:rPr>
            </w:pPr>
            <w:r>
              <w:rPr>
                <w:rFonts w:ascii="Calibri" w:hAnsi="Calibri"/>
                <w:color w:val="000000"/>
              </w:rPr>
              <w:t>x</w:t>
            </w:r>
          </w:p>
        </w:tc>
        <w:tc>
          <w:tcPr>
            <w:tcW w:w="268" w:type="pct"/>
            <w:vAlign w:val="center"/>
          </w:tcPr>
          <w:p w14:paraId="5FCA9809" w14:textId="77777777" w:rsidR="001D4FCA" w:rsidRDefault="001D4FCA" w:rsidP="00F95D2A">
            <w:pPr>
              <w:jc w:val="center"/>
              <w:rPr>
                <w:rFonts w:ascii="Calibri" w:hAnsi="Calibri"/>
                <w:color w:val="000000"/>
              </w:rPr>
            </w:pPr>
            <w:r>
              <w:rPr>
                <w:rFonts w:ascii="Calibri" w:hAnsi="Calibri"/>
                <w:color w:val="000000"/>
              </w:rPr>
              <w:t>x</w:t>
            </w:r>
          </w:p>
        </w:tc>
        <w:tc>
          <w:tcPr>
            <w:tcW w:w="268" w:type="pct"/>
            <w:vAlign w:val="center"/>
          </w:tcPr>
          <w:p w14:paraId="7A37773E" w14:textId="77777777" w:rsidR="001D4FCA" w:rsidRDefault="001D4FCA" w:rsidP="00F95D2A">
            <w:pPr>
              <w:jc w:val="center"/>
              <w:rPr>
                <w:rFonts w:ascii="Calibri" w:hAnsi="Calibri"/>
                <w:color w:val="000000"/>
              </w:rPr>
            </w:pPr>
            <w:r>
              <w:rPr>
                <w:rFonts w:ascii="Calibri" w:hAnsi="Calibri"/>
                <w:color w:val="000000"/>
              </w:rPr>
              <w:t>x</w:t>
            </w:r>
          </w:p>
        </w:tc>
        <w:tc>
          <w:tcPr>
            <w:tcW w:w="268" w:type="pct"/>
            <w:vAlign w:val="center"/>
          </w:tcPr>
          <w:p w14:paraId="3CE68DE5" w14:textId="77777777" w:rsidR="001D4FCA" w:rsidRDefault="001D4FCA" w:rsidP="00F95D2A">
            <w:pPr>
              <w:jc w:val="center"/>
              <w:rPr>
                <w:rFonts w:ascii="Calibri" w:hAnsi="Calibri"/>
                <w:color w:val="000000"/>
              </w:rPr>
            </w:pPr>
            <w:r>
              <w:rPr>
                <w:rFonts w:ascii="Calibri" w:hAnsi="Calibri"/>
                <w:color w:val="000000"/>
              </w:rPr>
              <w:t>x</w:t>
            </w:r>
          </w:p>
        </w:tc>
        <w:tc>
          <w:tcPr>
            <w:tcW w:w="225" w:type="pct"/>
            <w:vAlign w:val="center"/>
          </w:tcPr>
          <w:p w14:paraId="73DE5425" w14:textId="77777777" w:rsidR="001D4FCA" w:rsidRDefault="001D4FCA" w:rsidP="00F95D2A">
            <w:pPr>
              <w:jc w:val="center"/>
              <w:rPr>
                <w:rFonts w:ascii="Calibri" w:hAnsi="Calibri"/>
                <w:color w:val="000000"/>
              </w:rPr>
            </w:pPr>
            <w:r>
              <w:rPr>
                <w:rFonts w:ascii="Calibri" w:hAnsi="Calibri"/>
                <w:color w:val="000000"/>
              </w:rPr>
              <w:t>x</w:t>
            </w:r>
          </w:p>
        </w:tc>
      </w:tr>
    </w:tbl>
    <w:p w14:paraId="76F34E7B" w14:textId="77777777" w:rsidR="002232A8" w:rsidRDefault="002232A8"/>
    <w:p w14:paraId="6F16C482" w14:textId="77777777" w:rsidR="009F637A" w:rsidRDefault="009F637A"/>
    <w:p w14:paraId="577DAAEF" w14:textId="77777777" w:rsidR="00964A5A" w:rsidRDefault="00964A5A"/>
    <w:p w14:paraId="0B136879" w14:textId="77777777" w:rsidR="000B6A72" w:rsidRDefault="000B6A72"/>
    <w:p w14:paraId="029B8EAD" w14:textId="77777777" w:rsidR="000B6A72" w:rsidRDefault="000B6A72"/>
    <w:p w14:paraId="24BD367A" w14:textId="77777777" w:rsidR="004F3984" w:rsidRDefault="002E37AF" w:rsidP="008131CF">
      <w:pPr>
        <w:pStyle w:val="Ttulo3"/>
        <w:rPr>
          <w:lang w:val="es-MX"/>
        </w:rPr>
      </w:pPr>
      <w:bookmarkStart w:id="24" w:name="_Toc15275141"/>
      <w:bookmarkStart w:id="25" w:name="_GoBack"/>
      <w:r w:rsidRPr="008D5BA7">
        <w:rPr>
          <w:lang w:val="es-MX"/>
        </w:rPr>
        <w:lastRenderedPageBreak/>
        <w:t>3.5.2</w:t>
      </w:r>
      <w:r w:rsidR="002F40B9" w:rsidRPr="008D5BA7">
        <w:rPr>
          <w:lang w:val="es-MX"/>
        </w:rPr>
        <w:t xml:space="preserve"> </w:t>
      </w:r>
      <w:r w:rsidRPr="008D5BA7">
        <w:rPr>
          <w:lang w:val="es-MX"/>
        </w:rPr>
        <w:t>Ámbito técnico-</w:t>
      </w:r>
      <w:r w:rsidRPr="008D5BA7">
        <w:t>programático</w:t>
      </w:r>
      <w:bookmarkEnd w:id="24"/>
    </w:p>
    <w:bookmarkEnd w:id="25"/>
    <w:p w14:paraId="09DF9F92" w14:textId="77777777" w:rsidR="004F3984" w:rsidRDefault="004F3984" w:rsidP="002F40B9">
      <w:pPr>
        <w:pStyle w:val="Ttulo2"/>
        <w:rPr>
          <w:rFonts w:ascii="Times New Roman" w:hAnsi="Times New Roman" w:cs="Times New Roman"/>
          <w:b/>
          <w:color w:val="auto"/>
          <w:sz w:val="24"/>
          <w:szCs w:val="24"/>
          <w:lang w:val="es-MX"/>
        </w:rPr>
      </w:pPr>
    </w:p>
    <w:p w14:paraId="62F965D3" w14:textId="77777777" w:rsidR="004F10BB" w:rsidRPr="00126C49" w:rsidRDefault="008D5BA7" w:rsidP="008D5BA7">
      <w:pPr>
        <w:rPr>
          <w:lang w:val="es-MX"/>
        </w:rPr>
      </w:pPr>
      <w:r>
        <w:rPr>
          <w:lang w:val="es-MX"/>
        </w:rPr>
        <w:t xml:space="preserve">3.5.2.1 </w:t>
      </w:r>
      <w:r w:rsidR="004F10BB" w:rsidRPr="00126C49">
        <w:rPr>
          <w:lang w:val="es-MX"/>
        </w:rPr>
        <w:t>Optimización y asignación Costo</w:t>
      </w:r>
      <w:r w:rsidR="009C45C5" w:rsidRPr="00126C49">
        <w:rPr>
          <w:lang w:val="es-MX"/>
        </w:rPr>
        <w:t>-</w:t>
      </w:r>
      <w:r w:rsidR="004F10BB" w:rsidRPr="00126C49">
        <w:rPr>
          <w:lang w:val="es-MX"/>
        </w:rPr>
        <w:t>Efectiva</w:t>
      </w:r>
    </w:p>
    <w:p w14:paraId="14C43BED" w14:textId="77777777" w:rsidR="00047B1F" w:rsidRDefault="00047B1F" w:rsidP="00047B1F">
      <w:pPr>
        <w:spacing w:after="0" w:line="240" w:lineRule="auto"/>
        <w:rPr>
          <w:rFonts w:ascii="Times New Roman" w:hAnsi="Times New Roman" w:cs="Times New Roman"/>
          <w:b/>
          <w:sz w:val="24"/>
          <w:szCs w:val="24"/>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2"/>
        <w:gridCol w:w="3160"/>
        <w:gridCol w:w="1276"/>
        <w:gridCol w:w="1840"/>
        <w:gridCol w:w="1824"/>
        <w:gridCol w:w="1832"/>
      </w:tblGrid>
      <w:tr w:rsidR="001B56B3" w:rsidRPr="00047B1F" w14:paraId="187DFEEF" w14:textId="77777777" w:rsidTr="00964A5A">
        <w:trPr>
          <w:trHeight w:val="610"/>
        </w:trPr>
        <w:tc>
          <w:tcPr>
            <w:tcW w:w="1178" w:type="pct"/>
            <w:shd w:val="clear" w:color="auto" w:fill="FFE599" w:themeFill="accent4" w:themeFillTint="66"/>
            <w:hideMark/>
          </w:tcPr>
          <w:p w14:paraId="473BB8A2" w14:textId="77777777" w:rsidR="001B56B3" w:rsidRPr="00047B1F" w:rsidRDefault="001B56B3" w:rsidP="00047B1F">
            <w:pPr>
              <w:spacing w:after="0" w:line="240" w:lineRule="auto"/>
              <w:jc w:val="center"/>
              <w:rPr>
                <w:rFonts w:ascii="Calibri" w:eastAsia="Times New Roman" w:hAnsi="Calibri" w:cs="Times New Roman"/>
                <w:b/>
                <w:bCs/>
                <w:color w:val="000000"/>
                <w:sz w:val="18"/>
                <w:szCs w:val="18"/>
                <w:lang w:val="es-SV" w:eastAsia="es-SV"/>
              </w:rPr>
            </w:pPr>
            <w:r w:rsidRPr="00047B1F">
              <w:rPr>
                <w:rFonts w:ascii="Calibri" w:eastAsia="Times New Roman" w:hAnsi="Calibri" w:cs="Times New Roman"/>
                <w:b/>
                <w:bCs/>
                <w:color w:val="000000"/>
                <w:sz w:val="18"/>
                <w:szCs w:val="18"/>
                <w:lang w:val="es-SV" w:eastAsia="es-SV"/>
              </w:rPr>
              <w:t xml:space="preserve">Líneas de acción de la estrategia </w:t>
            </w:r>
          </w:p>
        </w:tc>
        <w:tc>
          <w:tcPr>
            <w:tcW w:w="1216" w:type="pct"/>
            <w:shd w:val="clear" w:color="auto" w:fill="FFE599" w:themeFill="accent4" w:themeFillTint="66"/>
            <w:hideMark/>
          </w:tcPr>
          <w:p w14:paraId="5926E7E8" w14:textId="77777777" w:rsidR="001B56B3" w:rsidRPr="00047B1F" w:rsidRDefault="001B56B3" w:rsidP="00047B1F">
            <w:pPr>
              <w:spacing w:after="0" w:line="240" w:lineRule="auto"/>
              <w:jc w:val="center"/>
              <w:rPr>
                <w:rFonts w:ascii="Calibri" w:eastAsia="Times New Roman" w:hAnsi="Calibri" w:cs="Times New Roman"/>
                <w:b/>
                <w:bCs/>
                <w:color w:val="000000"/>
                <w:sz w:val="18"/>
                <w:szCs w:val="18"/>
                <w:lang w:val="es-SV" w:eastAsia="es-SV"/>
              </w:rPr>
            </w:pPr>
            <w:r w:rsidRPr="00047B1F">
              <w:rPr>
                <w:rFonts w:ascii="Calibri" w:eastAsia="Times New Roman" w:hAnsi="Calibri" w:cs="Times New Roman"/>
                <w:b/>
                <w:bCs/>
                <w:color w:val="000000"/>
                <w:sz w:val="18"/>
                <w:szCs w:val="18"/>
                <w:lang w:val="es-SV" w:eastAsia="es-SV"/>
              </w:rPr>
              <w:t>Situación actual</w:t>
            </w:r>
          </w:p>
        </w:tc>
        <w:tc>
          <w:tcPr>
            <w:tcW w:w="491" w:type="pct"/>
            <w:shd w:val="clear" w:color="auto" w:fill="FFE599" w:themeFill="accent4" w:themeFillTint="66"/>
            <w:hideMark/>
          </w:tcPr>
          <w:p w14:paraId="449B8CF1" w14:textId="77777777" w:rsidR="001B56B3" w:rsidRPr="00047B1F" w:rsidRDefault="001B56B3" w:rsidP="00047B1F">
            <w:pPr>
              <w:spacing w:after="0" w:line="240" w:lineRule="auto"/>
              <w:jc w:val="center"/>
              <w:rPr>
                <w:rFonts w:ascii="Calibri" w:eastAsia="Times New Roman" w:hAnsi="Calibri" w:cs="Times New Roman"/>
                <w:b/>
                <w:bCs/>
                <w:color w:val="000000"/>
                <w:sz w:val="18"/>
                <w:szCs w:val="18"/>
                <w:lang w:val="es-SV" w:eastAsia="es-SV"/>
              </w:rPr>
            </w:pPr>
            <w:r w:rsidRPr="00047B1F">
              <w:rPr>
                <w:rFonts w:ascii="Calibri" w:eastAsia="Times New Roman" w:hAnsi="Calibri" w:cs="Times New Roman"/>
                <w:b/>
                <w:bCs/>
                <w:color w:val="000000"/>
                <w:sz w:val="18"/>
                <w:szCs w:val="18"/>
                <w:lang w:val="es-SV" w:eastAsia="es-SV"/>
              </w:rPr>
              <w:t xml:space="preserve">Oportunidades </w:t>
            </w:r>
          </w:p>
          <w:p w14:paraId="1E7AD557" w14:textId="77777777" w:rsidR="001B56B3" w:rsidRPr="00047B1F" w:rsidRDefault="001B56B3" w:rsidP="00047B1F">
            <w:pPr>
              <w:spacing w:after="0" w:line="240" w:lineRule="auto"/>
              <w:jc w:val="center"/>
              <w:rPr>
                <w:rFonts w:ascii="Calibri" w:eastAsia="Times New Roman" w:hAnsi="Calibri" w:cs="Times New Roman"/>
                <w:b/>
                <w:bCs/>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c>
          <w:tcPr>
            <w:tcW w:w="708" w:type="pct"/>
            <w:shd w:val="clear" w:color="auto" w:fill="FFE599" w:themeFill="accent4" w:themeFillTint="66"/>
            <w:hideMark/>
          </w:tcPr>
          <w:p w14:paraId="695731A3" w14:textId="77777777" w:rsidR="001B56B3" w:rsidRPr="00047B1F" w:rsidRDefault="001B56B3" w:rsidP="00047B1F">
            <w:pPr>
              <w:spacing w:after="0" w:line="240" w:lineRule="auto"/>
              <w:jc w:val="center"/>
              <w:rPr>
                <w:rFonts w:ascii="Calibri" w:eastAsia="Times New Roman" w:hAnsi="Calibri" w:cs="Times New Roman"/>
                <w:b/>
                <w:bCs/>
                <w:color w:val="000000"/>
                <w:sz w:val="18"/>
                <w:szCs w:val="18"/>
                <w:lang w:val="es-SV" w:eastAsia="es-SV"/>
              </w:rPr>
            </w:pPr>
            <w:r w:rsidRPr="00047B1F">
              <w:rPr>
                <w:rFonts w:ascii="Calibri" w:eastAsia="Times New Roman" w:hAnsi="Calibri" w:cs="Times New Roman"/>
                <w:b/>
                <w:bCs/>
                <w:color w:val="000000"/>
                <w:sz w:val="18"/>
                <w:szCs w:val="18"/>
                <w:lang w:val="es-SV" w:eastAsia="es-SV"/>
              </w:rPr>
              <w:t>Desafíos</w:t>
            </w:r>
          </w:p>
        </w:tc>
        <w:tc>
          <w:tcPr>
            <w:tcW w:w="702" w:type="pct"/>
            <w:shd w:val="clear" w:color="auto" w:fill="FFE599" w:themeFill="accent4" w:themeFillTint="66"/>
            <w:hideMark/>
          </w:tcPr>
          <w:p w14:paraId="51181B8C" w14:textId="77777777" w:rsidR="001B56B3" w:rsidRPr="00047B1F" w:rsidRDefault="001B56B3" w:rsidP="00047B1F">
            <w:pPr>
              <w:spacing w:after="0" w:line="240" w:lineRule="auto"/>
              <w:jc w:val="center"/>
              <w:rPr>
                <w:rFonts w:ascii="Calibri" w:eastAsia="Times New Roman" w:hAnsi="Calibri" w:cs="Times New Roman"/>
                <w:b/>
                <w:bCs/>
                <w:color w:val="000000"/>
                <w:sz w:val="18"/>
                <w:szCs w:val="18"/>
                <w:lang w:val="es-SV" w:eastAsia="es-SV"/>
              </w:rPr>
            </w:pPr>
            <w:r w:rsidRPr="00047B1F">
              <w:rPr>
                <w:rFonts w:ascii="Calibri" w:eastAsia="Times New Roman" w:hAnsi="Calibri" w:cs="Times New Roman"/>
                <w:b/>
                <w:bCs/>
                <w:color w:val="000000"/>
                <w:sz w:val="18"/>
                <w:szCs w:val="18"/>
                <w:lang w:val="es-SV" w:eastAsia="es-SV"/>
              </w:rPr>
              <w:t xml:space="preserve"> Meta  (en base a brechas y prioridades) </w:t>
            </w:r>
          </w:p>
        </w:tc>
        <w:tc>
          <w:tcPr>
            <w:tcW w:w="705" w:type="pct"/>
            <w:shd w:val="clear" w:color="auto" w:fill="FFE599" w:themeFill="accent4" w:themeFillTint="66"/>
            <w:vAlign w:val="center"/>
            <w:hideMark/>
          </w:tcPr>
          <w:p w14:paraId="24E5A1D4" w14:textId="77777777" w:rsidR="001B56B3" w:rsidRPr="00047B1F" w:rsidRDefault="001B56B3" w:rsidP="00047B1F">
            <w:pPr>
              <w:spacing w:after="0" w:line="240" w:lineRule="auto"/>
              <w:jc w:val="center"/>
              <w:rPr>
                <w:rFonts w:ascii="Calibri" w:eastAsia="Times New Roman" w:hAnsi="Calibri" w:cs="Times New Roman"/>
                <w:b/>
                <w:bCs/>
                <w:color w:val="000000"/>
                <w:sz w:val="18"/>
                <w:szCs w:val="18"/>
                <w:lang w:val="es-SV" w:eastAsia="es-SV"/>
              </w:rPr>
            </w:pPr>
            <w:r w:rsidRPr="00047B1F">
              <w:rPr>
                <w:rFonts w:ascii="Calibri" w:eastAsia="Times New Roman" w:hAnsi="Calibri" w:cs="Times New Roman"/>
                <w:b/>
                <w:bCs/>
                <w:color w:val="000000"/>
                <w:sz w:val="18"/>
                <w:szCs w:val="18"/>
                <w:lang w:val="es-SV" w:eastAsia="es-SV"/>
              </w:rPr>
              <w:t>Responsables de actividades</w:t>
            </w:r>
          </w:p>
        </w:tc>
      </w:tr>
      <w:tr w:rsidR="00047B1F" w:rsidRPr="00047B1F" w14:paraId="5D472CEA" w14:textId="77777777" w:rsidTr="00964A5A">
        <w:trPr>
          <w:trHeight w:val="3329"/>
        </w:trPr>
        <w:tc>
          <w:tcPr>
            <w:tcW w:w="1178" w:type="pct"/>
            <w:shd w:val="clear" w:color="auto" w:fill="auto"/>
            <w:hideMark/>
          </w:tcPr>
          <w:p w14:paraId="34A9E427" w14:textId="77777777" w:rsidR="00047B1F" w:rsidRPr="00211FE5" w:rsidRDefault="00047B1F" w:rsidP="00047B1F">
            <w:pPr>
              <w:spacing w:after="0" w:line="240" w:lineRule="auto"/>
              <w:rPr>
                <w:rFonts w:ascii="Calibri" w:eastAsia="Times New Roman" w:hAnsi="Calibri" w:cs="Times New Roman"/>
                <w:b/>
                <w:bCs/>
                <w:color w:val="000000"/>
                <w:sz w:val="16"/>
                <w:szCs w:val="16"/>
                <w:lang w:val="es-SV" w:eastAsia="es-SV"/>
              </w:rPr>
            </w:pPr>
            <w:r w:rsidRPr="00211FE5">
              <w:rPr>
                <w:rFonts w:ascii="Calibri" w:eastAsia="Times New Roman" w:hAnsi="Calibri" w:cs="Times New Roman"/>
                <w:b/>
                <w:bCs/>
                <w:color w:val="000000"/>
                <w:sz w:val="16"/>
                <w:szCs w:val="16"/>
                <w:lang w:val="es-SV" w:eastAsia="es-SV"/>
              </w:rPr>
              <w:t>1.Reducción de costos mediante el rediseño de programas para la disminución de actividades de baja prioridad que no provocan impacto en el control de  la epidemia, la reducción en el número de nuevas infecciones por VIH y la eliminación del sida,  y movilizarlos a intervenciones costo-efectivas</w:t>
            </w:r>
          </w:p>
        </w:tc>
        <w:tc>
          <w:tcPr>
            <w:tcW w:w="1216" w:type="pct"/>
            <w:shd w:val="clear" w:color="auto" w:fill="auto"/>
            <w:hideMark/>
          </w:tcPr>
          <w:p w14:paraId="74A27106" w14:textId="77777777" w:rsidR="00047B1F" w:rsidRPr="00211FE5" w:rsidRDefault="00047B1F" w:rsidP="00047B1F">
            <w:pPr>
              <w:spacing w:after="0" w:line="240" w:lineRule="auto"/>
              <w:rPr>
                <w:rFonts w:ascii="Calibri" w:eastAsia="Times New Roman" w:hAnsi="Calibri" w:cs="Times New Roman"/>
                <w:color w:val="000000"/>
                <w:sz w:val="16"/>
                <w:szCs w:val="16"/>
                <w:lang w:val="es-SV" w:eastAsia="es-SV"/>
              </w:rPr>
            </w:pPr>
            <w:r w:rsidRPr="00211FE5">
              <w:rPr>
                <w:rFonts w:ascii="Calibri" w:eastAsia="Times New Roman" w:hAnsi="Calibri" w:cs="Times New Roman"/>
                <w:color w:val="000000"/>
                <w:sz w:val="16"/>
                <w:szCs w:val="16"/>
                <w:lang w:val="es-SV" w:eastAsia="es-SV"/>
              </w:rPr>
              <w:t>Actualmente están diseñadas acciones en el Plan Estratégico Nacional Multisectorial que corresponden a poblaciones clave;  acciones de prevención en población general (condones, ITS, CPV, PTMI, medios de comunicación masiva, maestros en el sistema escolar y profilaxis de TB), acciones de prevención en cuidados de salud (sangre segura, inyecciones médicas, PPE); servicios de cuidado y tratamiento: tratamiento antirretroviral, servicios de atención y costos de servicios para atención de infecciones oportunistas; acciones de entorno favorable y acciones de políticas, monitoreo y evaluación, administración e Investigación. Fuente: Plan Estratégico Nacional Multisectorial 2016-2021</w:t>
            </w:r>
          </w:p>
        </w:tc>
        <w:tc>
          <w:tcPr>
            <w:tcW w:w="491" w:type="pct"/>
            <w:shd w:val="clear" w:color="auto" w:fill="auto"/>
            <w:hideMark/>
          </w:tcPr>
          <w:p w14:paraId="16D6F09D" w14:textId="77777777" w:rsidR="00047B1F" w:rsidRPr="00B40F4E" w:rsidRDefault="00047B1F" w:rsidP="00047B1F">
            <w:pPr>
              <w:spacing w:after="0" w:line="240" w:lineRule="auto"/>
              <w:rPr>
                <w:rFonts w:ascii="Calibri" w:eastAsia="Times New Roman" w:hAnsi="Calibri" w:cs="Times New Roman"/>
                <w:color w:val="000000"/>
                <w:sz w:val="16"/>
                <w:szCs w:val="16"/>
                <w:lang w:val="es-SV" w:eastAsia="es-SV"/>
              </w:rPr>
            </w:pPr>
            <w:r w:rsidRPr="00B40F4E">
              <w:rPr>
                <w:rFonts w:ascii="Calibri" w:eastAsia="Times New Roman" w:hAnsi="Calibri" w:cs="Times New Roman"/>
                <w:color w:val="000000"/>
                <w:sz w:val="16"/>
                <w:szCs w:val="16"/>
                <w:lang w:val="es-SV" w:eastAsia="es-SV"/>
              </w:rPr>
              <w:t>Identificar aquellas acciones de mayor impacto que contribuyan directamente a reducir la epidemia.</w:t>
            </w:r>
          </w:p>
        </w:tc>
        <w:tc>
          <w:tcPr>
            <w:tcW w:w="708" w:type="pct"/>
            <w:shd w:val="clear" w:color="auto" w:fill="auto"/>
            <w:hideMark/>
          </w:tcPr>
          <w:p w14:paraId="4ED96D35" w14:textId="77777777" w:rsidR="00047B1F" w:rsidRPr="00B40F4E" w:rsidRDefault="00047B1F" w:rsidP="00047B1F">
            <w:pPr>
              <w:spacing w:after="0" w:line="240" w:lineRule="auto"/>
              <w:rPr>
                <w:rFonts w:ascii="Calibri" w:eastAsia="Times New Roman" w:hAnsi="Calibri" w:cs="Times New Roman"/>
                <w:color w:val="000000"/>
                <w:sz w:val="16"/>
                <w:szCs w:val="16"/>
                <w:lang w:val="es-SV" w:eastAsia="es-SV"/>
              </w:rPr>
            </w:pPr>
            <w:r w:rsidRPr="00B40F4E">
              <w:rPr>
                <w:rFonts w:ascii="Calibri" w:eastAsia="Times New Roman" w:hAnsi="Calibri" w:cs="Times New Roman"/>
                <w:color w:val="000000"/>
                <w:sz w:val="16"/>
                <w:szCs w:val="16"/>
                <w:lang w:val="es-SV" w:eastAsia="es-SV"/>
              </w:rPr>
              <w:t>Hacer un análisis de cada intervención y el impacto causado en su desarrollo, de forma coordinada con múltiples actores.</w:t>
            </w:r>
          </w:p>
        </w:tc>
        <w:tc>
          <w:tcPr>
            <w:tcW w:w="702" w:type="pct"/>
            <w:shd w:val="clear" w:color="auto" w:fill="auto"/>
            <w:hideMark/>
          </w:tcPr>
          <w:p w14:paraId="063F709C" w14:textId="77777777" w:rsidR="00047B1F" w:rsidRPr="00B40F4E" w:rsidRDefault="00047B1F" w:rsidP="00047B1F">
            <w:pPr>
              <w:spacing w:after="0" w:line="240" w:lineRule="auto"/>
              <w:rPr>
                <w:rFonts w:ascii="Calibri" w:eastAsia="Times New Roman" w:hAnsi="Calibri" w:cs="Times New Roman"/>
                <w:color w:val="000000"/>
                <w:sz w:val="16"/>
                <w:szCs w:val="16"/>
                <w:lang w:val="es-SV" w:eastAsia="es-SV"/>
              </w:rPr>
            </w:pPr>
            <w:r w:rsidRPr="00B40F4E">
              <w:rPr>
                <w:rFonts w:ascii="Calibri" w:eastAsia="Times New Roman" w:hAnsi="Calibri" w:cs="Times New Roman"/>
                <w:color w:val="000000"/>
                <w:sz w:val="16"/>
                <w:szCs w:val="16"/>
                <w:lang w:val="es-SV" w:eastAsia="es-SV"/>
              </w:rPr>
              <w:t>Revisión de medio término del PENM 2016-2021 para la modificación o rediseño de acciones, para priorizar aquellas de mayor impacto en el control de la epidemia.</w:t>
            </w:r>
          </w:p>
          <w:p w14:paraId="4ACFC8CB" w14:textId="77777777" w:rsidR="006109F7" w:rsidRPr="00B40F4E" w:rsidRDefault="006109F7" w:rsidP="00047B1F">
            <w:pPr>
              <w:spacing w:after="0" w:line="240" w:lineRule="auto"/>
              <w:rPr>
                <w:rFonts w:ascii="Calibri" w:eastAsia="Times New Roman" w:hAnsi="Calibri" w:cs="Times New Roman"/>
                <w:color w:val="000000"/>
                <w:sz w:val="16"/>
                <w:szCs w:val="16"/>
                <w:lang w:val="es-SV" w:eastAsia="es-SV"/>
              </w:rPr>
            </w:pPr>
          </w:p>
          <w:p w14:paraId="2056EF76" w14:textId="77777777" w:rsidR="006109F7" w:rsidRPr="00B40F4E" w:rsidRDefault="006109F7" w:rsidP="00047B1F">
            <w:pPr>
              <w:spacing w:after="0" w:line="240" w:lineRule="auto"/>
              <w:rPr>
                <w:rFonts w:ascii="Calibri" w:eastAsia="Times New Roman" w:hAnsi="Calibri" w:cs="Times New Roman"/>
                <w:color w:val="000000"/>
                <w:sz w:val="16"/>
                <w:szCs w:val="16"/>
                <w:lang w:val="es-SV" w:eastAsia="es-SV"/>
              </w:rPr>
            </w:pPr>
            <w:r w:rsidRPr="00B40F4E">
              <w:rPr>
                <w:rFonts w:ascii="Calibri" w:eastAsia="Times New Roman" w:hAnsi="Calibri" w:cs="Times New Roman"/>
                <w:color w:val="000000"/>
                <w:sz w:val="16"/>
                <w:szCs w:val="16"/>
                <w:lang w:val="es-SV" w:eastAsia="es-SV"/>
              </w:rPr>
              <w:t>(Se realizará en el mes de mayo 2019)</w:t>
            </w:r>
          </w:p>
        </w:tc>
        <w:tc>
          <w:tcPr>
            <w:tcW w:w="705" w:type="pct"/>
            <w:shd w:val="clear" w:color="auto" w:fill="auto"/>
            <w:hideMark/>
          </w:tcPr>
          <w:p w14:paraId="422D41EE" w14:textId="77777777" w:rsidR="00047B1F" w:rsidRPr="00B40F4E" w:rsidRDefault="00047B1F" w:rsidP="00047B1F">
            <w:pPr>
              <w:spacing w:after="0" w:line="240" w:lineRule="auto"/>
              <w:rPr>
                <w:rFonts w:ascii="Calibri" w:eastAsia="Times New Roman" w:hAnsi="Calibri" w:cs="Times New Roman"/>
                <w:color w:val="000000"/>
                <w:sz w:val="16"/>
                <w:szCs w:val="16"/>
                <w:lang w:val="es-SV" w:eastAsia="es-SV"/>
              </w:rPr>
            </w:pPr>
            <w:r w:rsidRPr="00B40F4E">
              <w:rPr>
                <w:rFonts w:ascii="Calibri" w:eastAsia="Times New Roman" w:hAnsi="Calibri" w:cs="Times New Roman"/>
                <w:color w:val="000000"/>
                <w:sz w:val="16"/>
                <w:szCs w:val="16"/>
                <w:lang w:val="es-SV" w:eastAsia="es-SV"/>
              </w:rPr>
              <w:t>Subcomisión Nacional de M y E de CONAVIH, Programa de VIH, Sociedad Civil, Agencias de Cooperación.</w:t>
            </w:r>
          </w:p>
        </w:tc>
      </w:tr>
    </w:tbl>
    <w:p w14:paraId="0E92E49A" w14:textId="77777777" w:rsidR="001B56B3" w:rsidRDefault="001B56B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56"/>
        <w:gridCol w:w="505"/>
        <w:gridCol w:w="537"/>
        <w:gridCol w:w="558"/>
        <w:gridCol w:w="561"/>
        <w:gridCol w:w="564"/>
        <w:gridCol w:w="13"/>
      </w:tblGrid>
      <w:tr w:rsidR="00047B1F" w:rsidRPr="00047B1F" w14:paraId="48409988" w14:textId="77777777" w:rsidTr="001B56B3">
        <w:trPr>
          <w:trHeight w:val="350"/>
        </w:trPr>
        <w:tc>
          <w:tcPr>
            <w:tcW w:w="5000" w:type="pct"/>
            <w:gridSpan w:val="7"/>
            <w:shd w:val="clear" w:color="auto" w:fill="auto"/>
          </w:tcPr>
          <w:p w14:paraId="3458A862" w14:textId="77777777" w:rsidR="00047B1F" w:rsidRPr="00047B1F" w:rsidRDefault="00376B2F" w:rsidP="00047B1F">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 xml:space="preserve">Acciones / </w:t>
            </w:r>
            <w:r w:rsidRPr="00EE1739">
              <w:rPr>
                <w:rFonts w:ascii="Calibri" w:eastAsia="Times New Roman" w:hAnsi="Calibri" w:cs="Times New Roman"/>
                <w:b/>
                <w:color w:val="000000"/>
                <w:sz w:val="18"/>
                <w:szCs w:val="18"/>
                <w:lang w:val="es-SV" w:eastAsia="es-SV"/>
              </w:rPr>
              <w:t>Periodo de ejecución</w:t>
            </w:r>
          </w:p>
        </w:tc>
      </w:tr>
      <w:tr w:rsidR="0025750E" w:rsidRPr="00047B1F" w14:paraId="69FC0CAB" w14:textId="77777777" w:rsidTr="0025750E">
        <w:trPr>
          <w:gridAfter w:val="1"/>
          <w:wAfter w:w="5" w:type="pct"/>
          <w:trHeight w:val="258"/>
        </w:trPr>
        <w:tc>
          <w:tcPr>
            <w:tcW w:w="3947" w:type="pct"/>
            <w:shd w:val="clear" w:color="auto" w:fill="auto"/>
          </w:tcPr>
          <w:p w14:paraId="714EDFC1" w14:textId="77777777" w:rsidR="0025750E" w:rsidRPr="00047B1F" w:rsidRDefault="0025750E" w:rsidP="0025750E">
            <w:pPr>
              <w:spacing w:after="0" w:line="240" w:lineRule="auto"/>
              <w:rPr>
                <w:rFonts w:ascii="Calibri" w:eastAsia="Times New Roman" w:hAnsi="Calibri" w:cs="Times New Roman"/>
                <w:b/>
                <w:color w:val="000000"/>
                <w:sz w:val="18"/>
                <w:szCs w:val="18"/>
                <w:lang w:val="es-SV" w:eastAsia="es-SV"/>
              </w:rPr>
            </w:pPr>
          </w:p>
        </w:tc>
        <w:tc>
          <w:tcPr>
            <w:tcW w:w="193" w:type="pct"/>
            <w:shd w:val="clear" w:color="auto" w:fill="auto"/>
          </w:tcPr>
          <w:p w14:paraId="79EAD7C9" w14:textId="77777777" w:rsidR="0025750E" w:rsidRPr="00F925A9" w:rsidRDefault="0025750E"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2019</w:t>
            </w:r>
          </w:p>
          <w:p w14:paraId="416530C8" w14:textId="77777777" w:rsidR="0025750E" w:rsidRPr="00F925A9" w:rsidRDefault="0025750E" w:rsidP="0025750E">
            <w:pPr>
              <w:jc w:val="center"/>
              <w:rPr>
                <w:rFonts w:ascii="Calibri" w:eastAsia="Times New Roman" w:hAnsi="Calibri" w:cs="Times New Roman"/>
                <w:b/>
                <w:color w:val="000000"/>
                <w:sz w:val="18"/>
                <w:szCs w:val="18"/>
                <w:lang w:val="es-SV" w:eastAsia="es-SV"/>
              </w:rPr>
            </w:pPr>
          </w:p>
        </w:tc>
        <w:tc>
          <w:tcPr>
            <w:tcW w:w="207" w:type="pct"/>
            <w:shd w:val="clear" w:color="auto" w:fill="auto"/>
          </w:tcPr>
          <w:p w14:paraId="620D3EBF" w14:textId="77777777" w:rsidR="0025750E" w:rsidRPr="00F925A9" w:rsidRDefault="0025750E" w:rsidP="0025750E">
            <w:pP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2020</w:t>
            </w:r>
          </w:p>
        </w:tc>
        <w:tc>
          <w:tcPr>
            <w:tcW w:w="215" w:type="pct"/>
            <w:shd w:val="clear" w:color="auto" w:fill="auto"/>
          </w:tcPr>
          <w:p w14:paraId="312D1A47" w14:textId="77777777" w:rsidR="0025750E" w:rsidRPr="00F925A9" w:rsidRDefault="0025750E"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2021</w:t>
            </w:r>
          </w:p>
          <w:p w14:paraId="2A55D70F" w14:textId="77777777" w:rsidR="0025750E" w:rsidRPr="00F925A9" w:rsidRDefault="0025750E" w:rsidP="0025750E">
            <w:pPr>
              <w:jc w:val="center"/>
              <w:rPr>
                <w:rFonts w:ascii="Calibri" w:eastAsia="Times New Roman" w:hAnsi="Calibri" w:cs="Times New Roman"/>
                <w:b/>
                <w:color w:val="000000"/>
                <w:sz w:val="18"/>
                <w:szCs w:val="18"/>
                <w:lang w:val="es-SV" w:eastAsia="es-SV"/>
              </w:rPr>
            </w:pPr>
          </w:p>
        </w:tc>
        <w:tc>
          <w:tcPr>
            <w:tcW w:w="216" w:type="pct"/>
            <w:shd w:val="clear" w:color="auto" w:fill="auto"/>
          </w:tcPr>
          <w:p w14:paraId="3A2815F1" w14:textId="77777777" w:rsidR="0025750E" w:rsidRPr="00F925A9" w:rsidRDefault="0025750E"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2022</w:t>
            </w:r>
          </w:p>
          <w:p w14:paraId="2EDEA0EF" w14:textId="77777777" w:rsidR="0025750E" w:rsidRPr="00F925A9" w:rsidRDefault="0025750E" w:rsidP="0025750E">
            <w:pPr>
              <w:jc w:val="center"/>
              <w:rPr>
                <w:rFonts w:ascii="Calibri" w:eastAsia="Times New Roman" w:hAnsi="Calibri" w:cs="Times New Roman"/>
                <w:b/>
                <w:color w:val="000000"/>
                <w:sz w:val="18"/>
                <w:szCs w:val="18"/>
                <w:lang w:val="es-SV" w:eastAsia="es-SV"/>
              </w:rPr>
            </w:pPr>
          </w:p>
        </w:tc>
        <w:tc>
          <w:tcPr>
            <w:tcW w:w="217" w:type="pct"/>
            <w:shd w:val="clear" w:color="auto" w:fill="auto"/>
          </w:tcPr>
          <w:p w14:paraId="2DD0B742" w14:textId="77777777" w:rsidR="0025750E" w:rsidRPr="00F925A9" w:rsidRDefault="0025750E" w:rsidP="0025750E">
            <w:pPr>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2023</w:t>
            </w:r>
          </w:p>
          <w:p w14:paraId="3B132EED" w14:textId="77777777" w:rsidR="0025750E" w:rsidRPr="00F925A9" w:rsidRDefault="0025750E" w:rsidP="0025750E">
            <w:pPr>
              <w:jc w:val="center"/>
              <w:rPr>
                <w:rFonts w:ascii="Calibri" w:eastAsia="Times New Roman" w:hAnsi="Calibri" w:cs="Times New Roman"/>
                <w:b/>
                <w:color w:val="000000"/>
                <w:sz w:val="18"/>
                <w:szCs w:val="18"/>
                <w:lang w:val="es-SV" w:eastAsia="es-SV"/>
              </w:rPr>
            </w:pPr>
          </w:p>
        </w:tc>
      </w:tr>
      <w:tr w:rsidR="0025750E" w:rsidRPr="00047B1F" w14:paraId="5020AAC1" w14:textId="77777777" w:rsidTr="001B56B3">
        <w:trPr>
          <w:gridAfter w:val="1"/>
          <w:wAfter w:w="5" w:type="pct"/>
          <w:trHeight w:val="495"/>
        </w:trPr>
        <w:tc>
          <w:tcPr>
            <w:tcW w:w="3947" w:type="pct"/>
            <w:shd w:val="clear" w:color="auto" w:fill="auto"/>
            <w:hideMark/>
          </w:tcPr>
          <w:p w14:paraId="057EDC68" w14:textId="77777777" w:rsidR="0025750E" w:rsidRPr="00047B1F" w:rsidRDefault="0025750E" w:rsidP="0025750E">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Evaluación de medio término del PEN 2016- 2021 y priorización de actividades de mayor impacto.</w:t>
            </w:r>
          </w:p>
        </w:tc>
        <w:tc>
          <w:tcPr>
            <w:tcW w:w="193" w:type="pct"/>
            <w:shd w:val="clear" w:color="auto" w:fill="auto"/>
            <w:vAlign w:val="center"/>
            <w:hideMark/>
          </w:tcPr>
          <w:p w14:paraId="6EDA44EA" w14:textId="77777777" w:rsidR="0025750E" w:rsidRDefault="0025750E" w:rsidP="0025750E">
            <w:pPr>
              <w:rPr>
                <w:rFonts w:ascii="Calibri" w:hAnsi="Calibri"/>
                <w:color w:val="000000"/>
                <w:sz w:val="18"/>
                <w:szCs w:val="18"/>
              </w:rPr>
            </w:pPr>
            <w:r>
              <w:rPr>
                <w:rFonts w:ascii="Calibri" w:hAnsi="Calibri"/>
                <w:color w:val="000000"/>
                <w:sz w:val="18"/>
                <w:szCs w:val="18"/>
              </w:rPr>
              <w:t>X</w:t>
            </w:r>
          </w:p>
        </w:tc>
        <w:tc>
          <w:tcPr>
            <w:tcW w:w="207" w:type="pct"/>
            <w:shd w:val="clear" w:color="auto" w:fill="auto"/>
            <w:vAlign w:val="bottom"/>
            <w:hideMark/>
          </w:tcPr>
          <w:p w14:paraId="4692BB9F" w14:textId="77777777" w:rsidR="0025750E" w:rsidRDefault="0025750E" w:rsidP="0025750E">
            <w:pPr>
              <w:rPr>
                <w:rFonts w:ascii="Calibri" w:hAnsi="Calibri"/>
                <w:color w:val="000000"/>
              </w:rPr>
            </w:pPr>
            <w:r>
              <w:rPr>
                <w:rFonts w:ascii="Calibri" w:hAnsi="Calibri"/>
                <w:color w:val="000000"/>
              </w:rPr>
              <w:t> </w:t>
            </w:r>
          </w:p>
        </w:tc>
        <w:tc>
          <w:tcPr>
            <w:tcW w:w="215" w:type="pct"/>
            <w:shd w:val="clear" w:color="auto" w:fill="auto"/>
            <w:vAlign w:val="center"/>
            <w:hideMark/>
          </w:tcPr>
          <w:p w14:paraId="06348AEC" w14:textId="77777777" w:rsidR="0025750E" w:rsidRDefault="0025750E" w:rsidP="0025750E">
            <w:pPr>
              <w:rPr>
                <w:rFonts w:ascii="Calibri" w:hAnsi="Calibri"/>
                <w:color w:val="000000"/>
                <w:sz w:val="18"/>
                <w:szCs w:val="18"/>
              </w:rPr>
            </w:pPr>
            <w:r>
              <w:rPr>
                <w:rFonts w:ascii="Calibri" w:hAnsi="Calibri"/>
                <w:color w:val="000000"/>
                <w:sz w:val="18"/>
                <w:szCs w:val="18"/>
              </w:rPr>
              <w:t> </w:t>
            </w:r>
          </w:p>
        </w:tc>
        <w:tc>
          <w:tcPr>
            <w:tcW w:w="216" w:type="pct"/>
            <w:shd w:val="clear" w:color="auto" w:fill="auto"/>
            <w:vAlign w:val="bottom"/>
            <w:hideMark/>
          </w:tcPr>
          <w:p w14:paraId="28C23024" w14:textId="77777777" w:rsidR="0025750E" w:rsidRDefault="0025750E" w:rsidP="0025750E">
            <w:pPr>
              <w:rPr>
                <w:rFonts w:ascii="Calibri" w:hAnsi="Calibri"/>
                <w:color w:val="000000"/>
              </w:rPr>
            </w:pPr>
          </w:p>
        </w:tc>
        <w:tc>
          <w:tcPr>
            <w:tcW w:w="217" w:type="pct"/>
            <w:shd w:val="clear" w:color="auto" w:fill="auto"/>
            <w:vAlign w:val="center"/>
            <w:hideMark/>
          </w:tcPr>
          <w:p w14:paraId="3CBD9598" w14:textId="77777777" w:rsidR="0025750E" w:rsidRDefault="0025750E" w:rsidP="0025750E">
            <w:pPr>
              <w:rPr>
                <w:rFonts w:ascii="Calibri" w:hAnsi="Calibri"/>
                <w:color w:val="000000"/>
                <w:sz w:val="18"/>
                <w:szCs w:val="18"/>
              </w:rPr>
            </w:pPr>
            <w:r>
              <w:rPr>
                <w:rFonts w:ascii="Calibri" w:hAnsi="Calibri"/>
                <w:color w:val="000000"/>
                <w:sz w:val="18"/>
                <w:szCs w:val="18"/>
              </w:rPr>
              <w:t> </w:t>
            </w:r>
          </w:p>
        </w:tc>
      </w:tr>
      <w:tr w:rsidR="0025750E" w:rsidRPr="00047B1F" w14:paraId="46F7A68D" w14:textId="77777777" w:rsidTr="001B56B3">
        <w:trPr>
          <w:gridAfter w:val="1"/>
          <w:wAfter w:w="5" w:type="pct"/>
          <w:trHeight w:val="237"/>
        </w:trPr>
        <w:tc>
          <w:tcPr>
            <w:tcW w:w="3947" w:type="pct"/>
            <w:shd w:val="clear" w:color="auto" w:fill="auto"/>
            <w:hideMark/>
          </w:tcPr>
          <w:p w14:paraId="10439358" w14:textId="77777777" w:rsidR="0025750E" w:rsidRPr="00047B1F" w:rsidRDefault="0025750E" w:rsidP="0025750E">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Evaluación final del PEN 2016-2021 y análisis de las acciones priorizadas</w:t>
            </w:r>
          </w:p>
        </w:tc>
        <w:tc>
          <w:tcPr>
            <w:tcW w:w="193" w:type="pct"/>
            <w:shd w:val="clear" w:color="auto" w:fill="auto"/>
            <w:vAlign w:val="center"/>
            <w:hideMark/>
          </w:tcPr>
          <w:p w14:paraId="0B7859A9" w14:textId="77777777" w:rsidR="0025750E" w:rsidRDefault="0025750E" w:rsidP="0025750E">
            <w:pPr>
              <w:rPr>
                <w:rFonts w:ascii="Calibri" w:hAnsi="Calibri"/>
                <w:color w:val="000000"/>
                <w:sz w:val="18"/>
                <w:szCs w:val="18"/>
              </w:rPr>
            </w:pPr>
            <w:r>
              <w:rPr>
                <w:rFonts w:ascii="Calibri" w:hAnsi="Calibri"/>
                <w:color w:val="000000"/>
                <w:sz w:val="18"/>
                <w:szCs w:val="18"/>
              </w:rPr>
              <w:t> </w:t>
            </w:r>
          </w:p>
        </w:tc>
        <w:tc>
          <w:tcPr>
            <w:tcW w:w="207" w:type="pct"/>
            <w:shd w:val="clear" w:color="auto" w:fill="auto"/>
            <w:vAlign w:val="bottom"/>
            <w:hideMark/>
          </w:tcPr>
          <w:p w14:paraId="23144ED6" w14:textId="77777777" w:rsidR="0025750E" w:rsidRDefault="0025750E" w:rsidP="0025750E">
            <w:pPr>
              <w:rPr>
                <w:rFonts w:ascii="Calibri" w:hAnsi="Calibri"/>
                <w:color w:val="000000"/>
              </w:rPr>
            </w:pPr>
            <w:r>
              <w:rPr>
                <w:rFonts w:ascii="Calibri" w:hAnsi="Calibri"/>
                <w:color w:val="000000"/>
              </w:rPr>
              <w:t> </w:t>
            </w:r>
          </w:p>
        </w:tc>
        <w:tc>
          <w:tcPr>
            <w:tcW w:w="215" w:type="pct"/>
            <w:shd w:val="clear" w:color="auto" w:fill="auto"/>
            <w:vAlign w:val="center"/>
            <w:hideMark/>
          </w:tcPr>
          <w:p w14:paraId="5D21222F" w14:textId="77777777" w:rsidR="0025750E" w:rsidRDefault="0025750E" w:rsidP="0025750E">
            <w:pPr>
              <w:rPr>
                <w:rFonts w:ascii="Calibri" w:hAnsi="Calibri"/>
                <w:color w:val="000000"/>
                <w:sz w:val="18"/>
                <w:szCs w:val="18"/>
              </w:rPr>
            </w:pPr>
            <w:r>
              <w:rPr>
                <w:rFonts w:ascii="Calibri" w:hAnsi="Calibri"/>
                <w:color w:val="000000"/>
                <w:sz w:val="18"/>
                <w:szCs w:val="18"/>
              </w:rPr>
              <w:t> X</w:t>
            </w:r>
          </w:p>
        </w:tc>
        <w:tc>
          <w:tcPr>
            <w:tcW w:w="216" w:type="pct"/>
            <w:shd w:val="clear" w:color="auto" w:fill="auto"/>
            <w:vAlign w:val="bottom"/>
            <w:hideMark/>
          </w:tcPr>
          <w:p w14:paraId="5B2958FD" w14:textId="77777777" w:rsidR="0025750E" w:rsidRDefault="0025750E" w:rsidP="0025750E">
            <w:pPr>
              <w:rPr>
                <w:rFonts w:ascii="Calibri" w:hAnsi="Calibri"/>
                <w:color w:val="000000"/>
              </w:rPr>
            </w:pPr>
          </w:p>
        </w:tc>
        <w:tc>
          <w:tcPr>
            <w:tcW w:w="217" w:type="pct"/>
            <w:shd w:val="clear" w:color="auto" w:fill="auto"/>
            <w:vAlign w:val="center"/>
            <w:hideMark/>
          </w:tcPr>
          <w:p w14:paraId="5C47BBAC" w14:textId="77777777" w:rsidR="0025750E" w:rsidRDefault="0025750E" w:rsidP="0025750E">
            <w:pPr>
              <w:rPr>
                <w:rFonts w:ascii="Calibri" w:hAnsi="Calibri"/>
                <w:color w:val="000000"/>
                <w:sz w:val="18"/>
                <w:szCs w:val="18"/>
              </w:rPr>
            </w:pPr>
            <w:r>
              <w:rPr>
                <w:rFonts w:ascii="Calibri" w:hAnsi="Calibri"/>
                <w:color w:val="000000"/>
                <w:sz w:val="18"/>
                <w:szCs w:val="18"/>
              </w:rPr>
              <w:t> </w:t>
            </w:r>
          </w:p>
        </w:tc>
      </w:tr>
      <w:tr w:rsidR="0025750E" w:rsidRPr="00047B1F" w14:paraId="6AF4F260" w14:textId="77777777" w:rsidTr="001B56B3">
        <w:trPr>
          <w:gridAfter w:val="1"/>
          <w:wAfter w:w="5" w:type="pct"/>
          <w:trHeight w:val="495"/>
        </w:trPr>
        <w:tc>
          <w:tcPr>
            <w:tcW w:w="3947" w:type="pct"/>
            <w:shd w:val="clear" w:color="auto" w:fill="auto"/>
            <w:hideMark/>
          </w:tcPr>
          <w:p w14:paraId="25BD4CBC" w14:textId="77777777" w:rsidR="0025750E" w:rsidRPr="00047B1F" w:rsidRDefault="0025750E" w:rsidP="0025750E">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Elaboración del nuevo Plan Estratégico Nacional 2022-2027 con acciones priorizadas de mayor impacto</w:t>
            </w:r>
          </w:p>
        </w:tc>
        <w:tc>
          <w:tcPr>
            <w:tcW w:w="193" w:type="pct"/>
            <w:shd w:val="clear" w:color="auto" w:fill="auto"/>
            <w:vAlign w:val="center"/>
            <w:hideMark/>
          </w:tcPr>
          <w:p w14:paraId="6A359625" w14:textId="77777777" w:rsidR="0025750E" w:rsidRDefault="0025750E" w:rsidP="0025750E">
            <w:pPr>
              <w:rPr>
                <w:rFonts w:ascii="Calibri" w:hAnsi="Calibri"/>
                <w:color w:val="000000"/>
                <w:sz w:val="18"/>
                <w:szCs w:val="18"/>
              </w:rPr>
            </w:pPr>
            <w:r>
              <w:rPr>
                <w:rFonts w:ascii="Calibri" w:hAnsi="Calibri"/>
                <w:color w:val="000000"/>
                <w:sz w:val="18"/>
                <w:szCs w:val="18"/>
              </w:rPr>
              <w:t> </w:t>
            </w:r>
          </w:p>
        </w:tc>
        <w:tc>
          <w:tcPr>
            <w:tcW w:w="207" w:type="pct"/>
            <w:shd w:val="clear" w:color="auto" w:fill="auto"/>
            <w:vAlign w:val="bottom"/>
            <w:hideMark/>
          </w:tcPr>
          <w:p w14:paraId="24CDFF15" w14:textId="77777777" w:rsidR="0025750E" w:rsidRDefault="0025750E" w:rsidP="0025750E">
            <w:pPr>
              <w:rPr>
                <w:rFonts w:ascii="Calibri" w:hAnsi="Calibri"/>
                <w:color w:val="000000"/>
              </w:rPr>
            </w:pPr>
            <w:r>
              <w:rPr>
                <w:rFonts w:ascii="Calibri" w:hAnsi="Calibri"/>
                <w:color w:val="000000"/>
              </w:rPr>
              <w:t> </w:t>
            </w:r>
          </w:p>
        </w:tc>
        <w:tc>
          <w:tcPr>
            <w:tcW w:w="215" w:type="pct"/>
            <w:shd w:val="clear" w:color="auto" w:fill="auto"/>
            <w:vAlign w:val="center"/>
            <w:hideMark/>
          </w:tcPr>
          <w:p w14:paraId="0DBF82DA" w14:textId="77777777" w:rsidR="0025750E" w:rsidRDefault="0025750E" w:rsidP="0025750E">
            <w:pPr>
              <w:rPr>
                <w:rFonts w:ascii="Calibri" w:hAnsi="Calibri"/>
                <w:color w:val="000000"/>
                <w:sz w:val="18"/>
                <w:szCs w:val="18"/>
              </w:rPr>
            </w:pPr>
            <w:r>
              <w:rPr>
                <w:rFonts w:ascii="Calibri" w:hAnsi="Calibri"/>
                <w:color w:val="000000"/>
                <w:sz w:val="18"/>
                <w:szCs w:val="18"/>
              </w:rPr>
              <w:t> </w:t>
            </w:r>
          </w:p>
        </w:tc>
        <w:tc>
          <w:tcPr>
            <w:tcW w:w="216" w:type="pct"/>
            <w:shd w:val="clear" w:color="auto" w:fill="auto"/>
            <w:vAlign w:val="bottom"/>
            <w:hideMark/>
          </w:tcPr>
          <w:p w14:paraId="070B9DD8" w14:textId="77777777" w:rsidR="0025750E" w:rsidRDefault="0025750E" w:rsidP="0025750E">
            <w:pPr>
              <w:rPr>
                <w:rFonts w:ascii="Calibri" w:hAnsi="Calibri"/>
                <w:color w:val="000000"/>
              </w:rPr>
            </w:pPr>
            <w:r>
              <w:rPr>
                <w:rFonts w:ascii="Calibri" w:hAnsi="Calibri"/>
                <w:color w:val="000000"/>
              </w:rPr>
              <w:t>x</w:t>
            </w:r>
          </w:p>
        </w:tc>
        <w:tc>
          <w:tcPr>
            <w:tcW w:w="217" w:type="pct"/>
            <w:shd w:val="clear" w:color="auto" w:fill="auto"/>
            <w:vAlign w:val="center"/>
            <w:hideMark/>
          </w:tcPr>
          <w:p w14:paraId="63B3273B" w14:textId="77777777" w:rsidR="0025750E" w:rsidRDefault="0025750E" w:rsidP="0025750E">
            <w:pPr>
              <w:rPr>
                <w:rFonts w:ascii="Calibri" w:hAnsi="Calibri"/>
                <w:color w:val="000000"/>
                <w:sz w:val="18"/>
                <w:szCs w:val="18"/>
              </w:rPr>
            </w:pPr>
            <w:r>
              <w:rPr>
                <w:rFonts w:ascii="Calibri" w:hAnsi="Calibri"/>
                <w:color w:val="000000"/>
                <w:sz w:val="18"/>
                <w:szCs w:val="18"/>
              </w:rPr>
              <w:t> </w:t>
            </w:r>
          </w:p>
        </w:tc>
      </w:tr>
      <w:tr w:rsidR="0025750E" w:rsidRPr="00047B1F" w14:paraId="5076605F" w14:textId="77777777" w:rsidTr="001B56B3">
        <w:trPr>
          <w:gridAfter w:val="1"/>
          <w:wAfter w:w="5" w:type="pct"/>
          <w:trHeight w:val="495"/>
        </w:trPr>
        <w:tc>
          <w:tcPr>
            <w:tcW w:w="3947" w:type="pct"/>
            <w:shd w:val="clear" w:color="auto" w:fill="auto"/>
          </w:tcPr>
          <w:p w14:paraId="520334F3" w14:textId="77777777" w:rsidR="0025750E" w:rsidRPr="00047B1F" w:rsidRDefault="0025750E" w:rsidP="0025750E">
            <w:pPr>
              <w:spacing w:after="0" w:line="240" w:lineRule="auto"/>
              <w:rPr>
                <w:rFonts w:ascii="Calibri" w:eastAsia="Times New Roman" w:hAnsi="Calibri" w:cs="Times New Roman"/>
                <w:color w:val="000000"/>
                <w:sz w:val="18"/>
                <w:szCs w:val="18"/>
                <w:lang w:val="es-SV" w:eastAsia="es-SV"/>
              </w:rPr>
            </w:pPr>
            <w:r w:rsidRPr="00312362">
              <w:rPr>
                <w:rFonts w:ascii="Calibri" w:eastAsia="Times New Roman" w:hAnsi="Calibri" w:cs="Times New Roman"/>
                <w:color w:val="000000"/>
                <w:sz w:val="18"/>
                <w:szCs w:val="18"/>
                <w:lang w:val="es-SV" w:eastAsia="es-SV"/>
              </w:rPr>
              <w:lastRenderedPageBreak/>
              <w:t>Desarrollo de una adenda al PEN para integrar completamente la estrategia de Test &amp; Start y priorizar acc</w:t>
            </w:r>
            <w:r>
              <w:rPr>
                <w:rFonts w:ascii="Calibri" w:eastAsia="Times New Roman" w:hAnsi="Calibri" w:cs="Times New Roman"/>
                <w:color w:val="000000"/>
                <w:sz w:val="18"/>
                <w:szCs w:val="18"/>
                <w:lang w:val="es-SV" w:eastAsia="es-SV"/>
              </w:rPr>
              <w:t>i</w:t>
            </w:r>
            <w:r w:rsidRPr="00312362">
              <w:rPr>
                <w:rFonts w:ascii="Calibri" w:eastAsia="Times New Roman" w:hAnsi="Calibri" w:cs="Times New Roman"/>
                <w:color w:val="000000"/>
                <w:sz w:val="18"/>
                <w:szCs w:val="18"/>
                <w:lang w:val="es-SV" w:eastAsia="es-SV"/>
              </w:rPr>
              <w:t>ones de mayor impacto.</w:t>
            </w:r>
          </w:p>
        </w:tc>
        <w:tc>
          <w:tcPr>
            <w:tcW w:w="193" w:type="pct"/>
            <w:shd w:val="clear" w:color="auto" w:fill="auto"/>
            <w:vAlign w:val="center"/>
          </w:tcPr>
          <w:p w14:paraId="601333A7" w14:textId="77777777" w:rsidR="0025750E" w:rsidRDefault="0025750E" w:rsidP="0025750E">
            <w:pPr>
              <w:rPr>
                <w:rFonts w:ascii="Calibri" w:hAnsi="Calibri"/>
                <w:color w:val="000000"/>
                <w:sz w:val="18"/>
                <w:szCs w:val="18"/>
              </w:rPr>
            </w:pPr>
          </w:p>
        </w:tc>
        <w:tc>
          <w:tcPr>
            <w:tcW w:w="207" w:type="pct"/>
            <w:shd w:val="clear" w:color="auto" w:fill="auto"/>
            <w:vAlign w:val="bottom"/>
          </w:tcPr>
          <w:p w14:paraId="5BB184A7" w14:textId="77777777" w:rsidR="0025750E" w:rsidRDefault="0025750E" w:rsidP="0025750E">
            <w:pPr>
              <w:rPr>
                <w:rFonts w:ascii="Calibri" w:hAnsi="Calibri"/>
                <w:color w:val="000000"/>
              </w:rPr>
            </w:pPr>
          </w:p>
        </w:tc>
        <w:tc>
          <w:tcPr>
            <w:tcW w:w="215" w:type="pct"/>
            <w:shd w:val="clear" w:color="auto" w:fill="auto"/>
            <w:vAlign w:val="center"/>
          </w:tcPr>
          <w:p w14:paraId="443AE597" w14:textId="77777777" w:rsidR="0025750E" w:rsidRDefault="0025750E" w:rsidP="0025750E">
            <w:pPr>
              <w:rPr>
                <w:rFonts w:ascii="Calibri" w:hAnsi="Calibri"/>
                <w:color w:val="000000"/>
                <w:sz w:val="18"/>
                <w:szCs w:val="18"/>
              </w:rPr>
            </w:pPr>
          </w:p>
        </w:tc>
        <w:tc>
          <w:tcPr>
            <w:tcW w:w="216" w:type="pct"/>
            <w:shd w:val="clear" w:color="auto" w:fill="auto"/>
            <w:vAlign w:val="bottom"/>
          </w:tcPr>
          <w:p w14:paraId="2286B36A" w14:textId="77777777" w:rsidR="0025750E" w:rsidRDefault="0025750E" w:rsidP="0025750E">
            <w:pPr>
              <w:rPr>
                <w:rFonts w:ascii="Calibri" w:hAnsi="Calibri"/>
                <w:color w:val="000000"/>
              </w:rPr>
            </w:pPr>
            <w:r>
              <w:rPr>
                <w:rFonts w:ascii="Calibri" w:hAnsi="Calibri"/>
                <w:color w:val="000000"/>
              </w:rPr>
              <w:t>X</w:t>
            </w:r>
          </w:p>
        </w:tc>
        <w:tc>
          <w:tcPr>
            <w:tcW w:w="217" w:type="pct"/>
            <w:shd w:val="clear" w:color="auto" w:fill="auto"/>
            <w:vAlign w:val="center"/>
          </w:tcPr>
          <w:p w14:paraId="249DB004" w14:textId="77777777" w:rsidR="0025750E" w:rsidRDefault="0025750E" w:rsidP="0025750E">
            <w:pPr>
              <w:rPr>
                <w:rFonts w:ascii="Calibri" w:hAnsi="Calibri"/>
                <w:color w:val="000000"/>
                <w:sz w:val="18"/>
                <w:szCs w:val="18"/>
              </w:rPr>
            </w:pPr>
          </w:p>
        </w:tc>
      </w:tr>
    </w:tbl>
    <w:p w14:paraId="685BEAF6" w14:textId="77777777" w:rsidR="00211FE5" w:rsidRDefault="00211FE5"/>
    <w:p w14:paraId="2951C007" w14:textId="77777777" w:rsidR="00B40F4E" w:rsidRDefault="00B40F4E"/>
    <w:tbl>
      <w:tblPr>
        <w:tblW w:w="5000" w:type="pct"/>
        <w:tblCellMar>
          <w:left w:w="70" w:type="dxa"/>
          <w:right w:w="70" w:type="dxa"/>
        </w:tblCellMar>
        <w:tblLook w:val="04A0" w:firstRow="1" w:lastRow="0" w:firstColumn="1" w:lastColumn="0" w:noHBand="0" w:noVBand="1"/>
      </w:tblPr>
      <w:tblGrid>
        <w:gridCol w:w="3062"/>
        <w:gridCol w:w="2596"/>
        <w:gridCol w:w="1840"/>
        <w:gridCol w:w="1840"/>
        <w:gridCol w:w="1824"/>
        <w:gridCol w:w="1832"/>
      </w:tblGrid>
      <w:tr w:rsidR="005F7825" w:rsidRPr="0077324A" w14:paraId="4A25EAD1" w14:textId="77777777" w:rsidTr="001B56B3">
        <w:trPr>
          <w:trHeight w:val="823"/>
        </w:trPr>
        <w:tc>
          <w:tcPr>
            <w:tcW w:w="1178"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408C28" w14:textId="77777777" w:rsidR="005F7825" w:rsidRPr="005F7825" w:rsidRDefault="005F7825" w:rsidP="005F7825">
            <w:pPr>
              <w:rPr>
                <w:rFonts w:ascii="Calibri" w:eastAsia="Times New Roman" w:hAnsi="Calibri" w:cs="Times New Roman"/>
                <w:b/>
                <w:bCs/>
                <w:sz w:val="18"/>
                <w:szCs w:val="18"/>
                <w:lang w:val="es-SV" w:eastAsia="es-SV"/>
              </w:rPr>
            </w:pPr>
            <w:r w:rsidRPr="005F7825">
              <w:rPr>
                <w:rFonts w:ascii="Calibri" w:eastAsia="Times New Roman" w:hAnsi="Calibri" w:cs="Times New Roman"/>
                <w:b/>
                <w:bCs/>
                <w:sz w:val="18"/>
                <w:szCs w:val="18"/>
                <w:lang w:val="es-SV" w:eastAsia="es-SV"/>
              </w:rPr>
              <w:t xml:space="preserve">Líneas de acción de la estrategia </w:t>
            </w:r>
          </w:p>
        </w:tc>
        <w:tc>
          <w:tcPr>
            <w:tcW w:w="999"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74DBC8B" w14:textId="77777777" w:rsidR="005F7825" w:rsidRPr="005F7825" w:rsidRDefault="005F7825" w:rsidP="005F7825">
            <w:pPr>
              <w:rPr>
                <w:rFonts w:ascii="Calibri" w:eastAsia="Times New Roman" w:hAnsi="Calibri" w:cs="Times New Roman"/>
                <w:sz w:val="18"/>
                <w:szCs w:val="18"/>
                <w:lang w:val="es-SV" w:eastAsia="es-SV"/>
              </w:rPr>
            </w:pPr>
            <w:r w:rsidRPr="005F7825">
              <w:rPr>
                <w:rFonts w:ascii="Calibri" w:eastAsia="Times New Roman" w:hAnsi="Calibri" w:cs="Times New Roman"/>
                <w:sz w:val="18"/>
                <w:szCs w:val="18"/>
                <w:lang w:val="es-SV" w:eastAsia="es-SV"/>
              </w:rPr>
              <w:t>Situación actual</w:t>
            </w:r>
          </w:p>
          <w:p w14:paraId="4C46C416" w14:textId="77777777" w:rsidR="005F7825" w:rsidRPr="005F7825" w:rsidRDefault="005F7825" w:rsidP="00312362">
            <w:pPr>
              <w:rPr>
                <w:rFonts w:ascii="Calibri" w:eastAsia="Times New Roman" w:hAnsi="Calibri" w:cs="Times New Roman"/>
                <w:sz w:val="18"/>
                <w:szCs w:val="18"/>
                <w:lang w:val="es-SV" w:eastAsia="es-SV"/>
              </w:rPr>
            </w:pPr>
          </w:p>
        </w:tc>
        <w:tc>
          <w:tcPr>
            <w:tcW w:w="708"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1DD648C" w14:textId="77777777" w:rsidR="005F7825" w:rsidRPr="005F7825" w:rsidRDefault="005F7825" w:rsidP="005F7825">
            <w:pPr>
              <w:rPr>
                <w:rFonts w:ascii="Calibri" w:eastAsia="Times New Roman" w:hAnsi="Calibri" w:cs="Times New Roman"/>
                <w:sz w:val="18"/>
                <w:szCs w:val="18"/>
                <w:lang w:val="es-SV" w:eastAsia="es-SV"/>
              </w:rPr>
            </w:pPr>
            <w:r w:rsidRPr="005F7825">
              <w:rPr>
                <w:rFonts w:ascii="Calibri" w:eastAsia="Times New Roman" w:hAnsi="Calibri" w:cs="Times New Roman"/>
                <w:sz w:val="18"/>
                <w:szCs w:val="18"/>
                <w:lang w:val="es-SV" w:eastAsia="es-SV"/>
              </w:rPr>
              <w:t xml:space="preserve">Oportunidades </w:t>
            </w:r>
          </w:p>
          <w:p w14:paraId="35671F8F" w14:textId="77777777" w:rsidR="005F7825" w:rsidRPr="005F7825" w:rsidRDefault="005F7825" w:rsidP="005F7825">
            <w:pPr>
              <w:spacing w:after="0" w:line="240" w:lineRule="auto"/>
              <w:rPr>
                <w:rFonts w:ascii="Calibri" w:eastAsia="Times New Roman" w:hAnsi="Calibri" w:cs="Times New Roman"/>
                <w:sz w:val="18"/>
                <w:szCs w:val="18"/>
                <w:lang w:val="es-SV" w:eastAsia="es-SV"/>
              </w:rPr>
            </w:pPr>
            <w:r w:rsidRPr="005F7825">
              <w:rPr>
                <w:rFonts w:ascii="Calibri" w:eastAsia="Times New Roman" w:hAnsi="Calibri" w:cs="Times New Roman"/>
                <w:sz w:val="18"/>
                <w:szCs w:val="18"/>
                <w:lang w:val="es-SV" w:eastAsia="es-SV"/>
              </w:rPr>
              <w:t> </w:t>
            </w:r>
          </w:p>
        </w:tc>
        <w:tc>
          <w:tcPr>
            <w:tcW w:w="708"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0327C7A" w14:textId="77777777" w:rsidR="005F7825" w:rsidRPr="005F7825" w:rsidRDefault="005F7825" w:rsidP="005F7825">
            <w:pPr>
              <w:rPr>
                <w:rFonts w:ascii="Calibri" w:eastAsia="Times New Roman" w:hAnsi="Calibri" w:cs="Times New Roman"/>
                <w:sz w:val="18"/>
                <w:szCs w:val="18"/>
                <w:lang w:val="es-SV" w:eastAsia="es-SV"/>
              </w:rPr>
            </w:pPr>
            <w:r w:rsidRPr="005F7825">
              <w:rPr>
                <w:rFonts w:ascii="Calibri" w:eastAsia="Times New Roman" w:hAnsi="Calibri" w:cs="Times New Roman"/>
                <w:sz w:val="18"/>
                <w:szCs w:val="18"/>
                <w:lang w:val="es-SV" w:eastAsia="es-SV"/>
              </w:rPr>
              <w:t>Desafíos</w:t>
            </w:r>
          </w:p>
        </w:tc>
        <w:tc>
          <w:tcPr>
            <w:tcW w:w="702"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BDE31C2" w14:textId="77777777" w:rsidR="005F7825" w:rsidRPr="005F7825" w:rsidRDefault="005F7825" w:rsidP="005F7825">
            <w:pPr>
              <w:rPr>
                <w:rFonts w:ascii="Calibri" w:eastAsia="Times New Roman" w:hAnsi="Calibri" w:cs="Times New Roman"/>
                <w:sz w:val="18"/>
                <w:szCs w:val="18"/>
                <w:lang w:val="es-SV" w:eastAsia="es-SV"/>
              </w:rPr>
            </w:pPr>
            <w:r w:rsidRPr="005F7825">
              <w:rPr>
                <w:rFonts w:ascii="Calibri" w:eastAsia="Times New Roman" w:hAnsi="Calibri" w:cs="Times New Roman"/>
                <w:sz w:val="18"/>
                <w:szCs w:val="18"/>
                <w:lang w:val="es-SV" w:eastAsia="es-SV"/>
              </w:rPr>
              <w:t xml:space="preserve"> Meta (en base a brechas y prioridades) </w:t>
            </w:r>
          </w:p>
        </w:tc>
        <w:tc>
          <w:tcPr>
            <w:tcW w:w="705"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627A65C" w14:textId="77777777" w:rsidR="005F7825" w:rsidRPr="005F7825" w:rsidRDefault="005F7825" w:rsidP="005F7825">
            <w:pPr>
              <w:rPr>
                <w:rFonts w:ascii="Calibri" w:eastAsia="Times New Roman" w:hAnsi="Calibri" w:cs="Times New Roman"/>
                <w:sz w:val="18"/>
                <w:szCs w:val="18"/>
                <w:lang w:val="es-SV" w:eastAsia="es-SV"/>
              </w:rPr>
            </w:pPr>
            <w:r w:rsidRPr="005F7825">
              <w:rPr>
                <w:rFonts w:ascii="Calibri" w:eastAsia="Times New Roman" w:hAnsi="Calibri" w:cs="Times New Roman"/>
                <w:sz w:val="18"/>
                <w:szCs w:val="18"/>
                <w:lang w:val="es-SV" w:eastAsia="es-SV"/>
              </w:rPr>
              <w:t>Responsables de actividades</w:t>
            </w:r>
          </w:p>
        </w:tc>
      </w:tr>
      <w:tr w:rsidR="00047B1F" w:rsidRPr="00047B1F" w14:paraId="192F3982" w14:textId="77777777" w:rsidTr="00211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0"/>
        </w:trPr>
        <w:tc>
          <w:tcPr>
            <w:tcW w:w="1178" w:type="pct"/>
            <w:shd w:val="clear" w:color="auto" w:fill="auto"/>
            <w:hideMark/>
          </w:tcPr>
          <w:p w14:paraId="2BAE3423" w14:textId="77777777" w:rsidR="00047B1F" w:rsidRPr="00047B1F" w:rsidRDefault="00047B1F" w:rsidP="00047B1F">
            <w:pPr>
              <w:spacing w:after="0" w:line="240" w:lineRule="auto"/>
              <w:rPr>
                <w:rFonts w:ascii="Calibri" w:eastAsia="Times New Roman" w:hAnsi="Calibri" w:cs="Times New Roman"/>
                <w:b/>
                <w:bCs/>
                <w:sz w:val="18"/>
                <w:szCs w:val="18"/>
                <w:lang w:val="es-SV" w:eastAsia="es-SV"/>
              </w:rPr>
            </w:pPr>
            <w:r w:rsidRPr="00047B1F">
              <w:rPr>
                <w:rFonts w:ascii="Calibri" w:eastAsia="Times New Roman" w:hAnsi="Calibri" w:cs="Times New Roman"/>
                <w:b/>
                <w:bCs/>
                <w:sz w:val="18"/>
                <w:szCs w:val="18"/>
                <w:lang w:val="es-SV" w:eastAsia="es-SV"/>
              </w:rPr>
              <w:t xml:space="preserve">2. Aumento de la eficiencia y efectividad,  mediante el rediseño de acciones para fortalecer y ampliar cobertura de las intervenciones del continuo de la atención que tienen un impacto positivo en el control de la epidemia,  reduciendo la probabilidad de transmisión y evitando nuevas  infecciones por VIH </w:t>
            </w:r>
          </w:p>
        </w:tc>
        <w:tc>
          <w:tcPr>
            <w:tcW w:w="999" w:type="pct"/>
            <w:shd w:val="clear" w:color="auto" w:fill="auto"/>
            <w:hideMark/>
          </w:tcPr>
          <w:p w14:paraId="5512DEE2" w14:textId="77777777" w:rsidR="00047B1F" w:rsidRPr="00047B1F" w:rsidRDefault="00047B1F" w:rsidP="00047B1F">
            <w:pPr>
              <w:spacing w:after="0" w:line="240" w:lineRule="auto"/>
              <w:rPr>
                <w:rFonts w:ascii="Calibri" w:eastAsia="Times New Roman" w:hAnsi="Calibri" w:cs="Times New Roman"/>
                <w:sz w:val="18"/>
                <w:szCs w:val="18"/>
                <w:lang w:val="es-SV" w:eastAsia="es-SV"/>
              </w:rPr>
            </w:pPr>
            <w:r w:rsidRPr="00047B1F">
              <w:rPr>
                <w:rFonts w:ascii="Calibri" w:eastAsia="Times New Roman" w:hAnsi="Calibri" w:cs="Times New Roman"/>
                <w:sz w:val="18"/>
                <w:szCs w:val="18"/>
                <w:lang w:val="es-SV" w:eastAsia="es-SV"/>
              </w:rPr>
              <w:t xml:space="preserve">Servicios de salud centralizados en 20 Hospitales. </w:t>
            </w:r>
            <w:r w:rsidRPr="00047B1F">
              <w:rPr>
                <w:rFonts w:ascii="Calibri" w:eastAsia="Times New Roman" w:hAnsi="Calibri" w:cs="Times New Roman"/>
                <w:sz w:val="18"/>
                <w:szCs w:val="18"/>
                <w:lang w:val="es-SV" w:eastAsia="es-SV"/>
              </w:rPr>
              <w:br/>
              <w:t>No hay diferenciación de servic</w:t>
            </w:r>
            <w:r w:rsidR="001B56B3">
              <w:rPr>
                <w:rFonts w:ascii="Calibri" w:eastAsia="Times New Roman" w:hAnsi="Calibri" w:cs="Times New Roman"/>
                <w:sz w:val="18"/>
                <w:szCs w:val="18"/>
                <w:lang w:val="es-SV" w:eastAsia="es-SV"/>
              </w:rPr>
              <w:t>i</w:t>
            </w:r>
            <w:r w:rsidRPr="00047B1F">
              <w:rPr>
                <w:rFonts w:ascii="Calibri" w:eastAsia="Times New Roman" w:hAnsi="Calibri" w:cs="Times New Roman"/>
                <w:sz w:val="18"/>
                <w:szCs w:val="18"/>
                <w:lang w:val="es-SV" w:eastAsia="es-SV"/>
              </w:rPr>
              <w:t>os de salud (horarios), CV y CD4 cada 6 meses.</w:t>
            </w:r>
            <w:r w:rsidRPr="00047B1F">
              <w:rPr>
                <w:rFonts w:ascii="Calibri" w:eastAsia="Times New Roman" w:hAnsi="Calibri" w:cs="Times New Roman"/>
                <w:sz w:val="18"/>
                <w:szCs w:val="18"/>
                <w:lang w:val="es-SV" w:eastAsia="es-SV"/>
              </w:rPr>
              <w:br/>
              <w:t>Inicio de TAR con menos de 500 CD4.</w:t>
            </w:r>
            <w:r w:rsidRPr="00047B1F">
              <w:rPr>
                <w:rFonts w:ascii="Calibri" w:eastAsia="Times New Roman" w:hAnsi="Calibri" w:cs="Times New Roman"/>
                <w:sz w:val="18"/>
                <w:szCs w:val="18"/>
                <w:lang w:val="es-SV" w:eastAsia="es-SV"/>
              </w:rPr>
              <w:br/>
              <w:t>La dispensación de ARV solamente está confinada a Hospitales.</w:t>
            </w:r>
            <w:r w:rsidRPr="00047B1F">
              <w:rPr>
                <w:rFonts w:ascii="Calibri" w:eastAsia="Times New Roman" w:hAnsi="Calibri" w:cs="Times New Roman"/>
                <w:sz w:val="18"/>
                <w:szCs w:val="18"/>
                <w:lang w:val="es-SV" w:eastAsia="es-SV"/>
              </w:rPr>
              <w:br/>
              <w:t xml:space="preserve">El ISSS tiene servicios de atención centralizados en 3 Hospitales. </w:t>
            </w:r>
            <w:r w:rsidRPr="00047B1F">
              <w:rPr>
                <w:rFonts w:ascii="Calibri" w:eastAsia="Times New Roman" w:hAnsi="Calibri" w:cs="Times New Roman"/>
                <w:sz w:val="18"/>
                <w:szCs w:val="18"/>
                <w:lang w:val="es-SV" w:eastAsia="es-SV"/>
              </w:rPr>
              <w:br/>
              <w:t>No están ho</w:t>
            </w:r>
            <w:r w:rsidR="001B56B3">
              <w:rPr>
                <w:rFonts w:ascii="Calibri" w:eastAsia="Times New Roman" w:hAnsi="Calibri" w:cs="Times New Roman"/>
                <w:sz w:val="18"/>
                <w:szCs w:val="18"/>
                <w:lang w:val="es-SV" w:eastAsia="es-SV"/>
              </w:rPr>
              <w:t>mo</w:t>
            </w:r>
            <w:r w:rsidRPr="00047B1F">
              <w:rPr>
                <w:rFonts w:ascii="Calibri" w:eastAsia="Times New Roman" w:hAnsi="Calibri" w:cs="Times New Roman"/>
                <w:sz w:val="18"/>
                <w:szCs w:val="18"/>
                <w:lang w:val="es-SV" w:eastAsia="es-SV"/>
              </w:rPr>
              <w:t>logados los esquemas de atención entre el ISSS y el MINSAL.</w:t>
            </w:r>
            <w:r w:rsidRPr="00047B1F">
              <w:rPr>
                <w:rFonts w:ascii="Calibri" w:eastAsia="Times New Roman" w:hAnsi="Calibri" w:cs="Times New Roman"/>
                <w:sz w:val="18"/>
                <w:szCs w:val="18"/>
                <w:lang w:val="es-SV" w:eastAsia="es-SV"/>
              </w:rPr>
              <w:br/>
              <w:t>En el ISSS en el caso de PPE, la receta tiene que ser firmada por infectólogo</w:t>
            </w:r>
            <w:r w:rsidR="009D41EF">
              <w:rPr>
                <w:rFonts w:ascii="Calibri" w:eastAsia="Times New Roman" w:hAnsi="Calibri" w:cs="Times New Roman"/>
                <w:sz w:val="18"/>
                <w:szCs w:val="18"/>
                <w:lang w:val="es-SV" w:eastAsia="es-SV"/>
              </w:rPr>
              <w:t>.</w:t>
            </w:r>
          </w:p>
        </w:tc>
        <w:tc>
          <w:tcPr>
            <w:tcW w:w="708" w:type="pct"/>
            <w:shd w:val="clear" w:color="auto" w:fill="auto"/>
            <w:hideMark/>
          </w:tcPr>
          <w:p w14:paraId="4FFD5878" w14:textId="77777777" w:rsidR="00047B1F" w:rsidRPr="00047B1F" w:rsidRDefault="00047B1F" w:rsidP="00047B1F">
            <w:pPr>
              <w:spacing w:after="0" w:line="240" w:lineRule="auto"/>
              <w:rPr>
                <w:rFonts w:ascii="Calibri" w:eastAsia="Times New Roman" w:hAnsi="Calibri" w:cs="Times New Roman"/>
                <w:sz w:val="18"/>
                <w:szCs w:val="18"/>
                <w:lang w:val="es-SV" w:eastAsia="es-SV"/>
              </w:rPr>
            </w:pPr>
            <w:r w:rsidRPr="00047B1F">
              <w:rPr>
                <w:rFonts w:ascii="Calibri" w:eastAsia="Times New Roman" w:hAnsi="Calibri" w:cs="Times New Roman"/>
                <w:sz w:val="18"/>
                <w:szCs w:val="18"/>
                <w:lang w:val="es-SV" w:eastAsia="es-SV"/>
              </w:rPr>
              <w:t xml:space="preserve">Hay 10 Hospitales </w:t>
            </w:r>
            <w:r w:rsidR="00777728">
              <w:rPr>
                <w:rFonts w:ascii="Calibri" w:eastAsia="Times New Roman" w:hAnsi="Calibri" w:cs="Times New Roman"/>
                <w:sz w:val="18"/>
                <w:szCs w:val="18"/>
                <w:lang w:val="es-SV" w:eastAsia="es-SV"/>
              </w:rPr>
              <w:t xml:space="preserve">del MINSAL </w:t>
            </w:r>
            <w:r w:rsidRPr="00047B1F">
              <w:rPr>
                <w:rFonts w:ascii="Calibri" w:eastAsia="Times New Roman" w:hAnsi="Calibri" w:cs="Times New Roman"/>
                <w:sz w:val="18"/>
                <w:szCs w:val="18"/>
                <w:lang w:val="es-SV" w:eastAsia="es-SV"/>
              </w:rPr>
              <w:t>restantes en las que se puede ampliar la TAR.</w:t>
            </w:r>
            <w:r w:rsidRPr="00047B1F">
              <w:rPr>
                <w:rFonts w:ascii="Calibri" w:eastAsia="Times New Roman" w:hAnsi="Calibri" w:cs="Times New Roman"/>
                <w:sz w:val="18"/>
                <w:szCs w:val="18"/>
                <w:lang w:val="es-SV" w:eastAsia="es-SV"/>
              </w:rPr>
              <w:br/>
              <w:t>Existen UCSF especializadas que pueden dar at</w:t>
            </w:r>
            <w:r w:rsidR="00777728">
              <w:rPr>
                <w:rFonts w:ascii="Calibri" w:eastAsia="Times New Roman" w:hAnsi="Calibri" w:cs="Times New Roman"/>
                <w:sz w:val="18"/>
                <w:szCs w:val="18"/>
                <w:lang w:val="es-SV" w:eastAsia="es-SV"/>
              </w:rPr>
              <w:t>ención o dispensación de ARV.</w:t>
            </w:r>
            <w:r w:rsidR="00777728">
              <w:rPr>
                <w:rFonts w:ascii="Calibri" w:eastAsia="Times New Roman" w:hAnsi="Calibri" w:cs="Times New Roman"/>
                <w:sz w:val="18"/>
                <w:szCs w:val="18"/>
                <w:lang w:val="es-SV" w:eastAsia="es-SV"/>
              </w:rPr>
              <w:br/>
              <w:t>25</w:t>
            </w:r>
            <w:r w:rsidRPr="00047B1F">
              <w:rPr>
                <w:rFonts w:ascii="Calibri" w:eastAsia="Times New Roman" w:hAnsi="Calibri" w:cs="Times New Roman"/>
                <w:sz w:val="18"/>
                <w:szCs w:val="18"/>
                <w:lang w:val="es-SV" w:eastAsia="es-SV"/>
              </w:rPr>
              <w:t xml:space="preserve"> médicos del ISSS en estudio de Maestría de VIH que pueden ser potenciales médicos de atención al VIH en el ISSS.</w:t>
            </w:r>
          </w:p>
        </w:tc>
        <w:tc>
          <w:tcPr>
            <w:tcW w:w="708" w:type="pct"/>
            <w:shd w:val="clear" w:color="auto" w:fill="auto"/>
            <w:hideMark/>
          </w:tcPr>
          <w:p w14:paraId="4537E1AA" w14:textId="77777777" w:rsidR="00047B1F" w:rsidRPr="00047B1F" w:rsidRDefault="00047B1F" w:rsidP="00047B1F">
            <w:pPr>
              <w:spacing w:after="0" w:line="240" w:lineRule="auto"/>
              <w:rPr>
                <w:rFonts w:ascii="Calibri" w:eastAsia="Times New Roman" w:hAnsi="Calibri" w:cs="Times New Roman"/>
                <w:sz w:val="18"/>
                <w:szCs w:val="18"/>
                <w:lang w:val="es-SV" w:eastAsia="es-SV"/>
              </w:rPr>
            </w:pPr>
            <w:r w:rsidRPr="00047B1F">
              <w:rPr>
                <w:rFonts w:ascii="Calibri" w:eastAsia="Times New Roman" w:hAnsi="Calibri" w:cs="Times New Roman"/>
                <w:sz w:val="18"/>
                <w:szCs w:val="18"/>
                <w:lang w:val="es-SV" w:eastAsia="es-SV"/>
              </w:rPr>
              <w:t>Ampliar las coberturas de atención a personas con VIH.</w:t>
            </w:r>
          </w:p>
        </w:tc>
        <w:tc>
          <w:tcPr>
            <w:tcW w:w="702" w:type="pct"/>
            <w:shd w:val="clear" w:color="auto" w:fill="auto"/>
            <w:hideMark/>
          </w:tcPr>
          <w:p w14:paraId="0BD90A15" w14:textId="77777777" w:rsidR="00047B1F" w:rsidRPr="00047B1F" w:rsidRDefault="00777728" w:rsidP="00047B1F">
            <w:pPr>
              <w:spacing w:after="0" w:line="240" w:lineRule="auto"/>
              <w:rPr>
                <w:rFonts w:ascii="Calibri" w:eastAsia="Times New Roman" w:hAnsi="Calibri" w:cs="Times New Roman"/>
                <w:sz w:val="18"/>
                <w:szCs w:val="18"/>
                <w:lang w:val="es-SV" w:eastAsia="es-SV"/>
              </w:rPr>
            </w:pPr>
            <w:r>
              <w:rPr>
                <w:rFonts w:ascii="Calibri" w:eastAsia="Times New Roman" w:hAnsi="Calibri" w:cs="Times New Roman"/>
                <w:sz w:val="18"/>
                <w:szCs w:val="18"/>
                <w:lang w:val="es-SV" w:eastAsia="es-SV"/>
              </w:rPr>
              <w:t>Ampliación de</w:t>
            </w:r>
            <w:r w:rsidR="00047B1F" w:rsidRPr="00047B1F">
              <w:rPr>
                <w:rFonts w:ascii="Calibri" w:eastAsia="Times New Roman" w:hAnsi="Calibri" w:cs="Times New Roman"/>
                <w:sz w:val="18"/>
                <w:szCs w:val="18"/>
                <w:lang w:val="es-SV" w:eastAsia="es-SV"/>
              </w:rPr>
              <w:t xml:space="preserve"> la cobertura de atención de 20 a 30 Hospitales y la dispensación a UCSF especializadas que sean elegidas por sus capacidades</w:t>
            </w:r>
          </w:p>
        </w:tc>
        <w:tc>
          <w:tcPr>
            <w:tcW w:w="705" w:type="pct"/>
            <w:shd w:val="clear" w:color="auto" w:fill="auto"/>
            <w:hideMark/>
          </w:tcPr>
          <w:p w14:paraId="20647A82" w14:textId="77777777" w:rsidR="00047B1F" w:rsidRDefault="00047B1F" w:rsidP="00047B1F">
            <w:pPr>
              <w:spacing w:after="0" w:line="240" w:lineRule="auto"/>
              <w:rPr>
                <w:rFonts w:ascii="Calibri" w:eastAsia="Times New Roman" w:hAnsi="Calibri" w:cs="Times New Roman"/>
                <w:sz w:val="18"/>
                <w:szCs w:val="18"/>
                <w:lang w:val="es-SV" w:eastAsia="es-SV"/>
              </w:rPr>
            </w:pPr>
            <w:r w:rsidRPr="00047B1F">
              <w:rPr>
                <w:rFonts w:ascii="Calibri" w:eastAsia="Times New Roman" w:hAnsi="Calibri" w:cs="Times New Roman"/>
                <w:sz w:val="18"/>
                <w:szCs w:val="18"/>
                <w:lang w:val="es-SV" w:eastAsia="es-SV"/>
              </w:rPr>
              <w:t>Programa de VIH, ISSS</w:t>
            </w:r>
          </w:p>
          <w:p w14:paraId="49BC8D84" w14:textId="77777777" w:rsidR="00777728" w:rsidRDefault="00777728" w:rsidP="00047B1F">
            <w:pPr>
              <w:spacing w:after="0" w:line="240" w:lineRule="auto"/>
              <w:rPr>
                <w:rFonts w:ascii="Calibri" w:eastAsia="Times New Roman" w:hAnsi="Calibri" w:cs="Times New Roman"/>
                <w:sz w:val="18"/>
                <w:szCs w:val="18"/>
                <w:lang w:val="es-SV" w:eastAsia="es-SV"/>
              </w:rPr>
            </w:pPr>
            <w:r>
              <w:rPr>
                <w:rFonts w:ascii="Calibri" w:eastAsia="Times New Roman" w:hAnsi="Calibri" w:cs="Times New Roman"/>
                <w:sz w:val="18"/>
                <w:szCs w:val="18"/>
                <w:lang w:val="es-SV" w:eastAsia="es-SV"/>
              </w:rPr>
              <w:t>Dirección de Hospitales del MINSAL</w:t>
            </w:r>
          </w:p>
          <w:p w14:paraId="618DD4F2" w14:textId="77777777" w:rsidR="00777728" w:rsidRPr="00047B1F" w:rsidRDefault="00777728" w:rsidP="00047B1F">
            <w:pPr>
              <w:spacing w:after="0" w:line="240" w:lineRule="auto"/>
              <w:rPr>
                <w:rFonts w:ascii="Calibri" w:eastAsia="Times New Roman" w:hAnsi="Calibri" w:cs="Times New Roman"/>
                <w:sz w:val="18"/>
                <w:szCs w:val="18"/>
                <w:lang w:val="es-SV" w:eastAsia="es-SV"/>
              </w:rPr>
            </w:pPr>
            <w:r>
              <w:rPr>
                <w:rFonts w:ascii="Calibri" w:eastAsia="Times New Roman" w:hAnsi="Calibri" w:cs="Times New Roman"/>
                <w:sz w:val="18"/>
                <w:szCs w:val="18"/>
                <w:lang w:val="es-SV" w:eastAsia="es-SV"/>
              </w:rPr>
              <w:t>Dirección de Primer Nivel de Atención del MINSAL</w:t>
            </w:r>
          </w:p>
        </w:tc>
      </w:tr>
    </w:tbl>
    <w:p w14:paraId="43BDF1CA" w14:textId="77777777" w:rsidR="001B56B3" w:rsidRDefault="001B56B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63"/>
        <w:gridCol w:w="600"/>
        <w:gridCol w:w="686"/>
        <w:gridCol w:w="686"/>
        <w:gridCol w:w="689"/>
        <w:gridCol w:w="554"/>
        <w:gridCol w:w="16"/>
      </w:tblGrid>
      <w:tr w:rsidR="00047B1F" w:rsidRPr="00047B1F" w14:paraId="1A09FCA6" w14:textId="77777777" w:rsidTr="001B56B3">
        <w:trPr>
          <w:trHeight w:val="318"/>
        </w:trPr>
        <w:tc>
          <w:tcPr>
            <w:tcW w:w="5000" w:type="pct"/>
            <w:gridSpan w:val="7"/>
            <w:shd w:val="clear" w:color="auto" w:fill="auto"/>
          </w:tcPr>
          <w:p w14:paraId="68F1A9BF" w14:textId="77777777" w:rsidR="00047B1F" w:rsidRPr="00047B1F" w:rsidRDefault="006455AF" w:rsidP="00047B1F">
            <w:pPr>
              <w:spacing w:after="0" w:line="240" w:lineRule="auto"/>
              <w:jc w:val="center"/>
              <w:rPr>
                <w:rFonts w:ascii="Calibri" w:eastAsia="Times New Roman" w:hAnsi="Calibri" w:cs="Times New Roman"/>
                <w:b/>
                <w:sz w:val="18"/>
                <w:szCs w:val="18"/>
                <w:lang w:val="es-SV" w:eastAsia="es-SV"/>
              </w:rPr>
            </w:pPr>
            <w:r>
              <w:rPr>
                <w:rFonts w:ascii="Calibri" w:eastAsia="Times New Roman" w:hAnsi="Calibri" w:cs="Times New Roman"/>
                <w:b/>
                <w:color w:val="000000"/>
                <w:sz w:val="18"/>
                <w:szCs w:val="18"/>
                <w:lang w:val="es-SV" w:eastAsia="es-SV"/>
              </w:rPr>
              <w:t xml:space="preserve">Acciones / </w:t>
            </w:r>
            <w:r w:rsidRPr="00EE1739">
              <w:rPr>
                <w:rFonts w:ascii="Calibri" w:eastAsia="Times New Roman" w:hAnsi="Calibri" w:cs="Times New Roman"/>
                <w:b/>
                <w:color w:val="000000"/>
                <w:sz w:val="18"/>
                <w:szCs w:val="18"/>
                <w:lang w:val="es-SV" w:eastAsia="es-SV"/>
              </w:rPr>
              <w:t>Periodo de ejecución</w:t>
            </w:r>
          </w:p>
        </w:tc>
      </w:tr>
      <w:tr w:rsidR="00047B1F" w:rsidRPr="00047B1F" w14:paraId="7A2F8CF1" w14:textId="77777777" w:rsidTr="001B56B3">
        <w:trPr>
          <w:gridAfter w:val="1"/>
          <w:wAfter w:w="6" w:type="pct"/>
          <w:trHeight w:val="280"/>
        </w:trPr>
        <w:tc>
          <w:tcPr>
            <w:tcW w:w="3757" w:type="pct"/>
            <w:shd w:val="clear" w:color="auto" w:fill="auto"/>
          </w:tcPr>
          <w:p w14:paraId="0C2E343D" w14:textId="77777777" w:rsidR="00047B1F" w:rsidRPr="00047B1F" w:rsidRDefault="00047B1F" w:rsidP="00047B1F">
            <w:pPr>
              <w:spacing w:after="0" w:line="240" w:lineRule="auto"/>
              <w:jc w:val="center"/>
              <w:rPr>
                <w:rFonts w:ascii="Calibri" w:eastAsia="Times New Roman" w:hAnsi="Calibri" w:cs="Times New Roman"/>
                <w:b/>
                <w:sz w:val="18"/>
                <w:szCs w:val="18"/>
                <w:lang w:val="es-SV" w:eastAsia="es-SV"/>
              </w:rPr>
            </w:pPr>
          </w:p>
        </w:tc>
        <w:tc>
          <w:tcPr>
            <w:tcW w:w="231" w:type="pct"/>
            <w:shd w:val="clear" w:color="auto" w:fill="auto"/>
          </w:tcPr>
          <w:p w14:paraId="6396CA05" w14:textId="77777777" w:rsidR="00047B1F" w:rsidRPr="00047B1F" w:rsidRDefault="00047B1F" w:rsidP="00047B1F">
            <w:pPr>
              <w:spacing w:after="0" w:line="240" w:lineRule="auto"/>
              <w:jc w:val="center"/>
              <w:rPr>
                <w:rFonts w:ascii="Calibri" w:eastAsia="Times New Roman" w:hAnsi="Calibri" w:cs="Times New Roman"/>
                <w:b/>
                <w:sz w:val="18"/>
                <w:szCs w:val="18"/>
                <w:lang w:val="es-SV" w:eastAsia="es-SV"/>
              </w:rPr>
            </w:pPr>
            <w:r>
              <w:rPr>
                <w:rFonts w:ascii="Calibri" w:eastAsia="Times New Roman" w:hAnsi="Calibri" w:cs="Times New Roman"/>
                <w:b/>
                <w:sz w:val="18"/>
                <w:szCs w:val="18"/>
                <w:lang w:val="es-SV" w:eastAsia="es-SV"/>
              </w:rPr>
              <w:t>2019</w:t>
            </w:r>
          </w:p>
        </w:tc>
        <w:tc>
          <w:tcPr>
            <w:tcW w:w="264" w:type="pct"/>
            <w:shd w:val="clear" w:color="auto" w:fill="auto"/>
          </w:tcPr>
          <w:p w14:paraId="2AD1150F" w14:textId="77777777" w:rsidR="00047B1F" w:rsidRPr="00047B1F" w:rsidRDefault="00047B1F" w:rsidP="00047B1F">
            <w:pPr>
              <w:spacing w:after="0" w:line="240" w:lineRule="auto"/>
              <w:jc w:val="center"/>
              <w:rPr>
                <w:rFonts w:ascii="Calibri" w:eastAsia="Times New Roman" w:hAnsi="Calibri" w:cs="Times New Roman"/>
                <w:b/>
                <w:sz w:val="18"/>
                <w:szCs w:val="18"/>
                <w:lang w:val="es-SV" w:eastAsia="es-SV"/>
              </w:rPr>
            </w:pPr>
            <w:r>
              <w:rPr>
                <w:rFonts w:ascii="Calibri" w:eastAsia="Times New Roman" w:hAnsi="Calibri" w:cs="Times New Roman"/>
                <w:b/>
                <w:sz w:val="18"/>
                <w:szCs w:val="18"/>
                <w:lang w:val="es-SV" w:eastAsia="es-SV"/>
              </w:rPr>
              <w:t>2020</w:t>
            </w:r>
          </w:p>
        </w:tc>
        <w:tc>
          <w:tcPr>
            <w:tcW w:w="264" w:type="pct"/>
            <w:shd w:val="clear" w:color="auto" w:fill="auto"/>
          </w:tcPr>
          <w:p w14:paraId="3221A1DD" w14:textId="77777777" w:rsidR="00047B1F" w:rsidRPr="00047B1F" w:rsidRDefault="00047B1F" w:rsidP="00047B1F">
            <w:pPr>
              <w:spacing w:after="0" w:line="240" w:lineRule="auto"/>
              <w:jc w:val="center"/>
              <w:rPr>
                <w:rFonts w:ascii="Calibri" w:eastAsia="Times New Roman" w:hAnsi="Calibri" w:cs="Times New Roman"/>
                <w:b/>
                <w:sz w:val="18"/>
                <w:szCs w:val="18"/>
                <w:lang w:val="es-SV" w:eastAsia="es-SV"/>
              </w:rPr>
            </w:pPr>
            <w:r>
              <w:rPr>
                <w:rFonts w:ascii="Calibri" w:eastAsia="Times New Roman" w:hAnsi="Calibri" w:cs="Times New Roman"/>
                <w:b/>
                <w:sz w:val="18"/>
                <w:szCs w:val="18"/>
                <w:lang w:val="es-SV" w:eastAsia="es-SV"/>
              </w:rPr>
              <w:t>2021</w:t>
            </w:r>
          </w:p>
        </w:tc>
        <w:tc>
          <w:tcPr>
            <w:tcW w:w="265" w:type="pct"/>
            <w:shd w:val="clear" w:color="auto" w:fill="auto"/>
          </w:tcPr>
          <w:p w14:paraId="4F4B64B7" w14:textId="77777777" w:rsidR="00047B1F" w:rsidRPr="00047B1F" w:rsidRDefault="00047B1F" w:rsidP="00047B1F">
            <w:pPr>
              <w:spacing w:after="0" w:line="240" w:lineRule="auto"/>
              <w:jc w:val="center"/>
              <w:rPr>
                <w:rFonts w:ascii="Calibri" w:eastAsia="Times New Roman" w:hAnsi="Calibri" w:cs="Times New Roman"/>
                <w:b/>
                <w:sz w:val="18"/>
                <w:szCs w:val="18"/>
                <w:lang w:val="es-SV" w:eastAsia="es-SV"/>
              </w:rPr>
            </w:pPr>
            <w:r>
              <w:rPr>
                <w:rFonts w:ascii="Calibri" w:eastAsia="Times New Roman" w:hAnsi="Calibri" w:cs="Times New Roman"/>
                <w:b/>
                <w:sz w:val="18"/>
                <w:szCs w:val="18"/>
                <w:lang w:val="es-SV" w:eastAsia="es-SV"/>
              </w:rPr>
              <w:t>2022</w:t>
            </w:r>
          </w:p>
        </w:tc>
        <w:tc>
          <w:tcPr>
            <w:tcW w:w="213" w:type="pct"/>
            <w:shd w:val="clear" w:color="auto" w:fill="auto"/>
            <w:vAlign w:val="bottom"/>
          </w:tcPr>
          <w:p w14:paraId="1A639A9F" w14:textId="77777777" w:rsidR="00047B1F" w:rsidRPr="00047B1F" w:rsidRDefault="00047B1F" w:rsidP="00047B1F">
            <w:pPr>
              <w:spacing w:after="0" w:line="240" w:lineRule="auto"/>
              <w:jc w:val="center"/>
              <w:rPr>
                <w:rFonts w:ascii="Calibri" w:eastAsia="Times New Roman" w:hAnsi="Calibri" w:cs="Times New Roman"/>
                <w:b/>
                <w:sz w:val="18"/>
                <w:szCs w:val="18"/>
                <w:lang w:val="es-SV" w:eastAsia="es-SV"/>
              </w:rPr>
            </w:pPr>
            <w:r>
              <w:rPr>
                <w:rFonts w:ascii="Calibri" w:eastAsia="Times New Roman" w:hAnsi="Calibri" w:cs="Times New Roman"/>
                <w:b/>
                <w:sz w:val="18"/>
                <w:szCs w:val="18"/>
                <w:lang w:val="es-SV" w:eastAsia="es-SV"/>
              </w:rPr>
              <w:t>2023</w:t>
            </w:r>
          </w:p>
        </w:tc>
      </w:tr>
      <w:tr w:rsidR="00047B1F" w:rsidRPr="00047B1F" w14:paraId="3D8645FC" w14:textId="77777777" w:rsidTr="001B56B3">
        <w:trPr>
          <w:gridAfter w:val="1"/>
          <w:wAfter w:w="6" w:type="pct"/>
          <w:trHeight w:val="411"/>
        </w:trPr>
        <w:tc>
          <w:tcPr>
            <w:tcW w:w="3757" w:type="pct"/>
            <w:shd w:val="clear" w:color="auto" w:fill="auto"/>
            <w:hideMark/>
          </w:tcPr>
          <w:p w14:paraId="0D3EE8D3" w14:textId="77777777" w:rsidR="00047B1F" w:rsidRPr="00047B1F" w:rsidRDefault="00047B1F" w:rsidP="00047B1F">
            <w:pPr>
              <w:spacing w:after="0" w:line="240" w:lineRule="auto"/>
              <w:rPr>
                <w:rFonts w:ascii="Calibri" w:eastAsia="Times New Roman" w:hAnsi="Calibri" w:cs="Times New Roman"/>
                <w:sz w:val="18"/>
                <w:szCs w:val="18"/>
                <w:lang w:val="es-SV" w:eastAsia="es-SV"/>
              </w:rPr>
            </w:pPr>
            <w:r w:rsidRPr="00047B1F">
              <w:rPr>
                <w:rFonts w:ascii="Calibri" w:eastAsia="Times New Roman" w:hAnsi="Calibri" w:cs="Times New Roman"/>
                <w:sz w:val="18"/>
                <w:szCs w:val="18"/>
                <w:lang w:val="es-SV" w:eastAsia="es-SV"/>
              </w:rPr>
              <w:t>Hacer</w:t>
            </w:r>
            <w:r w:rsidR="004F0FFE">
              <w:rPr>
                <w:rFonts w:ascii="Calibri" w:eastAsia="Times New Roman" w:hAnsi="Calibri" w:cs="Times New Roman"/>
                <w:sz w:val="18"/>
                <w:szCs w:val="18"/>
                <w:lang w:val="es-SV" w:eastAsia="es-SV"/>
              </w:rPr>
              <w:t xml:space="preserve"> estudios </w:t>
            </w:r>
            <w:r w:rsidR="00777728">
              <w:rPr>
                <w:rFonts w:ascii="Calibri" w:eastAsia="Times New Roman" w:hAnsi="Calibri" w:cs="Times New Roman"/>
                <w:sz w:val="18"/>
                <w:szCs w:val="18"/>
                <w:lang w:val="es-SV" w:eastAsia="es-SV"/>
              </w:rPr>
              <w:t xml:space="preserve">para la </w:t>
            </w:r>
            <w:r w:rsidRPr="00047B1F">
              <w:rPr>
                <w:rFonts w:ascii="Calibri" w:eastAsia="Times New Roman" w:hAnsi="Calibri" w:cs="Times New Roman"/>
                <w:sz w:val="18"/>
                <w:szCs w:val="18"/>
                <w:lang w:val="es-SV" w:eastAsia="es-SV"/>
              </w:rPr>
              <w:t xml:space="preserve"> factibilidad de descentralizar servicios a UCSF especializadas y </w:t>
            </w:r>
            <w:r w:rsidR="001B56B3" w:rsidRPr="00047B1F">
              <w:rPr>
                <w:rFonts w:ascii="Calibri" w:eastAsia="Times New Roman" w:hAnsi="Calibri" w:cs="Times New Roman"/>
                <w:sz w:val="18"/>
                <w:szCs w:val="18"/>
                <w:lang w:val="es-SV" w:eastAsia="es-SV"/>
              </w:rPr>
              <w:t>Hospitales</w:t>
            </w:r>
            <w:r w:rsidRPr="00047B1F">
              <w:rPr>
                <w:rFonts w:ascii="Calibri" w:eastAsia="Times New Roman" w:hAnsi="Calibri" w:cs="Times New Roman"/>
                <w:sz w:val="18"/>
                <w:szCs w:val="18"/>
                <w:lang w:val="es-SV" w:eastAsia="es-SV"/>
              </w:rPr>
              <w:t xml:space="preserve"> de 2o Nivel</w:t>
            </w:r>
          </w:p>
        </w:tc>
        <w:tc>
          <w:tcPr>
            <w:tcW w:w="231" w:type="pct"/>
            <w:shd w:val="clear" w:color="auto" w:fill="auto"/>
            <w:vAlign w:val="bottom"/>
            <w:hideMark/>
          </w:tcPr>
          <w:p w14:paraId="41769017" w14:textId="77777777" w:rsidR="00047B1F" w:rsidRDefault="00777728" w:rsidP="00047B1F">
            <w:pPr>
              <w:jc w:val="center"/>
              <w:rPr>
                <w:rFonts w:ascii="Calibri" w:hAnsi="Calibri"/>
              </w:rPr>
            </w:pPr>
            <w:r>
              <w:rPr>
                <w:rFonts w:ascii="Calibri" w:hAnsi="Calibri"/>
              </w:rPr>
              <w:t>X</w:t>
            </w:r>
          </w:p>
        </w:tc>
        <w:tc>
          <w:tcPr>
            <w:tcW w:w="264" w:type="pct"/>
            <w:shd w:val="clear" w:color="auto" w:fill="auto"/>
            <w:vAlign w:val="bottom"/>
            <w:hideMark/>
          </w:tcPr>
          <w:p w14:paraId="7C8286FD" w14:textId="77777777" w:rsidR="00047B1F" w:rsidRDefault="00047B1F" w:rsidP="00047B1F">
            <w:pPr>
              <w:jc w:val="center"/>
              <w:rPr>
                <w:rFonts w:ascii="Calibri" w:hAnsi="Calibri"/>
              </w:rPr>
            </w:pPr>
          </w:p>
        </w:tc>
        <w:tc>
          <w:tcPr>
            <w:tcW w:w="264" w:type="pct"/>
            <w:shd w:val="clear" w:color="auto" w:fill="auto"/>
            <w:vAlign w:val="bottom"/>
            <w:hideMark/>
          </w:tcPr>
          <w:p w14:paraId="36818070" w14:textId="77777777" w:rsidR="00047B1F" w:rsidRDefault="00047B1F" w:rsidP="00047B1F">
            <w:pPr>
              <w:jc w:val="center"/>
              <w:rPr>
                <w:rFonts w:ascii="Calibri" w:hAnsi="Calibri"/>
              </w:rPr>
            </w:pPr>
          </w:p>
        </w:tc>
        <w:tc>
          <w:tcPr>
            <w:tcW w:w="265" w:type="pct"/>
            <w:shd w:val="clear" w:color="auto" w:fill="auto"/>
            <w:vAlign w:val="bottom"/>
            <w:hideMark/>
          </w:tcPr>
          <w:p w14:paraId="21290B27" w14:textId="77777777" w:rsidR="00047B1F" w:rsidRDefault="00047B1F" w:rsidP="00047B1F">
            <w:pPr>
              <w:jc w:val="center"/>
              <w:rPr>
                <w:rFonts w:ascii="Calibri" w:hAnsi="Calibri"/>
              </w:rPr>
            </w:pPr>
          </w:p>
        </w:tc>
        <w:tc>
          <w:tcPr>
            <w:tcW w:w="213" w:type="pct"/>
            <w:shd w:val="clear" w:color="auto" w:fill="auto"/>
            <w:vAlign w:val="bottom"/>
            <w:hideMark/>
          </w:tcPr>
          <w:p w14:paraId="3E9D8F11" w14:textId="77777777" w:rsidR="00047B1F" w:rsidRDefault="00047B1F" w:rsidP="00047B1F">
            <w:pPr>
              <w:jc w:val="center"/>
              <w:rPr>
                <w:rFonts w:ascii="Calibri" w:hAnsi="Calibri"/>
              </w:rPr>
            </w:pPr>
          </w:p>
        </w:tc>
      </w:tr>
      <w:tr w:rsidR="00047B1F" w:rsidRPr="00047B1F" w14:paraId="07E02445" w14:textId="77777777" w:rsidTr="001B56B3">
        <w:trPr>
          <w:gridAfter w:val="1"/>
          <w:wAfter w:w="6" w:type="pct"/>
          <w:trHeight w:val="376"/>
        </w:trPr>
        <w:tc>
          <w:tcPr>
            <w:tcW w:w="3757" w:type="pct"/>
            <w:shd w:val="clear" w:color="auto" w:fill="auto"/>
            <w:hideMark/>
          </w:tcPr>
          <w:p w14:paraId="6337A0F9" w14:textId="77777777" w:rsidR="00047B1F" w:rsidRPr="00047B1F" w:rsidRDefault="00047B1F" w:rsidP="00047B1F">
            <w:pPr>
              <w:spacing w:after="0" w:line="240" w:lineRule="auto"/>
              <w:rPr>
                <w:rFonts w:ascii="Calibri" w:eastAsia="Times New Roman" w:hAnsi="Calibri" w:cs="Times New Roman"/>
                <w:sz w:val="18"/>
                <w:szCs w:val="18"/>
                <w:lang w:val="es-SV" w:eastAsia="es-SV"/>
              </w:rPr>
            </w:pPr>
            <w:r w:rsidRPr="00047B1F">
              <w:rPr>
                <w:rFonts w:ascii="Calibri" w:eastAsia="Times New Roman" w:hAnsi="Calibri" w:cs="Times New Roman"/>
                <w:sz w:val="18"/>
                <w:szCs w:val="18"/>
                <w:lang w:val="es-SV" w:eastAsia="es-SV"/>
              </w:rPr>
              <w:t xml:space="preserve">Descentralizar la atención médica a 10 Hospitales Nacionales </w:t>
            </w:r>
            <w:r w:rsidR="00777728">
              <w:rPr>
                <w:rFonts w:ascii="Calibri" w:eastAsia="Times New Roman" w:hAnsi="Calibri" w:cs="Times New Roman"/>
                <w:sz w:val="18"/>
                <w:szCs w:val="18"/>
                <w:lang w:val="es-SV" w:eastAsia="es-SV"/>
              </w:rPr>
              <w:t>del MINSAL y a 6 Unidades Médicas y Policlínico del ISSS</w:t>
            </w:r>
          </w:p>
        </w:tc>
        <w:tc>
          <w:tcPr>
            <w:tcW w:w="231" w:type="pct"/>
            <w:shd w:val="clear" w:color="auto" w:fill="auto"/>
            <w:vAlign w:val="bottom"/>
            <w:hideMark/>
          </w:tcPr>
          <w:p w14:paraId="682754C9" w14:textId="77777777" w:rsidR="00047B1F" w:rsidRDefault="00047B1F" w:rsidP="00047B1F">
            <w:pPr>
              <w:jc w:val="center"/>
              <w:rPr>
                <w:rFonts w:ascii="Calibri" w:hAnsi="Calibri"/>
              </w:rPr>
            </w:pPr>
          </w:p>
        </w:tc>
        <w:tc>
          <w:tcPr>
            <w:tcW w:w="264" w:type="pct"/>
            <w:shd w:val="clear" w:color="auto" w:fill="auto"/>
            <w:vAlign w:val="bottom"/>
            <w:hideMark/>
          </w:tcPr>
          <w:p w14:paraId="47EC852D" w14:textId="77777777" w:rsidR="00047B1F" w:rsidRDefault="00777728" w:rsidP="00047B1F">
            <w:pPr>
              <w:jc w:val="center"/>
              <w:rPr>
                <w:rFonts w:ascii="Calibri" w:hAnsi="Calibri"/>
              </w:rPr>
            </w:pPr>
            <w:r>
              <w:rPr>
                <w:rFonts w:ascii="Calibri" w:hAnsi="Calibri"/>
              </w:rPr>
              <w:t>X</w:t>
            </w:r>
          </w:p>
        </w:tc>
        <w:tc>
          <w:tcPr>
            <w:tcW w:w="264" w:type="pct"/>
            <w:shd w:val="clear" w:color="auto" w:fill="auto"/>
            <w:vAlign w:val="bottom"/>
            <w:hideMark/>
          </w:tcPr>
          <w:p w14:paraId="57BDE73D" w14:textId="77777777" w:rsidR="00047B1F" w:rsidRDefault="00777728" w:rsidP="00047B1F">
            <w:pPr>
              <w:jc w:val="center"/>
              <w:rPr>
                <w:rFonts w:ascii="Calibri" w:hAnsi="Calibri"/>
              </w:rPr>
            </w:pPr>
            <w:r>
              <w:rPr>
                <w:rFonts w:ascii="Calibri" w:hAnsi="Calibri"/>
              </w:rPr>
              <w:t>X</w:t>
            </w:r>
          </w:p>
        </w:tc>
        <w:tc>
          <w:tcPr>
            <w:tcW w:w="265" w:type="pct"/>
            <w:shd w:val="clear" w:color="auto" w:fill="auto"/>
            <w:vAlign w:val="bottom"/>
            <w:hideMark/>
          </w:tcPr>
          <w:p w14:paraId="2B5CEB79" w14:textId="77777777" w:rsidR="00047B1F" w:rsidRDefault="00777728" w:rsidP="00047B1F">
            <w:pPr>
              <w:jc w:val="center"/>
              <w:rPr>
                <w:rFonts w:ascii="Calibri" w:hAnsi="Calibri"/>
              </w:rPr>
            </w:pPr>
            <w:r>
              <w:rPr>
                <w:rFonts w:ascii="Calibri" w:hAnsi="Calibri"/>
              </w:rPr>
              <w:t>X</w:t>
            </w:r>
          </w:p>
        </w:tc>
        <w:tc>
          <w:tcPr>
            <w:tcW w:w="213" w:type="pct"/>
            <w:shd w:val="clear" w:color="auto" w:fill="auto"/>
            <w:vAlign w:val="bottom"/>
            <w:hideMark/>
          </w:tcPr>
          <w:p w14:paraId="26C25268" w14:textId="77777777" w:rsidR="00047B1F" w:rsidRDefault="00047B1F" w:rsidP="00047B1F">
            <w:pPr>
              <w:jc w:val="center"/>
              <w:rPr>
                <w:rFonts w:ascii="Calibri" w:hAnsi="Calibri"/>
              </w:rPr>
            </w:pPr>
          </w:p>
        </w:tc>
      </w:tr>
      <w:tr w:rsidR="00047B1F" w:rsidRPr="00047B1F" w14:paraId="43B64925" w14:textId="77777777" w:rsidTr="001B56B3">
        <w:trPr>
          <w:gridAfter w:val="1"/>
          <w:wAfter w:w="6" w:type="pct"/>
          <w:trHeight w:val="467"/>
        </w:trPr>
        <w:tc>
          <w:tcPr>
            <w:tcW w:w="3757" w:type="pct"/>
            <w:shd w:val="clear" w:color="auto" w:fill="auto"/>
            <w:hideMark/>
          </w:tcPr>
          <w:p w14:paraId="3CDC1F4B" w14:textId="77777777" w:rsidR="00777728" w:rsidRPr="00047B1F" w:rsidRDefault="00047B1F" w:rsidP="00047B1F">
            <w:pPr>
              <w:spacing w:after="0" w:line="240" w:lineRule="auto"/>
              <w:rPr>
                <w:rFonts w:ascii="Calibri" w:eastAsia="Times New Roman" w:hAnsi="Calibri" w:cs="Times New Roman"/>
                <w:sz w:val="18"/>
                <w:szCs w:val="18"/>
                <w:lang w:val="es-SV" w:eastAsia="es-SV"/>
              </w:rPr>
            </w:pPr>
            <w:r w:rsidRPr="00047B1F">
              <w:rPr>
                <w:rFonts w:ascii="Calibri" w:eastAsia="Times New Roman" w:hAnsi="Calibri" w:cs="Times New Roman"/>
                <w:sz w:val="18"/>
                <w:szCs w:val="18"/>
                <w:lang w:val="es-SV" w:eastAsia="es-SV"/>
              </w:rPr>
              <w:t>Modificar el Listado Institucional de Medicamento</w:t>
            </w:r>
            <w:r w:rsidR="00777728">
              <w:rPr>
                <w:rFonts w:ascii="Calibri" w:eastAsia="Times New Roman" w:hAnsi="Calibri" w:cs="Times New Roman"/>
                <w:sz w:val="18"/>
                <w:szCs w:val="18"/>
                <w:lang w:val="es-SV" w:eastAsia="es-SV"/>
              </w:rPr>
              <w:t xml:space="preserve">s Esenciales LIME </w:t>
            </w:r>
            <w:r w:rsidRPr="00047B1F">
              <w:rPr>
                <w:rFonts w:ascii="Calibri" w:eastAsia="Times New Roman" w:hAnsi="Calibri" w:cs="Times New Roman"/>
                <w:sz w:val="18"/>
                <w:szCs w:val="18"/>
                <w:lang w:val="es-SV" w:eastAsia="es-SV"/>
              </w:rPr>
              <w:t>para dis</w:t>
            </w:r>
            <w:r w:rsidR="00777728">
              <w:rPr>
                <w:rFonts w:ascii="Calibri" w:eastAsia="Times New Roman" w:hAnsi="Calibri" w:cs="Times New Roman"/>
                <w:sz w:val="18"/>
                <w:szCs w:val="18"/>
                <w:lang w:val="es-SV" w:eastAsia="es-SV"/>
              </w:rPr>
              <w:t xml:space="preserve">pensación en </w:t>
            </w:r>
            <w:r w:rsidR="004F0FFE">
              <w:rPr>
                <w:rFonts w:ascii="Calibri" w:eastAsia="Times New Roman" w:hAnsi="Calibri" w:cs="Times New Roman"/>
                <w:sz w:val="18"/>
                <w:szCs w:val="18"/>
                <w:lang w:val="es-SV" w:eastAsia="es-SV"/>
              </w:rPr>
              <w:t>diferentes niveles de atención y entrega de medicamentos de acuerdo a modelos diferenciados de atenció</w:t>
            </w:r>
            <w:r w:rsidR="004A44E6">
              <w:rPr>
                <w:rFonts w:ascii="Calibri" w:eastAsia="Times New Roman" w:hAnsi="Calibri" w:cs="Times New Roman"/>
                <w:sz w:val="18"/>
                <w:szCs w:val="18"/>
                <w:lang w:val="es-SV" w:eastAsia="es-SV"/>
              </w:rPr>
              <w:t>n y el involucramiento de las ONG´s.</w:t>
            </w:r>
          </w:p>
        </w:tc>
        <w:tc>
          <w:tcPr>
            <w:tcW w:w="231" w:type="pct"/>
            <w:shd w:val="clear" w:color="auto" w:fill="auto"/>
            <w:vAlign w:val="bottom"/>
            <w:hideMark/>
          </w:tcPr>
          <w:p w14:paraId="63A94ADF" w14:textId="77777777" w:rsidR="00047B1F" w:rsidRDefault="00777728" w:rsidP="00047B1F">
            <w:pPr>
              <w:jc w:val="center"/>
              <w:rPr>
                <w:rFonts w:ascii="Calibri" w:hAnsi="Calibri"/>
              </w:rPr>
            </w:pPr>
            <w:r>
              <w:rPr>
                <w:rFonts w:ascii="Calibri" w:hAnsi="Calibri"/>
              </w:rPr>
              <w:t>X</w:t>
            </w:r>
          </w:p>
        </w:tc>
        <w:tc>
          <w:tcPr>
            <w:tcW w:w="264" w:type="pct"/>
            <w:shd w:val="clear" w:color="auto" w:fill="auto"/>
            <w:vAlign w:val="bottom"/>
            <w:hideMark/>
          </w:tcPr>
          <w:p w14:paraId="70AA49EA" w14:textId="77777777" w:rsidR="00047B1F" w:rsidRDefault="00047B1F" w:rsidP="00047B1F">
            <w:pPr>
              <w:jc w:val="center"/>
              <w:rPr>
                <w:rFonts w:ascii="Calibri" w:hAnsi="Calibri"/>
              </w:rPr>
            </w:pPr>
          </w:p>
        </w:tc>
        <w:tc>
          <w:tcPr>
            <w:tcW w:w="264" w:type="pct"/>
            <w:shd w:val="clear" w:color="auto" w:fill="auto"/>
            <w:vAlign w:val="bottom"/>
            <w:hideMark/>
          </w:tcPr>
          <w:p w14:paraId="4FE28E58" w14:textId="77777777" w:rsidR="00047B1F" w:rsidRDefault="00047B1F" w:rsidP="00047B1F">
            <w:pPr>
              <w:jc w:val="center"/>
              <w:rPr>
                <w:rFonts w:ascii="Calibri" w:hAnsi="Calibri"/>
              </w:rPr>
            </w:pPr>
          </w:p>
        </w:tc>
        <w:tc>
          <w:tcPr>
            <w:tcW w:w="265" w:type="pct"/>
            <w:shd w:val="clear" w:color="auto" w:fill="auto"/>
            <w:vAlign w:val="bottom"/>
            <w:hideMark/>
          </w:tcPr>
          <w:p w14:paraId="417B9505" w14:textId="77777777" w:rsidR="00047B1F" w:rsidRDefault="00047B1F" w:rsidP="00047B1F">
            <w:pPr>
              <w:jc w:val="center"/>
              <w:rPr>
                <w:rFonts w:ascii="Calibri" w:hAnsi="Calibri"/>
              </w:rPr>
            </w:pPr>
          </w:p>
        </w:tc>
        <w:tc>
          <w:tcPr>
            <w:tcW w:w="213" w:type="pct"/>
            <w:shd w:val="clear" w:color="auto" w:fill="auto"/>
            <w:vAlign w:val="bottom"/>
            <w:hideMark/>
          </w:tcPr>
          <w:p w14:paraId="3D10AC7F" w14:textId="77777777" w:rsidR="00047B1F" w:rsidRDefault="00047B1F" w:rsidP="00047B1F">
            <w:pPr>
              <w:jc w:val="center"/>
              <w:rPr>
                <w:rFonts w:ascii="Calibri" w:hAnsi="Calibri"/>
              </w:rPr>
            </w:pPr>
          </w:p>
        </w:tc>
      </w:tr>
      <w:tr w:rsidR="00193981" w:rsidRPr="00047B1F" w14:paraId="32E0404B" w14:textId="77777777" w:rsidTr="001B56B3">
        <w:trPr>
          <w:gridAfter w:val="1"/>
          <w:wAfter w:w="6" w:type="pct"/>
          <w:trHeight w:val="278"/>
        </w:trPr>
        <w:tc>
          <w:tcPr>
            <w:tcW w:w="3757" w:type="pct"/>
            <w:shd w:val="clear" w:color="auto" w:fill="auto"/>
          </w:tcPr>
          <w:p w14:paraId="4320F572" w14:textId="77777777" w:rsidR="00193981" w:rsidRPr="00047B1F" w:rsidRDefault="00193981" w:rsidP="00047B1F">
            <w:pPr>
              <w:spacing w:after="0" w:line="240" w:lineRule="auto"/>
              <w:rPr>
                <w:rFonts w:ascii="Calibri" w:eastAsia="Times New Roman" w:hAnsi="Calibri" w:cs="Times New Roman"/>
                <w:color w:val="000000"/>
                <w:sz w:val="18"/>
                <w:szCs w:val="18"/>
                <w:lang w:val="es-SV" w:eastAsia="es-SV"/>
              </w:rPr>
            </w:pPr>
            <w:r w:rsidRPr="00193981">
              <w:rPr>
                <w:rFonts w:ascii="Calibri" w:eastAsia="Times New Roman" w:hAnsi="Calibri" w:cs="Times New Roman"/>
                <w:sz w:val="18"/>
                <w:szCs w:val="18"/>
                <w:lang w:val="es-SV" w:eastAsia="es-SV"/>
              </w:rPr>
              <w:lastRenderedPageBreak/>
              <w:t>Rediseñar la atención de servicios de VIH (servicios diferenciados de atención, inicio rápido, incorporación de ARV de alta barrera genética)</w:t>
            </w:r>
          </w:p>
        </w:tc>
        <w:tc>
          <w:tcPr>
            <w:tcW w:w="231" w:type="pct"/>
            <w:shd w:val="clear" w:color="auto" w:fill="auto"/>
            <w:vAlign w:val="bottom"/>
          </w:tcPr>
          <w:p w14:paraId="6274EA8F" w14:textId="77777777" w:rsidR="00193981" w:rsidRDefault="00B41775" w:rsidP="00047B1F">
            <w:pPr>
              <w:jc w:val="center"/>
              <w:rPr>
                <w:rFonts w:ascii="Calibri" w:hAnsi="Calibri"/>
              </w:rPr>
            </w:pPr>
            <w:r>
              <w:rPr>
                <w:rFonts w:ascii="Calibri" w:hAnsi="Calibri"/>
              </w:rPr>
              <w:t>X</w:t>
            </w:r>
          </w:p>
        </w:tc>
        <w:tc>
          <w:tcPr>
            <w:tcW w:w="264" w:type="pct"/>
            <w:shd w:val="clear" w:color="auto" w:fill="auto"/>
            <w:vAlign w:val="bottom"/>
          </w:tcPr>
          <w:p w14:paraId="3A57491D" w14:textId="77777777" w:rsidR="00193981" w:rsidRDefault="00B41775" w:rsidP="00047B1F">
            <w:pPr>
              <w:jc w:val="center"/>
              <w:rPr>
                <w:rFonts w:ascii="Calibri" w:hAnsi="Calibri"/>
              </w:rPr>
            </w:pPr>
            <w:r>
              <w:rPr>
                <w:rFonts w:ascii="Calibri" w:hAnsi="Calibri"/>
              </w:rPr>
              <w:t>X</w:t>
            </w:r>
          </w:p>
        </w:tc>
        <w:tc>
          <w:tcPr>
            <w:tcW w:w="264" w:type="pct"/>
            <w:shd w:val="clear" w:color="auto" w:fill="auto"/>
            <w:vAlign w:val="bottom"/>
          </w:tcPr>
          <w:p w14:paraId="419CBD38" w14:textId="77777777" w:rsidR="00193981" w:rsidRDefault="00193981" w:rsidP="00047B1F">
            <w:pPr>
              <w:jc w:val="center"/>
              <w:rPr>
                <w:rFonts w:ascii="Calibri" w:hAnsi="Calibri"/>
              </w:rPr>
            </w:pPr>
          </w:p>
        </w:tc>
        <w:tc>
          <w:tcPr>
            <w:tcW w:w="265" w:type="pct"/>
            <w:shd w:val="clear" w:color="auto" w:fill="auto"/>
            <w:vAlign w:val="bottom"/>
          </w:tcPr>
          <w:p w14:paraId="3513E576" w14:textId="77777777" w:rsidR="00193981" w:rsidRDefault="00193981" w:rsidP="00047B1F">
            <w:pPr>
              <w:jc w:val="center"/>
              <w:rPr>
                <w:rFonts w:ascii="Calibri" w:hAnsi="Calibri"/>
              </w:rPr>
            </w:pPr>
          </w:p>
        </w:tc>
        <w:tc>
          <w:tcPr>
            <w:tcW w:w="213" w:type="pct"/>
            <w:shd w:val="clear" w:color="auto" w:fill="auto"/>
            <w:vAlign w:val="bottom"/>
          </w:tcPr>
          <w:p w14:paraId="5756AAB8" w14:textId="77777777" w:rsidR="00193981" w:rsidRDefault="00193981" w:rsidP="00047B1F">
            <w:pPr>
              <w:jc w:val="center"/>
              <w:rPr>
                <w:rFonts w:ascii="Calibri" w:hAnsi="Calibri"/>
              </w:rPr>
            </w:pPr>
          </w:p>
        </w:tc>
      </w:tr>
      <w:tr w:rsidR="00A13DE7" w:rsidRPr="00047B1F" w14:paraId="7A9FBFB0" w14:textId="77777777" w:rsidTr="001B56B3">
        <w:trPr>
          <w:gridAfter w:val="1"/>
          <w:wAfter w:w="6" w:type="pct"/>
          <w:trHeight w:val="278"/>
        </w:trPr>
        <w:tc>
          <w:tcPr>
            <w:tcW w:w="3757" w:type="pct"/>
            <w:shd w:val="clear" w:color="auto" w:fill="auto"/>
          </w:tcPr>
          <w:p w14:paraId="600F42DA" w14:textId="77777777" w:rsidR="00A13DE7" w:rsidRPr="00A13DE7" w:rsidRDefault="00A13DE7" w:rsidP="00A13DE7">
            <w:pPr>
              <w:rPr>
                <w:rFonts w:ascii="Calibri" w:eastAsia="Times New Roman" w:hAnsi="Calibri" w:cs="Times New Roman"/>
                <w:color w:val="000000"/>
                <w:sz w:val="18"/>
                <w:szCs w:val="18"/>
                <w:lang w:val="es-SV" w:eastAsia="es-SV"/>
              </w:rPr>
            </w:pPr>
            <w:r w:rsidRPr="00A13DE7">
              <w:rPr>
                <w:rFonts w:ascii="Calibri" w:eastAsia="Times New Roman" w:hAnsi="Calibri" w:cs="Times New Roman"/>
                <w:color w:val="000000"/>
                <w:sz w:val="18"/>
                <w:szCs w:val="18"/>
                <w:lang w:val="es-SV" w:eastAsia="es-SV"/>
              </w:rPr>
              <w:t>Documentar experiencias piloto de modelos diferenciados de prestación de servicios en VIH,   para generar evidencia  de costo efectividad  y  promover su escalamiento a nivel nacional  o  en zona  de alta carga que requiere  la incl</w:t>
            </w:r>
            <w:r w:rsidR="00193981">
              <w:rPr>
                <w:rFonts w:ascii="Calibri" w:eastAsia="Times New Roman" w:hAnsi="Calibri" w:cs="Times New Roman"/>
                <w:color w:val="000000"/>
                <w:sz w:val="18"/>
                <w:szCs w:val="18"/>
                <w:lang w:val="es-SV" w:eastAsia="es-SV"/>
              </w:rPr>
              <w:t xml:space="preserve">usión en presupuesto del MINSAL, incluyendo </w:t>
            </w:r>
            <w:r w:rsidR="00193981" w:rsidRPr="00193981">
              <w:rPr>
                <w:rFonts w:ascii="Calibri" w:eastAsia="Times New Roman" w:hAnsi="Calibri" w:cs="Times New Roman"/>
                <w:color w:val="000000"/>
                <w:sz w:val="18"/>
                <w:szCs w:val="18"/>
                <w:lang w:val="es-SV" w:eastAsia="es-SV"/>
              </w:rPr>
              <w:t>modalidades extendidas para incrementar diagnósticos de VIH y vinculación a servicios de ARV en sitios VICITS</w:t>
            </w:r>
            <w:r w:rsidR="00193981">
              <w:rPr>
                <w:rFonts w:ascii="Calibri" w:eastAsia="Times New Roman" w:hAnsi="Calibri" w:cs="Times New Roman"/>
                <w:color w:val="000000"/>
                <w:sz w:val="18"/>
                <w:szCs w:val="18"/>
                <w:lang w:val="es-SV" w:eastAsia="es-SV"/>
              </w:rPr>
              <w:t>.</w:t>
            </w:r>
          </w:p>
        </w:tc>
        <w:tc>
          <w:tcPr>
            <w:tcW w:w="231" w:type="pct"/>
            <w:shd w:val="clear" w:color="auto" w:fill="auto"/>
            <w:vAlign w:val="bottom"/>
          </w:tcPr>
          <w:p w14:paraId="44849B95" w14:textId="77777777" w:rsidR="00A13DE7" w:rsidRDefault="00B40F4E" w:rsidP="00047B1F">
            <w:pPr>
              <w:jc w:val="center"/>
              <w:rPr>
                <w:rFonts w:ascii="Calibri" w:hAnsi="Calibri"/>
              </w:rPr>
            </w:pPr>
            <w:r>
              <w:rPr>
                <w:rFonts w:ascii="Calibri" w:hAnsi="Calibri"/>
              </w:rPr>
              <w:t>X</w:t>
            </w:r>
          </w:p>
        </w:tc>
        <w:tc>
          <w:tcPr>
            <w:tcW w:w="264" w:type="pct"/>
            <w:shd w:val="clear" w:color="auto" w:fill="auto"/>
            <w:vAlign w:val="bottom"/>
          </w:tcPr>
          <w:p w14:paraId="2E517CAB" w14:textId="77777777" w:rsidR="00A13DE7" w:rsidRDefault="00B40F4E" w:rsidP="00047B1F">
            <w:pPr>
              <w:jc w:val="center"/>
              <w:rPr>
                <w:rFonts w:ascii="Calibri" w:hAnsi="Calibri"/>
              </w:rPr>
            </w:pPr>
            <w:r>
              <w:rPr>
                <w:rFonts w:ascii="Calibri" w:hAnsi="Calibri"/>
              </w:rPr>
              <w:t>X</w:t>
            </w:r>
          </w:p>
        </w:tc>
        <w:tc>
          <w:tcPr>
            <w:tcW w:w="264" w:type="pct"/>
            <w:shd w:val="clear" w:color="auto" w:fill="auto"/>
            <w:vAlign w:val="bottom"/>
          </w:tcPr>
          <w:p w14:paraId="07288849" w14:textId="77777777" w:rsidR="00A13DE7" w:rsidRDefault="00A13DE7" w:rsidP="00047B1F">
            <w:pPr>
              <w:jc w:val="center"/>
              <w:rPr>
                <w:rFonts w:ascii="Calibri" w:hAnsi="Calibri"/>
              </w:rPr>
            </w:pPr>
          </w:p>
        </w:tc>
        <w:tc>
          <w:tcPr>
            <w:tcW w:w="265" w:type="pct"/>
            <w:shd w:val="clear" w:color="auto" w:fill="auto"/>
            <w:vAlign w:val="bottom"/>
          </w:tcPr>
          <w:p w14:paraId="39011C08" w14:textId="77777777" w:rsidR="00A13DE7" w:rsidRDefault="00A13DE7" w:rsidP="00047B1F">
            <w:pPr>
              <w:jc w:val="center"/>
              <w:rPr>
                <w:rFonts w:ascii="Calibri" w:hAnsi="Calibri"/>
              </w:rPr>
            </w:pPr>
          </w:p>
        </w:tc>
        <w:tc>
          <w:tcPr>
            <w:tcW w:w="213" w:type="pct"/>
            <w:shd w:val="clear" w:color="auto" w:fill="auto"/>
            <w:vAlign w:val="bottom"/>
          </w:tcPr>
          <w:p w14:paraId="7A9D2BA1" w14:textId="77777777" w:rsidR="00A13DE7" w:rsidRDefault="00A13DE7" w:rsidP="00047B1F">
            <w:pPr>
              <w:jc w:val="center"/>
              <w:rPr>
                <w:rFonts w:ascii="Calibri" w:hAnsi="Calibri"/>
              </w:rPr>
            </w:pPr>
          </w:p>
        </w:tc>
      </w:tr>
      <w:tr w:rsidR="00C0324C" w:rsidRPr="00047B1F" w14:paraId="2A2D8910" w14:textId="77777777" w:rsidTr="001B56B3">
        <w:trPr>
          <w:gridAfter w:val="1"/>
          <w:wAfter w:w="6" w:type="pct"/>
          <w:trHeight w:val="278"/>
        </w:trPr>
        <w:tc>
          <w:tcPr>
            <w:tcW w:w="3757" w:type="pct"/>
            <w:shd w:val="clear" w:color="auto" w:fill="auto"/>
          </w:tcPr>
          <w:p w14:paraId="5D89BB0C" w14:textId="77777777" w:rsidR="00C0324C" w:rsidRPr="008E1E3F" w:rsidRDefault="00C0324C" w:rsidP="00C0324C">
            <w:pPr>
              <w:rPr>
                <w:lang w:val="es-SV"/>
              </w:rPr>
            </w:pPr>
            <w:r w:rsidRPr="00C0324C">
              <w:rPr>
                <w:rFonts w:ascii="Calibri" w:eastAsia="Times New Roman" w:hAnsi="Calibri" w:cs="Times New Roman"/>
                <w:color w:val="000000"/>
                <w:sz w:val="18"/>
                <w:szCs w:val="18"/>
                <w:lang w:val="es-SV" w:eastAsia="es-SV"/>
              </w:rPr>
              <w:t>Asesoría y se</w:t>
            </w:r>
            <w:r>
              <w:rPr>
                <w:rFonts w:ascii="Calibri" w:eastAsia="Times New Roman" w:hAnsi="Calibri" w:cs="Times New Roman"/>
                <w:color w:val="000000"/>
                <w:sz w:val="18"/>
                <w:szCs w:val="18"/>
                <w:lang w:val="es-SV" w:eastAsia="es-SV"/>
              </w:rPr>
              <w:t xml:space="preserve">guimiento a personas con VIH, </w:t>
            </w:r>
            <w:r w:rsidRPr="00C0324C">
              <w:rPr>
                <w:rFonts w:ascii="Calibri" w:eastAsia="Times New Roman" w:hAnsi="Calibri" w:cs="Times New Roman"/>
                <w:color w:val="000000"/>
                <w:sz w:val="18"/>
                <w:szCs w:val="18"/>
                <w:lang w:val="es-SV" w:eastAsia="es-SV"/>
              </w:rPr>
              <w:t>en su proceso de aceptación del diagnóstico, vinculación a cuidado y tratamiento en el continuo de la atención mediante la atención personalizada, recordar toma de medicamentos, recordar citas, apoyo en temas estructurales (apoyo psicosocial, problemas familiares, en el trabajo, etc.)</w:t>
            </w:r>
            <w:r w:rsidR="008E1E3F" w:rsidRPr="009D41EF">
              <w:rPr>
                <w:rFonts w:ascii="Calibri" w:eastAsia="Times New Roman" w:hAnsi="Calibri" w:cs="Times New Roman"/>
                <w:color w:val="000000"/>
                <w:sz w:val="18"/>
                <w:szCs w:val="18"/>
                <w:lang w:val="es-SV" w:eastAsia="es-SV"/>
              </w:rPr>
              <w:t xml:space="preserve"> Incorporación de enlaces comunitarios para </w:t>
            </w:r>
            <w:r w:rsidR="009D41EF" w:rsidRPr="009D41EF">
              <w:rPr>
                <w:rFonts w:ascii="Calibri" w:eastAsia="Times New Roman" w:hAnsi="Calibri" w:cs="Times New Roman"/>
                <w:color w:val="000000"/>
                <w:sz w:val="18"/>
                <w:szCs w:val="18"/>
                <w:lang w:val="es-SV" w:eastAsia="es-SV"/>
              </w:rPr>
              <w:t>búsqueda</w:t>
            </w:r>
            <w:r w:rsidR="008E1E3F" w:rsidRPr="009D41EF">
              <w:rPr>
                <w:rFonts w:ascii="Calibri" w:eastAsia="Times New Roman" w:hAnsi="Calibri" w:cs="Times New Roman"/>
                <w:color w:val="000000"/>
                <w:sz w:val="18"/>
                <w:szCs w:val="18"/>
                <w:lang w:val="es-SV" w:eastAsia="es-SV"/>
              </w:rPr>
              <w:t xml:space="preserve"> de abandonos a nivel comunitario</w:t>
            </w:r>
            <w:r w:rsidR="009D41EF">
              <w:rPr>
                <w:rFonts w:ascii="Calibri" w:eastAsia="Times New Roman" w:hAnsi="Calibri" w:cs="Times New Roman"/>
                <w:color w:val="000000"/>
                <w:sz w:val="18"/>
                <w:szCs w:val="18"/>
                <w:lang w:val="es-SV" w:eastAsia="es-SV"/>
              </w:rPr>
              <w:t>.</w:t>
            </w:r>
            <w:r w:rsidR="008E1E3F" w:rsidRPr="009D41EF">
              <w:rPr>
                <w:rFonts w:ascii="Calibri" w:eastAsia="Times New Roman" w:hAnsi="Calibri" w:cs="Times New Roman"/>
                <w:color w:val="000000"/>
                <w:sz w:val="18"/>
                <w:szCs w:val="18"/>
                <w:lang w:val="es-SV" w:eastAsia="es-SV"/>
              </w:rPr>
              <w:tab/>
            </w:r>
            <w:r w:rsidR="008E1E3F" w:rsidRPr="009D41EF">
              <w:rPr>
                <w:rFonts w:ascii="Calibri" w:eastAsia="Times New Roman" w:hAnsi="Calibri" w:cs="Times New Roman"/>
                <w:color w:val="000000"/>
                <w:sz w:val="18"/>
                <w:szCs w:val="18"/>
                <w:lang w:val="es-SV" w:eastAsia="es-SV"/>
              </w:rPr>
              <w:tab/>
            </w:r>
            <w:r w:rsidR="008E1E3F" w:rsidRPr="00790C56">
              <w:rPr>
                <w:lang w:val="es-SV"/>
              </w:rPr>
              <w:t xml:space="preserve"> </w:t>
            </w:r>
          </w:p>
        </w:tc>
        <w:tc>
          <w:tcPr>
            <w:tcW w:w="231" w:type="pct"/>
            <w:shd w:val="clear" w:color="auto" w:fill="auto"/>
            <w:vAlign w:val="bottom"/>
          </w:tcPr>
          <w:p w14:paraId="07D99BCC" w14:textId="77777777" w:rsidR="00C0324C" w:rsidRDefault="00C0324C" w:rsidP="00C0324C">
            <w:pPr>
              <w:jc w:val="center"/>
              <w:rPr>
                <w:rFonts w:ascii="Calibri" w:hAnsi="Calibri"/>
              </w:rPr>
            </w:pPr>
            <w:r>
              <w:rPr>
                <w:rFonts w:ascii="Calibri" w:hAnsi="Calibri"/>
              </w:rPr>
              <w:t>X</w:t>
            </w:r>
          </w:p>
        </w:tc>
        <w:tc>
          <w:tcPr>
            <w:tcW w:w="264" w:type="pct"/>
            <w:shd w:val="clear" w:color="auto" w:fill="auto"/>
            <w:vAlign w:val="bottom"/>
          </w:tcPr>
          <w:p w14:paraId="423A8BD2" w14:textId="77777777" w:rsidR="00C0324C" w:rsidRDefault="00C0324C" w:rsidP="00C0324C">
            <w:pPr>
              <w:jc w:val="center"/>
              <w:rPr>
                <w:rFonts w:ascii="Calibri" w:hAnsi="Calibri"/>
              </w:rPr>
            </w:pPr>
            <w:r>
              <w:rPr>
                <w:rFonts w:ascii="Calibri" w:hAnsi="Calibri"/>
              </w:rPr>
              <w:t>X</w:t>
            </w:r>
          </w:p>
        </w:tc>
        <w:tc>
          <w:tcPr>
            <w:tcW w:w="264" w:type="pct"/>
            <w:shd w:val="clear" w:color="auto" w:fill="auto"/>
            <w:vAlign w:val="bottom"/>
          </w:tcPr>
          <w:p w14:paraId="5B12BF4B" w14:textId="77777777" w:rsidR="00C0324C" w:rsidRDefault="00C0324C" w:rsidP="00C0324C">
            <w:pPr>
              <w:jc w:val="center"/>
              <w:rPr>
                <w:rFonts w:ascii="Calibri" w:hAnsi="Calibri"/>
              </w:rPr>
            </w:pPr>
            <w:r>
              <w:rPr>
                <w:rFonts w:ascii="Calibri" w:hAnsi="Calibri"/>
              </w:rPr>
              <w:t>X</w:t>
            </w:r>
          </w:p>
        </w:tc>
        <w:tc>
          <w:tcPr>
            <w:tcW w:w="265" w:type="pct"/>
            <w:shd w:val="clear" w:color="auto" w:fill="auto"/>
            <w:vAlign w:val="bottom"/>
          </w:tcPr>
          <w:p w14:paraId="79418F70" w14:textId="77777777" w:rsidR="00C0324C" w:rsidRDefault="00C0324C" w:rsidP="00C0324C">
            <w:pPr>
              <w:jc w:val="center"/>
              <w:rPr>
                <w:rFonts w:ascii="Calibri" w:hAnsi="Calibri"/>
              </w:rPr>
            </w:pPr>
            <w:r>
              <w:rPr>
                <w:rFonts w:ascii="Calibri" w:hAnsi="Calibri"/>
              </w:rPr>
              <w:t>X</w:t>
            </w:r>
          </w:p>
        </w:tc>
        <w:tc>
          <w:tcPr>
            <w:tcW w:w="213" w:type="pct"/>
            <w:shd w:val="clear" w:color="auto" w:fill="auto"/>
            <w:vAlign w:val="bottom"/>
          </w:tcPr>
          <w:p w14:paraId="6328AACE" w14:textId="77777777" w:rsidR="00C0324C" w:rsidRDefault="00C0324C" w:rsidP="00C0324C">
            <w:pPr>
              <w:jc w:val="center"/>
              <w:rPr>
                <w:rFonts w:ascii="Calibri" w:hAnsi="Calibri"/>
              </w:rPr>
            </w:pPr>
            <w:r>
              <w:rPr>
                <w:rFonts w:ascii="Calibri" w:hAnsi="Calibri"/>
              </w:rPr>
              <w:t>X</w:t>
            </w:r>
          </w:p>
        </w:tc>
      </w:tr>
      <w:tr w:rsidR="00C0324C" w:rsidRPr="00047B1F" w14:paraId="2FC851E9" w14:textId="77777777" w:rsidTr="001B56B3">
        <w:trPr>
          <w:gridAfter w:val="1"/>
          <w:wAfter w:w="6" w:type="pct"/>
          <w:trHeight w:val="278"/>
        </w:trPr>
        <w:tc>
          <w:tcPr>
            <w:tcW w:w="3757" w:type="pct"/>
            <w:shd w:val="clear" w:color="auto" w:fill="auto"/>
          </w:tcPr>
          <w:p w14:paraId="2FEFF7B1" w14:textId="77777777" w:rsidR="00C0324C" w:rsidRPr="00B40F4E" w:rsidRDefault="00C0324C" w:rsidP="00C0324C">
            <w:pPr>
              <w:rPr>
                <w:rFonts w:ascii="Calibri" w:eastAsia="Times New Roman" w:hAnsi="Calibri" w:cs="Times New Roman"/>
                <w:color w:val="000000"/>
                <w:sz w:val="18"/>
                <w:szCs w:val="18"/>
                <w:lang w:val="es-SV" w:eastAsia="es-SV"/>
              </w:rPr>
            </w:pPr>
            <w:r w:rsidRPr="00B40F4E">
              <w:rPr>
                <w:rFonts w:ascii="Calibri" w:eastAsia="Times New Roman" w:hAnsi="Calibri" w:cs="Times New Roman"/>
                <w:color w:val="000000"/>
                <w:sz w:val="18"/>
                <w:szCs w:val="18"/>
                <w:lang w:val="es-SV" w:eastAsia="es-SV"/>
              </w:rPr>
              <w:t xml:space="preserve">Desarrollo de intervenciones innovadoras de Prevención y referencia a Prueba de VIH hacia laboratorios privados a través de Cyber Educadores, dirigidas a poblaciones de difícil acceso y en horarios amplios para cubrir las necesidades, así como la posibilidad de abarcar diferentes áreas geográficas al mismo tiempo, sin </w:t>
            </w:r>
            <w:r w:rsidR="008E1E3F">
              <w:rPr>
                <w:rFonts w:ascii="Calibri" w:eastAsia="Times New Roman" w:hAnsi="Calibri" w:cs="Times New Roman"/>
                <w:color w:val="000000"/>
                <w:sz w:val="18"/>
                <w:szCs w:val="18"/>
                <w:lang w:val="es-SV" w:eastAsia="es-SV"/>
              </w:rPr>
              <w:t>n</w:t>
            </w:r>
            <w:r w:rsidR="009D41EF">
              <w:rPr>
                <w:rFonts w:ascii="Calibri" w:eastAsia="Times New Roman" w:hAnsi="Calibri" w:cs="Times New Roman"/>
                <w:color w:val="000000"/>
                <w:sz w:val="18"/>
                <w:szCs w:val="18"/>
                <w:lang w:val="es-SV" w:eastAsia="es-SV"/>
              </w:rPr>
              <w:t>ecesidad de movilizar recursos.</w:t>
            </w:r>
          </w:p>
        </w:tc>
        <w:tc>
          <w:tcPr>
            <w:tcW w:w="231" w:type="pct"/>
            <w:shd w:val="clear" w:color="auto" w:fill="auto"/>
            <w:vAlign w:val="bottom"/>
          </w:tcPr>
          <w:p w14:paraId="23FE02B7" w14:textId="77777777" w:rsidR="00C0324C" w:rsidRDefault="00C0324C" w:rsidP="00C0324C">
            <w:pPr>
              <w:jc w:val="center"/>
              <w:rPr>
                <w:rFonts w:ascii="Calibri" w:hAnsi="Calibri"/>
              </w:rPr>
            </w:pPr>
            <w:r>
              <w:rPr>
                <w:rFonts w:ascii="Calibri" w:hAnsi="Calibri"/>
              </w:rPr>
              <w:t>X</w:t>
            </w:r>
          </w:p>
        </w:tc>
        <w:tc>
          <w:tcPr>
            <w:tcW w:w="264" w:type="pct"/>
            <w:shd w:val="clear" w:color="auto" w:fill="auto"/>
            <w:vAlign w:val="bottom"/>
          </w:tcPr>
          <w:p w14:paraId="62BAEFE9" w14:textId="77777777" w:rsidR="00C0324C" w:rsidRDefault="00C0324C" w:rsidP="00C0324C">
            <w:pPr>
              <w:jc w:val="center"/>
              <w:rPr>
                <w:rFonts w:ascii="Calibri" w:hAnsi="Calibri"/>
              </w:rPr>
            </w:pPr>
            <w:r>
              <w:rPr>
                <w:rFonts w:ascii="Calibri" w:hAnsi="Calibri"/>
              </w:rPr>
              <w:t>X</w:t>
            </w:r>
          </w:p>
        </w:tc>
        <w:tc>
          <w:tcPr>
            <w:tcW w:w="264" w:type="pct"/>
            <w:shd w:val="clear" w:color="auto" w:fill="auto"/>
            <w:vAlign w:val="bottom"/>
          </w:tcPr>
          <w:p w14:paraId="389297C9" w14:textId="77777777" w:rsidR="00C0324C" w:rsidRDefault="00C0324C" w:rsidP="00C0324C">
            <w:pPr>
              <w:jc w:val="center"/>
              <w:rPr>
                <w:rFonts w:ascii="Calibri" w:hAnsi="Calibri"/>
              </w:rPr>
            </w:pPr>
            <w:r>
              <w:rPr>
                <w:rFonts w:ascii="Calibri" w:hAnsi="Calibri"/>
              </w:rPr>
              <w:t>X</w:t>
            </w:r>
          </w:p>
        </w:tc>
        <w:tc>
          <w:tcPr>
            <w:tcW w:w="265" w:type="pct"/>
            <w:shd w:val="clear" w:color="auto" w:fill="auto"/>
            <w:vAlign w:val="bottom"/>
          </w:tcPr>
          <w:p w14:paraId="6AD5C133" w14:textId="77777777" w:rsidR="00C0324C" w:rsidRDefault="00C0324C" w:rsidP="00C0324C">
            <w:pPr>
              <w:jc w:val="center"/>
              <w:rPr>
                <w:rFonts w:ascii="Calibri" w:hAnsi="Calibri"/>
              </w:rPr>
            </w:pPr>
            <w:r>
              <w:rPr>
                <w:rFonts w:ascii="Calibri" w:hAnsi="Calibri"/>
              </w:rPr>
              <w:t>X</w:t>
            </w:r>
          </w:p>
        </w:tc>
        <w:tc>
          <w:tcPr>
            <w:tcW w:w="213" w:type="pct"/>
            <w:shd w:val="clear" w:color="auto" w:fill="auto"/>
            <w:vAlign w:val="bottom"/>
          </w:tcPr>
          <w:p w14:paraId="2561B0CC" w14:textId="77777777" w:rsidR="00C0324C" w:rsidRDefault="00C0324C" w:rsidP="00C0324C">
            <w:pPr>
              <w:jc w:val="center"/>
              <w:rPr>
                <w:rFonts w:ascii="Calibri" w:hAnsi="Calibri"/>
              </w:rPr>
            </w:pPr>
            <w:r>
              <w:rPr>
                <w:rFonts w:ascii="Calibri" w:hAnsi="Calibri"/>
              </w:rPr>
              <w:t>X</w:t>
            </w:r>
          </w:p>
        </w:tc>
      </w:tr>
      <w:tr w:rsidR="00641607" w:rsidRPr="00047B1F" w14:paraId="340B31A5" w14:textId="77777777" w:rsidTr="001B56B3">
        <w:trPr>
          <w:gridAfter w:val="1"/>
          <w:wAfter w:w="6" w:type="pct"/>
          <w:trHeight w:val="278"/>
        </w:trPr>
        <w:tc>
          <w:tcPr>
            <w:tcW w:w="3757" w:type="pct"/>
            <w:shd w:val="clear" w:color="auto" w:fill="auto"/>
          </w:tcPr>
          <w:p w14:paraId="32FB1C48" w14:textId="77777777" w:rsidR="00641607" w:rsidRPr="00B40F4E" w:rsidRDefault="00641607" w:rsidP="00641607">
            <w:pPr>
              <w:rPr>
                <w:rFonts w:ascii="Calibri" w:eastAsia="Times New Roman" w:hAnsi="Calibri" w:cs="Times New Roman"/>
                <w:color w:val="000000"/>
                <w:sz w:val="18"/>
                <w:szCs w:val="18"/>
                <w:lang w:val="es-SV" w:eastAsia="es-SV"/>
              </w:rPr>
            </w:pPr>
            <w:r w:rsidRPr="00B95023">
              <w:rPr>
                <w:rFonts w:ascii="Calibri" w:eastAsia="Times New Roman" w:hAnsi="Calibri" w:cs="Times New Roman"/>
                <w:color w:val="000000"/>
                <w:sz w:val="18"/>
                <w:szCs w:val="18"/>
                <w:lang w:val="es-SV" w:eastAsia="es-SV"/>
              </w:rPr>
              <w:t>Intervenciones para favorecer la retención y recuperación a la atención (promotores de adherencia y enlaces comunitarios)</w:t>
            </w:r>
          </w:p>
        </w:tc>
        <w:tc>
          <w:tcPr>
            <w:tcW w:w="231" w:type="pct"/>
            <w:shd w:val="clear" w:color="auto" w:fill="auto"/>
            <w:vAlign w:val="bottom"/>
          </w:tcPr>
          <w:p w14:paraId="6678B851" w14:textId="77777777" w:rsidR="00641607" w:rsidRDefault="00641607" w:rsidP="00641607">
            <w:pPr>
              <w:jc w:val="center"/>
              <w:rPr>
                <w:rFonts w:ascii="Calibri" w:hAnsi="Calibri"/>
              </w:rPr>
            </w:pPr>
            <w:r>
              <w:rPr>
                <w:rFonts w:ascii="Calibri" w:hAnsi="Calibri"/>
              </w:rPr>
              <w:t>X</w:t>
            </w:r>
          </w:p>
        </w:tc>
        <w:tc>
          <w:tcPr>
            <w:tcW w:w="264" w:type="pct"/>
            <w:shd w:val="clear" w:color="auto" w:fill="auto"/>
            <w:vAlign w:val="bottom"/>
          </w:tcPr>
          <w:p w14:paraId="4043E42D" w14:textId="77777777" w:rsidR="00641607" w:rsidRDefault="00641607" w:rsidP="00641607">
            <w:pPr>
              <w:jc w:val="center"/>
              <w:rPr>
                <w:rFonts w:ascii="Calibri" w:hAnsi="Calibri"/>
              </w:rPr>
            </w:pPr>
            <w:r>
              <w:rPr>
                <w:rFonts w:ascii="Calibri" w:hAnsi="Calibri"/>
              </w:rPr>
              <w:t>X</w:t>
            </w:r>
          </w:p>
        </w:tc>
        <w:tc>
          <w:tcPr>
            <w:tcW w:w="264" w:type="pct"/>
            <w:shd w:val="clear" w:color="auto" w:fill="auto"/>
            <w:vAlign w:val="bottom"/>
          </w:tcPr>
          <w:p w14:paraId="079569A5" w14:textId="77777777" w:rsidR="00641607" w:rsidRDefault="00641607" w:rsidP="00641607">
            <w:pPr>
              <w:jc w:val="center"/>
              <w:rPr>
                <w:rFonts w:ascii="Calibri" w:hAnsi="Calibri"/>
              </w:rPr>
            </w:pPr>
            <w:r>
              <w:rPr>
                <w:rFonts w:ascii="Calibri" w:hAnsi="Calibri"/>
              </w:rPr>
              <w:t>X</w:t>
            </w:r>
          </w:p>
        </w:tc>
        <w:tc>
          <w:tcPr>
            <w:tcW w:w="265" w:type="pct"/>
            <w:shd w:val="clear" w:color="auto" w:fill="auto"/>
            <w:vAlign w:val="bottom"/>
          </w:tcPr>
          <w:p w14:paraId="0A028383" w14:textId="77777777" w:rsidR="00641607" w:rsidRDefault="00641607" w:rsidP="00641607">
            <w:pPr>
              <w:jc w:val="center"/>
              <w:rPr>
                <w:rFonts w:ascii="Calibri" w:hAnsi="Calibri"/>
              </w:rPr>
            </w:pPr>
            <w:r>
              <w:rPr>
                <w:rFonts w:ascii="Calibri" w:hAnsi="Calibri"/>
              </w:rPr>
              <w:t>X</w:t>
            </w:r>
          </w:p>
        </w:tc>
        <w:tc>
          <w:tcPr>
            <w:tcW w:w="213" w:type="pct"/>
            <w:shd w:val="clear" w:color="auto" w:fill="auto"/>
            <w:vAlign w:val="bottom"/>
          </w:tcPr>
          <w:p w14:paraId="1D7BDE48" w14:textId="77777777" w:rsidR="00641607" w:rsidRDefault="00641607" w:rsidP="00641607">
            <w:pPr>
              <w:jc w:val="center"/>
              <w:rPr>
                <w:rFonts w:ascii="Calibri" w:hAnsi="Calibri"/>
              </w:rPr>
            </w:pPr>
            <w:r>
              <w:rPr>
                <w:rFonts w:ascii="Calibri" w:hAnsi="Calibri"/>
              </w:rPr>
              <w:t>X</w:t>
            </w:r>
          </w:p>
        </w:tc>
      </w:tr>
      <w:tr w:rsidR="00C0324C" w:rsidRPr="00047B1F" w14:paraId="02D93C40" w14:textId="77777777" w:rsidTr="001B56B3">
        <w:trPr>
          <w:gridAfter w:val="1"/>
          <w:wAfter w:w="6" w:type="pct"/>
          <w:trHeight w:val="278"/>
        </w:trPr>
        <w:tc>
          <w:tcPr>
            <w:tcW w:w="3757" w:type="pct"/>
            <w:shd w:val="clear" w:color="auto" w:fill="auto"/>
          </w:tcPr>
          <w:p w14:paraId="2C7C5757" w14:textId="77777777" w:rsidR="00C0324C" w:rsidRPr="00B40F4E" w:rsidRDefault="00C0324C" w:rsidP="00C0324C">
            <w:pPr>
              <w:rPr>
                <w:rFonts w:ascii="Calibri" w:eastAsia="Times New Roman" w:hAnsi="Calibri" w:cs="Times New Roman"/>
                <w:color w:val="000000"/>
                <w:sz w:val="18"/>
                <w:szCs w:val="18"/>
                <w:lang w:val="es-SV" w:eastAsia="es-SV"/>
              </w:rPr>
            </w:pPr>
            <w:r w:rsidRPr="00E45DBB">
              <w:rPr>
                <w:rFonts w:ascii="Calibri" w:eastAsia="Times New Roman" w:hAnsi="Calibri" w:cs="Times New Roman"/>
                <w:color w:val="000000"/>
                <w:sz w:val="18"/>
                <w:szCs w:val="18"/>
                <w:lang w:val="es-SV" w:eastAsia="es-SV"/>
              </w:rPr>
              <w:t>Mejora</w:t>
            </w:r>
            <w:r w:rsidR="00CD1BD2">
              <w:rPr>
                <w:rFonts w:ascii="Calibri" w:eastAsia="Times New Roman" w:hAnsi="Calibri" w:cs="Times New Roman"/>
                <w:color w:val="000000"/>
                <w:sz w:val="18"/>
                <w:szCs w:val="18"/>
                <w:lang w:val="es-SV" w:eastAsia="es-SV"/>
              </w:rPr>
              <w:t xml:space="preserve"> continua</w:t>
            </w:r>
            <w:r w:rsidR="00193981">
              <w:rPr>
                <w:rFonts w:ascii="Calibri" w:eastAsia="Times New Roman" w:hAnsi="Calibri" w:cs="Times New Roman"/>
                <w:color w:val="000000"/>
                <w:sz w:val="18"/>
                <w:szCs w:val="18"/>
                <w:lang w:val="es-SV" w:eastAsia="es-SV"/>
              </w:rPr>
              <w:t xml:space="preserve"> de</w:t>
            </w:r>
            <w:r w:rsidRPr="00E45DBB">
              <w:rPr>
                <w:rFonts w:ascii="Calibri" w:eastAsia="Times New Roman" w:hAnsi="Calibri" w:cs="Times New Roman"/>
                <w:color w:val="000000"/>
                <w:sz w:val="18"/>
                <w:szCs w:val="18"/>
                <w:lang w:val="es-SV" w:eastAsia="es-SV"/>
              </w:rPr>
              <w:t xml:space="preserve"> la calidad de los laboratorios</w:t>
            </w:r>
            <w:r w:rsidR="00CD1BD2">
              <w:rPr>
                <w:rFonts w:ascii="Calibri" w:eastAsia="Times New Roman" w:hAnsi="Calibri" w:cs="Times New Roman"/>
                <w:color w:val="000000"/>
                <w:sz w:val="18"/>
                <w:szCs w:val="18"/>
                <w:lang w:val="es-SV" w:eastAsia="es-SV"/>
              </w:rPr>
              <w:t xml:space="preserve">,  de las pruebas </w:t>
            </w:r>
            <w:r w:rsidRPr="00E45DBB">
              <w:rPr>
                <w:rFonts w:ascii="Calibri" w:eastAsia="Times New Roman" w:hAnsi="Calibri" w:cs="Times New Roman"/>
                <w:color w:val="000000"/>
                <w:sz w:val="18"/>
                <w:szCs w:val="18"/>
                <w:lang w:val="es-SV" w:eastAsia="es-SV"/>
              </w:rPr>
              <w:t xml:space="preserve"> para fortalecer la estructura organizativa en niveles nacionales</w:t>
            </w:r>
          </w:p>
        </w:tc>
        <w:tc>
          <w:tcPr>
            <w:tcW w:w="231" w:type="pct"/>
            <w:shd w:val="clear" w:color="auto" w:fill="auto"/>
            <w:vAlign w:val="bottom"/>
          </w:tcPr>
          <w:p w14:paraId="392F7AA0" w14:textId="77777777" w:rsidR="00C0324C" w:rsidRDefault="00C0324C" w:rsidP="00C0324C">
            <w:pPr>
              <w:jc w:val="center"/>
              <w:rPr>
                <w:rFonts w:ascii="Calibri" w:hAnsi="Calibri"/>
              </w:rPr>
            </w:pPr>
            <w:r>
              <w:rPr>
                <w:rFonts w:ascii="Calibri" w:hAnsi="Calibri"/>
              </w:rPr>
              <w:t>X</w:t>
            </w:r>
          </w:p>
        </w:tc>
        <w:tc>
          <w:tcPr>
            <w:tcW w:w="264" w:type="pct"/>
            <w:shd w:val="clear" w:color="auto" w:fill="auto"/>
            <w:vAlign w:val="bottom"/>
          </w:tcPr>
          <w:p w14:paraId="6D8013AE" w14:textId="77777777" w:rsidR="00C0324C" w:rsidRDefault="00C0324C" w:rsidP="00C0324C">
            <w:pPr>
              <w:jc w:val="center"/>
              <w:rPr>
                <w:rFonts w:ascii="Calibri" w:hAnsi="Calibri"/>
              </w:rPr>
            </w:pPr>
            <w:r>
              <w:rPr>
                <w:rFonts w:ascii="Calibri" w:hAnsi="Calibri"/>
              </w:rPr>
              <w:t>X</w:t>
            </w:r>
          </w:p>
        </w:tc>
        <w:tc>
          <w:tcPr>
            <w:tcW w:w="264" w:type="pct"/>
            <w:shd w:val="clear" w:color="auto" w:fill="auto"/>
            <w:vAlign w:val="bottom"/>
          </w:tcPr>
          <w:p w14:paraId="657FE5F5" w14:textId="77777777" w:rsidR="00C0324C" w:rsidRDefault="00C0324C" w:rsidP="00C0324C">
            <w:pPr>
              <w:jc w:val="center"/>
              <w:rPr>
                <w:rFonts w:ascii="Calibri" w:hAnsi="Calibri"/>
              </w:rPr>
            </w:pPr>
            <w:r>
              <w:rPr>
                <w:rFonts w:ascii="Calibri" w:hAnsi="Calibri"/>
              </w:rPr>
              <w:t>X</w:t>
            </w:r>
          </w:p>
        </w:tc>
        <w:tc>
          <w:tcPr>
            <w:tcW w:w="265" w:type="pct"/>
            <w:shd w:val="clear" w:color="auto" w:fill="auto"/>
            <w:vAlign w:val="bottom"/>
          </w:tcPr>
          <w:p w14:paraId="76A5C9A2" w14:textId="77777777" w:rsidR="00C0324C" w:rsidRDefault="00C0324C" w:rsidP="00C0324C">
            <w:pPr>
              <w:jc w:val="center"/>
              <w:rPr>
                <w:rFonts w:ascii="Calibri" w:hAnsi="Calibri"/>
              </w:rPr>
            </w:pPr>
            <w:r>
              <w:rPr>
                <w:rFonts w:ascii="Calibri" w:hAnsi="Calibri"/>
              </w:rPr>
              <w:t>X</w:t>
            </w:r>
          </w:p>
        </w:tc>
        <w:tc>
          <w:tcPr>
            <w:tcW w:w="213" w:type="pct"/>
            <w:shd w:val="clear" w:color="auto" w:fill="auto"/>
            <w:vAlign w:val="bottom"/>
          </w:tcPr>
          <w:p w14:paraId="51353FB1" w14:textId="77777777" w:rsidR="00C0324C" w:rsidRDefault="00C0324C" w:rsidP="00C0324C">
            <w:pPr>
              <w:jc w:val="center"/>
              <w:rPr>
                <w:rFonts w:ascii="Calibri" w:hAnsi="Calibri"/>
              </w:rPr>
            </w:pPr>
            <w:r>
              <w:rPr>
                <w:rFonts w:ascii="Calibri" w:hAnsi="Calibri"/>
              </w:rPr>
              <w:t>X</w:t>
            </w:r>
          </w:p>
        </w:tc>
      </w:tr>
      <w:tr w:rsidR="00CD1BD2" w:rsidRPr="00047B1F" w14:paraId="4D47C07F" w14:textId="77777777" w:rsidTr="001B56B3">
        <w:trPr>
          <w:gridAfter w:val="1"/>
          <w:wAfter w:w="6" w:type="pct"/>
          <w:trHeight w:val="278"/>
        </w:trPr>
        <w:tc>
          <w:tcPr>
            <w:tcW w:w="3757" w:type="pct"/>
            <w:shd w:val="clear" w:color="auto" w:fill="auto"/>
          </w:tcPr>
          <w:p w14:paraId="62E919A5" w14:textId="77777777" w:rsidR="00CD1BD2" w:rsidRPr="001D6A9F" w:rsidRDefault="00CD1BD2" w:rsidP="001D6A9F">
            <w:pPr>
              <w:rPr>
                <w:highlight w:val="yellow"/>
              </w:rPr>
            </w:pPr>
            <w:r w:rsidRPr="00CD1BD2">
              <w:rPr>
                <w:rFonts w:ascii="Calibri" w:eastAsia="Times New Roman" w:hAnsi="Calibri" w:cs="Times New Roman"/>
                <w:color w:val="000000"/>
                <w:sz w:val="18"/>
                <w:szCs w:val="18"/>
                <w:lang w:val="es-SV" w:eastAsia="es-SV"/>
              </w:rPr>
              <w:t>Mejora del tiempo de respuesta para la disponibilidad de medicinas en l</w:t>
            </w:r>
            <w:r w:rsidR="004A44E6">
              <w:rPr>
                <w:rFonts w:ascii="Calibri" w:eastAsia="Times New Roman" w:hAnsi="Calibri" w:cs="Times New Roman"/>
                <w:color w:val="000000"/>
                <w:sz w:val="18"/>
                <w:szCs w:val="18"/>
                <w:lang w:val="es-SV" w:eastAsia="es-SV"/>
              </w:rPr>
              <w:t xml:space="preserve">os establecimientos de salud, </w:t>
            </w:r>
            <w:r w:rsidR="004A44E6" w:rsidRPr="004A44E6">
              <w:rPr>
                <w:rFonts w:ascii="Calibri" w:eastAsia="Times New Roman" w:hAnsi="Calibri" w:cs="Times New Roman"/>
                <w:color w:val="000000"/>
                <w:sz w:val="18"/>
                <w:szCs w:val="18"/>
                <w:lang w:val="es-SV" w:eastAsia="es-SV"/>
              </w:rPr>
              <w:t>optimizar las redes de distribución para mejorar la disponibilidad de medicamentos y reactivos en los establecimientos de salud</w:t>
            </w:r>
            <w:r w:rsidR="004A44E6">
              <w:rPr>
                <w:rFonts w:ascii="Calibri" w:eastAsia="Times New Roman" w:hAnsi="Calibri" w:cs="Times New Roman"/>
                <w:color w:val="000000"/>
                <w:sz w:val="18"/>
                <w:szCs w:val="18"/>
                <w:lang w:val="es-SV" w:eastAsia="es-SV"/>
              </w:rPr>
              <w:t>.</w:t>
            </w:r>
            <w:r w:rsidR="001D6A9F">
              <w:rPr>
                <w:rFonts w:ascii="Calibri" w:eastAsia="Times New Roman" w:hAnsi="Calibri" w:cs="Times New Roman"/>
                <w:color w:val="000000"/>
                <w:sz w:val="18"/>
                <w:szCs w:val="18"/>
                <w:lang w:val="es-SV" w:eastAsia="es-SV"/>
              </w:rPr>
              <w:t xml:space="preserve"> </w:t>
            </w:r>
          </w:p>
        </w:tc>
        <w:tc>
          <w:tcPr>
            <w:tcW w:w="231" w:type="pct"/>
            <w:shd w:val="clear" w:color="auto" w:fill="auto"/>
            <w:vAlign w:val="bottom"/>
          </w:tcPr>
          <w:p w14:paraId="2389CA34" w14:textId="77777777" w:rsidR="00CD1BD2" w:rsidRPr="00CD1BD2" w:rsidRDefault="00CD1BD2" w:rsidP="00C0324C">
            <w:pPr>
              <w:jc w:val="center"/>
              <w:rPr>
                <w:rFonts w:ascii="Calibri" w:hAnsi="Calibri"/>
                <w:lang w:val="es-SV"/>
              </w:rPr>
            </w:pPr>
            <w:r>
              <w:rPr>
                <w:rFonts w:ascii="Calibri" w:hAnsi="Calibri"/>
                <w:lang w:val="es-SV"/>
              </w:rPr>
              <w:t>X</w:t>
            </w:r>
          </w:p>
        </w:tc>
        <w:tc>
          <w:tcPr>
            <w:tcW w:w="264" w:type="pct"/>
            <w:shd w:val="clear" w:color="auto" w:fill="auto"/>
            <w:vAlign w:val="bottom"/>
          </w:tcPr>
          <w:p w14:paraId="781EEFA6" w14:textId="77777777" w:rsidR="00CD1BD2" w:rsidRDefault="00CD1BD2" w:rsidP="00C0324C">
            <w:pPr>
              <w:jc w:val="center"/>
              <w:rPr>
                <w:rFonts w:ascii="Calibri" w:hAnsi="Calibri"/>
              </w:rPr>
            </w:pPr>
            <w:r>
              <w:rPr>
                <w:rFonts w:ascii="Calibri" w:hAnsi="Calibri"/>
              </w:rPr>
              <w:t>X</w:t>
            </w:r>
          </w:p>
        </w:tc>
        <w:tc>
          <w:tcPr>
            <w:tcW w:w="264" w:type="pct"/>
            <w:shd w:val="clear" w:color="auto" w:fill="auto"/>
            <w:vAlign w:val="bottom"/>
          </w:tcPr>
          <w:p w14:paraId="55DCAD70" w14:textId="77777777" w:rsidR="00CD1BD2" w:rsidRDefault="00CD1BD2" w:rsidP="00C0324C">
            <w:pPr>
              <w:jc w:val="center"/>
              <w:rPr>
                <w:rFonts w:ascii="Calibri" w:hAnsi="Calibri"/>
              </w:rPr>
            </w:pPr>
            <w:r>
              <w:rPr>
                <w:rFonts w:ascii="Calibri" w:hAnsi="Calibri"/>
              </w:rPr>
              <w:t>X</w:t>
            </w:r>
          </w:p>
        </w:tc>
        <w:tc>
          <w:tcPr>
            <w:tcW w:w="265" w:type="pct"/>
            <w:shd w:val="clear" w:color="auto" w:fill="auto"/>
            <w:vAlign w:val="bottom"/>
          </w:tcPr>
          <w:p w14:paraId="0DF67E87" w14:textId="77777777" w:rsidR="00CD1BD2" w:rsidRDefault="00CD1BD2" w:rsidP="00C0324C">
            <w:pPr>
              <w:jc w:val="center"/>
              <w:rPr>
                <w:rFonts w:ascii="Calibri" w:hAnsi="Calibri"/>
              </w:rPr>
            </w:pPr>
            <w:r>
              <w:rPr>
                <w:rFonts w:ascii="Calibri" w:hAnsi="Calibri"/>
              </w:rPr>
              <w:t>X</w:t>
            </w:r>
          </w:p>
        </w:tc>
        <w:tc>
          <w:tcPr>
            <w:tcW w:w="213" w:type="pct"/>
            <w:shd w:val="clear" w:color="auto" w:fill="auto"/>
            <w:vAlign w:val="bottom"/>
          </w:tcPr>
          <w:p w14:paraId="4460B68B" w14:textId="77777777" w:rsidR="00CD1BD2" w:rsidRDefault="00CD1BD2" w:rsidP="00C0324C">
            <w:pPr>
              <w:jc w:val="center"/>
              <w:rPr>
                <w:rFonts w:ascii="Calibri" w:hAnsi="Calibri"/>
              </w:rPr>
            </w:pPr>
            <w:r>
              <w:rPr>
                <w:rFonts w:ascii="Calibri" w:hAnsi="Calibri"/>
              </w:rPr>
              <w:t>X</w:t>
            </w:r>
          </w:p>
        </w:tc>
      </w:tr>
      <w:tr w:rsidR="00B95023" w:rsidRPr="00047B1F" w14:paraId="7635C09B" w14:textId="77777777" w:rsidTr="001B56B3">
        <w:trPr>
          <w:gridAfter w:val="1"/>
          <w:wAfter w:w="6" w:type="pct"/>
          <w:trHeight w:val="278"/>
        </w:trPr>
        <w:tc>
          <w:tcPr>
            <w:tcW w:w="3757" w:type="pct"/>
            <w:shd w:val="clear" w:color="auto" w:fill="auto"/>
          </w:tcPr>
          <w:p w14:paraId="54B0A559" w14:textId="77777777" w:rsidR="00B95023" w:rsidRPr="00CD1BD2" w:rsidRDefault="00B95023" w:rsidP="00B95023">
            <w:pPr>
              <w:rPr>
                <w:rFonts w:ascii="Calibri" w:eastAsia="Times New Roman" w:hAnsi="Calibri" w:cs="Times New Roman"/>
                <w:color w:val="000000"/>
                <w:sz w:val="18"/>
                <w:szCs w:val="18"/>
                <w:lang w:val="es-SV" w:eastAsia="es-SV"/>
              </w:rPr>
            </w:pPr>
            <w:r w:rsidRPr="00B95023">
              <w:rPr>
                <w:rFonts w:ascii="Calibri" w:eastAsia="Times New Roman" w:hAnsi="Calibri" w:cs="Times New Roman"/>
                <w:color w:val="000000"/>
                <w:sz w:val="18"/>
                <w:szCs w:val="18"/>
                <w:lang w:val="es-SV" w:eastAsia="es-SV"/>
              </w:rPr>
              <w:t>Establecimiento de herramientas de medición de desempeño y supervisión, para mejorar los resultados de la gestión de suministros.</w:t>
            </w:r>
          </w:p>
        </w:tc>
        <w:tc>
          <w:tcPr>
            <w:tcW w:w="231" w:type="pct"/>
            <w:shd w:val="clear" w:color="auto" w:fill="auto"/>
            <w:vAlign w:val="bottom"/>
          </w:tcPr>
          <w:p w14:paraId="17C41FAD" w14:textId="77777777" w:rsidR="00B95023" w:rsidRPr="00CD1BD2" w:rsidRDefault="00B95023" w:rsidP="00B95023">
            <w:pPr>
              <w:jc w:val="center"/>
              <w:rPr>
                <w:rFonts w:ascii="Calibri" w:hAnsi="Calibri"/>
                <w:lang w:val="es-SV"/>
              </w:rPr>
            </w:pPr>
            <w:r>
              <w:rPr>
                <w:rFonts w:ascii="Calibri" w:hAnsi="Calibri"/>
                <w:lang w:val="es-SV"/>
              </w:rPr>
              <w:t>X</w:t>
            </w:r>
          </w:p>
        </w:tc>
        <w:tc>
          <w:tcPr>
            <w:tcW w:w="264" w:type="pct"/>
            <w:shd w:val="clear" w:color="auto" w:fill="auto"/>
            <w:vAlign w:val="bottom"/>
          </w:tcPr>
          <w:p w14:paraId="59FFE93E" w14:textId="77777777" w:rsidR="00B95023" w:rsidRDefault="00B95023" w:rsidP="00B95023">
            <w:pPr>
              <w:jc w:val="center"/>
              <w:rPr>
                <w:rFonts w:ascii="Calibri" w:hAnsi="Calibri"/>
              </w:rPr>
            </w:pPr>
            <w:r>
              <w:rPr>
                <w:rFonts w:ascii="Calibri" w:hAnsi="Calibri"/>
              </w:rPr>
              <w:t>X</w:t>
            </w:r>
          </w:p>
        </w:tc>
        <w:tc>
          <w:tcPr>
            <w:tcW w:w="264" w:type="pct"/>
            <w:shd w:val="clear" w:color="auto" w:fill="auto"/>
            <w:vAlign w:val="bottom"/>
          </w:tcPr>
          <w:p w14:paraId="49A3CE9B" w14:textId="77777777" w:rsidR="00B95023" w:rsidRDefault="00B95023" w:rsidP="00B95023">
            <w:pPr>
              <w:jc w:val="center"/>
              <w:rPr>
                <w:rFonts w:ascii="Calibri" w:hAnsi="Calibri"/>
              </w:rPr>
            </w:pPr>
          </w:p>
        </w:tc>
        <w:tc>
          <w:tcPr>
            <w:tcW w:w="265" w:type="pct"/>
            <w:shd w:val="clear" w:color="auto" w:fill="auto"/>
            <w:vAlign w:val="bottom"/>
          </w:tcPr>
          <w:p w14:paraId="2C39FD68" w14:textId="77777777" w:rsidR="00B95023" w:rsidRDefault="00B95023" w:rsidP="00B95023">
            <w:pPr>
              <w:jc w:val="center"/>
              <w:rPr>
                <w:rFonts w:ascii="Calibri" w:hAnsi="Calibri"/>
              </w:rPr>
            </w:pPr>
          </w:p>
        </w:tc>
        <w:tc>
          <w:tcPr>
            <w:tcW w:w="213" w:type="pct"/>
            <w:shd w:val="clear" w:color="auto" w:fill="auto"/>
            <w:vAlign w:val="bottom"/>
          </w:tcPr>
          <w:p w14:paraId="47BB443D" w14:textId="77777777" w:rsidR="00B95023" w:rsidRDefault="00B95023" w:rsidP="00B95023">
            <w:pPr>
              <w:jc w:val="center"/>
              <w:rPr>
                <w:rFonts w:ascii="Calibri" w:hAnsi="Calibri"/>
              </w:rPr>
            </w:pPr>
          </w:p>
        </w:tc>
      </w:tr>
      <w:tr w:rsidR="00B95023" w:rsidRPr="00047B1F" w14:paraId="13A28210" w14:textId="77777777" w:rsidTr="001B56B3">
        <w:trPr>
          <w:gridAfter w:val="1"/>
          <w:wAfter w:w="6" w:type="pct"/>
          <w:trHeight w:val="278"/>
        </w:trPr>
        <w:tc>
          <w:tcPr>
            <w:tcW w:w="3757" w:type="pct"/>
            <w:shd w:val="clear" w:color="auto" w:fill="auto"/>
          </w:tcPr>
          <w:p w14:paraId="072B0275" w14:textId="77777777" w:rsidR="00B95023" w:rsidRPr="00B95023" w:rsidRDefault="00B95023" w:rsidP="00B95023">
            <w:pPr>
              <w:rPr>
                <w:rFonts w:ascii="Calibri" w:eastAsia="Times New Roman" w:hAnsi="Calibri" w:cs="Times New Roman"/>
                <w:color w:val="000000"/>
                <w:sz w:val="18"/>
                <w:szCs w:val="18"/>
                <w:lang w:val="es-SV" w:eastAsia="es-SV"/>
              </w:rPr>
            </w:pPr>
            <w:r w:rsidRPr="00B95023">
              <w:rPr>
                <w:rFonts w:ascii="Calibri" w:eastAsia="Times New Roman" w:hAnsi="Calibri" w:cs="Times New Roman"/>
                <w:color w:val="000000"/>
                <w:sz w:val="18"/>
                <w:szCs w:val="18"/>
                <w:lang w:val="es-SV" w:eastAsia="es-SV"/>
              </w:rPr>
              <w:t>Seguimiento a los niveles de inventario, para anticipar situaciones de desabastecimiento y evitar pérdidas por vencimiento, identificando las gestiones requeridas.</w:t>
            </w:r>
          </w:p>
        </w:tc>
        <w:tc>
          <w:tcPr>
            <w:tcW w:w="231" w:type="pct"/>
            <w:shd w:val="clear" w:color="auto" w:fill="auto"/>
            <w:vAlign w:val="bottom"/>
          </w:tcPr>
          <w:p w14:paraId="1809F7A1" w14:textId="77777777" w:rsidR="00B95023" w:rsidRPr="00CD1BD2" w:rsidRDefault="00B95023" w:rsidP="00B95023">
            <w:pPr>
              <w:jc w:val="center"/>
              <w:rPr>
                <w:rFonts w:ascii="Calibri" w:hAnsi="Calibri"/>
                <w:lang w:val="es-SV"/>
              </w:rPr>
            </w:pPr>
            <w:r>
              <w:rPr>
                <w:rFonts w:ascii="Calibri" w:hAnsi="Calibri"/>
                <w:lang w:val="es-SV"/>
              </w:rPr>
              <w:t>X</w:t>
            </w:r>
          </w:p>
        </w:tc>
        <w:tc>
          <w:tcPr>
            <w:tcW w:w="264" w:type="pct"/>
            <w:shd w:val="clear" w:color="auto" w:fill="auto"/>
            <w:vAlign w:val="bottom"/>
          </w:tcPr>
          <w:p w14:paraId="516DAD02" w14:textId="77777777" w:rsidR="00B95023" w:rsidRDefault="00B95023" w:rsidP="00B95023">
            <w:pPr>
              <w:jc w:val="center"/>
              <w:rPr>
                <w:rFonts w:ascii="Calibri" w:hAnsi="Calibri"/>
              </w:rPr>
            </w:pPr>
            <w:r>
              <w:rPr>
                <w:rFonts w:ascii="Calibri" w:hAnsi="Calibri"/>
              </w:rPr>
              <w:t>X</w:t>
            </w:r>
          </w:p>
        </w:tc>
        <w:tc>
          <w:tcPr>
            <w:tcW w:w="264" w:type="pct"/>
            <w:shd w:val="clear" w:color="auto" w:fill="auto"/>
            <w:vAlign w:val="bottom"/>
          </w:tcPr>
          <w:p w14:paraId="7793178A" w14:textId="77777777" w:rsidR="00B95023" w:rsidRPr="00CD1BD2" w:rsidRDefault="00B95023" w:rsidP="00B95023">
            <w:pPr>
              <w:jc w:val="center"/>
              <w:rPr>
                <w:rFonts w:ascii="Calibri" w:hAnsi="Calibri"/>
                <w:lang w:val="es-SV"/>
              </w:rPr>
            </w:pPr>
            <w:r>
              <w:rPr>
                <w:rFonts w:ascii="Calibri" w:hAnsi="Calibri"/>
                <w:lang w:val="es-SV"/>
              </w:rPr>
              <w:t>X</w:t>
            </w:r>
          </w:p>
        </w:tc>
        <w:tc>
          <w:tcPr>
            <w:tcW w:w="265" w:type="pct"/>
            <w:shd w:val="clear" w:color="auto" w:fill="auto"/>
            <w:vAlign w:val="bottom"/>
          </w:tcPr>
          <w:p w14:paraId="60FB05F6" w14:textId="77777777" w:rsidR="00B95023" w:rsidRDefault="00B95023" w:rsidP="00B95023">
            <w:pPr>
              <w:jc w:val="center"/>
              <w:rPr>
                <w:rFonts w:ascii="Calibri" w:hAnsi="Calibri"/>
              </w:rPr>
            </w:pPr>
            <w:r>
              <w:rPr>
                <w:rFonts w:ascii="Calibri" w:hAnsi="Calibri"/>
              </w:rPr>
              <w:t>X</w:t>
            </w:r>
          </w:p>
        </w:tc>
        <w:tc>
          <w:tcPr>
            <w:tcW w:w="213" w:type="pct"/>
            <w:shd w:val="clear" w:color="auto" w:fill="auto"/>
            <w:vAlign w:val="bottom"/>
          </w:tcPr>
          <w:p w14:paraId="19209FE3" w14:textId="77777777" w:rsidR="00B95023" w:rsidRPr="00CD1BD2" w:rsidRDefault="00B95023" w:rsidP="00B95023">
            <w:pPr>
              <w:jc w:val="center"/>
              <w:rPr>
                <w:rFonts w:ascii="Calibri" w:hAnsi="Calibri"/>
                <w:lang w:val="es-SV"/>
              </w:rPr>
            </w:pPr>
            <w:r>
              <w:rPr>
                <w:rFonts w:ascii="Calibri" w:hAnsi="Calibri"/>
                <w:lang w:val="es-SV"/>
              </w:rPr>
              <w:t>X</w:t>
            </w:r>
          </w:p>
        </w:tc>
      </w:tr>
      <w:tr w:rsidR="00193981" w:rsidRPr="00047B1F" w14:paraId="09F8463F" w14:textId="77777777" w:rsidTr="001B56B3">
        <w:trPr>
          <w:gridAfter w:val="1"/>
          <w:wAfter w:w="6" w:type="pct"/>
          <w:trHeight w:val="278"/>
        </w:trPr>
        <w:tc>
          <w:tcPr>
            <w:tcW w:w="3757" w:type="pct"/>
            <w:shd w:val="clear" w:color="auto" w:fill="auto"/>
          </w:tcPr>
          <w:p w14:paraId="5C6454EF" w14:textId="77777777" w:rsidR="00193981" w:rsidRPr="00CD1BD2" w:rsidRDefault="00193981" w:rsidP="00193981">
            <w:pPr>
              <w:rPr>
                <w:rFonts w:ascii="Calibri" w:eastAsia="Times New Roman" w:hAnsi="Calibri" w:cs="Times New Roman"/>
                <w:color w:val="000000"/>
                <w:sz w:val="18"/>
                <w:szCs w:val="18"/>
                <w:lang w:val="es-SV" w:eastAsia="es-SV"/>
              </w:rPr>
            </w:pPr>
            <w:r w:rsidRPr="00193981">
              <w:rPr>
                <w:rFonts w:ascii="Calibri" w:eastAsia="Times New Roman" w:hAnsi="Calibri" w:cs="Times New Roman"/>
                <w:color w:val="000000"/>
                <w:sz w:val="18"/>
                <w:szCs w:val="18"/>
                <w:lang w:val="es-SV" w:eastAsia="es-SV"/>
              </w:rPr>
              <w:t>Monitoreo de la resistencia a los ARV para evaluar el fracaso del tratamiento y guiar la terapia antirretroviral efectiva</w:t>
            </w:r>
          </w:p>
        </w:tc>
        <w:tc>
          <w:tcPr>
            <w:tcW w:w="231" w:type="pct"/>
            <w:shd w:val="clear" w:color="auto" w:fill="auto"/>
            <w:vAlign w:val="bottom"/>
          </w:tcPr>
          <w:p w14:paraId="101B4CB6" w14:textId="77777777" w:rsidR="00193981" w:rsidRPr="00CD1BD2" w:rsidRDefault="00193981" w:rsidP="00193981">
            <w:pPr>
              <w:jc w:val="center"/>
              <w:rPr>
                <w:rFonts w:ascii="Calibri" w:hAnsi="Calibri"/>
                <w:lang w:val="es-SV"/>
              </w:rPr>
            </w:pPr>
            <w:r>
              <w:rPr>
                <w:rFonts w:ascii="Calibri" w:hAnsi="Calibri"/>
                <w:lang w:val="es-SV"/>
              </w:rPr>
              <w:t>X</w:t>
            </w:r>
          </w:p>
        </w:tc>
        <w:tc>
          <w:tcPr>
            <w:tcW w:w="264" w:type="pct"/>
            <w:shd w:val="clear" w:color="auto" w:fill="auto"/>
            <w:vAlign w:val="bottom"/>
          </w:tcPr>
          <w:p w14:paraId="025AAD93" w14:textId="77777777" w:rsidR="00193981" w:rsidRDefault="00193981" w:rsidP="00193981">
            <w:pPr>
              <w:jc w:val="center"/>
              <w:rPr>
                <w:rFonts w:ascii="Calibri" w:hAnsi="Calibri"/>
              </w:rPr>
            </w:pPr>
            <w:r>
              <w:rPr>
                <w:rFonts w:ascii="Calibri" w:hAnsi="Calibri"/>
              </w:rPr>
              <w:t>X</w:t>
            </w:r>
          </w:p>
        </w:tc>
        <w:tc>
          <w:tcPr>
            <w:tcW w:w="264" w:type="pct"/>
            <w:shd w:val="clear" w:color="auto" w:fill="auto"/>
            <w:vAlign w:val="bottom"/>
          </w:tcPr>
          <w:p w14:paraId="6BC19081" w14:textId="77777777" w:rsidR="00193981" w:rsidRDefault="00193981" w:rsidP="00193981">
            <w:pPr>
              <w:jc w:val="center"/>
              <w:rPr>
                <w:rFonts w:ascii="Calibri" w:hAnsi="Calibri"/>
              </w:rPr>
            </w:pPr>
            <w:r>
              <w:rPr>
                <w:rFonts w:ascii="Calibri" w:hAnsi="Calibri"/>
              </w:rPr>
              <w:t>X</w:t>
            </w:r>
          </w:p>
        </w:tc>
        <w:tc>
          <w:tcPr>
            <w:tcW w:w="265" w:type="pct"/>
            <w:shd w:val="clear" w:color="auto" w:fill="auto"/>
            <w:vAlign w:val="bottom"/>
          </w:tcPr>
          <w:p w14:paraId="7BD1963B" w14:textId="77777777" w:rsidR="00193981" w:rsidRDefault="00193981" w:rsidP="00193981">
            <w:pPr>
              <w:jc w:val="center"/>
              <w:rPr>
                <w:rFonts w:ascii="Calibri" w:hAnsi="Calibri"/>
              </w:rPr>
            </w:pPr>
            <w:r>
              <w:rPr>
                <w:rFonts w:ascii="Calibri" w:hAnsi="Calibri"/>
              </w:rPr>
              <w:t>X</w:t>
            </w:r>
          </w:p>
        </w:tc>
        <w:tc>
          <w:tcPr>
            <w:tcW w:w="213" w:type="pct"/>
            <w:shd w:val="clear" w:color="auto" w:fill="auto"/>
            <w:vAlign w:val="bottom"/>
          </w:tcPr>
          <w:p w14:paraId="327D3F75" w14:textId="77777777" w:rsidR="00193981" w:rsidRDefault="00193981" w:rsidP="00193981">
            <w:pPr>
              <w:jc w:val="center"/>
              <w:rPr>
                <w:rFonts w:ascii="Calibri" w:hAnsi="Calibri"/>
              </w:rPr>
            </w:pPr>
            <w:r>
              <w:rPr>
                <w:rFonts w:ascii="Calibri" w:hAnsi="Calibri"/>
              </w:rPr>
              <w:t>X</w:t>
            </w:r>
          </w:p>
        </w:tc>
      </w:tr>
      <w:tr w:rsidR="00193981" w:rsidRPr="00047B1F" w14:paraId="7FB68A97" w14:textId="77777777" w:rsidTr="001B56B3">
        <w:trPr>
          <w:gridAfter w:val="1"/>
          <w:wAfter w:w="6" w:type="pct"/>
          <w:trHeight w:val="278"/>
        </w:trPr>
        <w:tc>
          <w:tcPr>
            <w:tcW w:w="3757" w:type="pct"/>
            <w:shd w:val="clear" w:color="auto" w:fill="auto"/>
          </w:tcPr>
          <w:p w14:paraId="14AB9117" w14:textId="77777777" w:rsidR="00193981" w:rsidRPr="00193981" w:rsidRDefault="00193981" w:rsidP="00193981">
            <w:pPr>
              <w:rPr>
                <w:rFonts w:ascii="Calibri" w:eastAsia="Times New Roman" w:hAnsi="Calibri" w:cs="Times New Roman"/>
                <w:color w:val="000000"/>
                <w:sz w:val="18"/>
                <w:szCs w:val="18"/>
                <w:lang w:val="es-SV" w:eastAsia="es-SV"/>
              </w:rPr>
            </w:pPr>
            <w:r w:rsidRPr="00193981">
              <w:rPr>
                <w:rFonts w:ascii="Calibri" w:eastAsia="Times New Roman" w:hAnsi="Calibri" w:cs="Times New Roman"/>
                <w:color w:val="000000"/>
                <w:sz w:val="18"/>
                <w:szCs w:val="18"/>
                <w:lang w:val="es-SV" w:eastAsia="es-SV"/>
              </w:rPr>
              <w:t>Asistencia técnica a los programas VIH y Tb para fortalecer las acciones colaborativas en el man</w:t>
            </w:r>
            <w:r>
              <w:rPr>
                <w:rFonts w:ascii="Calibri" w:eastAsia="Times New Roman" w:hAnsi="Calibri" w:cs="Times New Roman"/>
                <w:color w:val="000000"/>
                <w:sz w:val="18"/>
                <w:szCs w:val="18"/>
                <w:lang w:val="es-SV" w:eastAsia="es-SV"/>
              </w:rPr>
              <w:t>ejo de la  coinfección Tb/VIH</w:t>
            </w:r>
          </w:p>
        </w:tc>
        <w:tc>
          <w:tcPr>
            <w:tcW w:w="231" w:type="pct"/>
            <w:shd w:val="clear" w:color="auto" w:fill="auto"/>
            <w:vAlign w:val="bottom"/>
          </w:tcPr>
          <w:p w14:paraId="14E9EDA9" w14:textId="77777777" w:rsidR="00193981" w:rsidRPr="00CD1BD2" w:rsidRDefault="00193981" w:rsidP="00193981">
            <w:pPr>
              <w:jc w:val="center"/>
              <w:rPr>
                <w:rFonts w:ascii="Calibri" w:hAnsi="Calibri"/>
                <w:lang w:val="es-SV"/>
              </w:rPr>
            </w:pPr>
            <w:r>
              <w:rPr>
                <w:rFonts w:ascii="Calibri" w:hAnsi="Calibri"/>
                <w:lang w:val="es-SV"/>
              </w:rPr>
              <w:t>X</w:t>
            </w:r>
          </w:p>
        </w:tc>
        <w:tc>
          <w:tcPr>
            <w:tcW w:w="264" w:type="pct"/>
            <w:shd w:val="clear" w:color="auto" w:fill="auto"/>
            <w:vAlign w:val="bottom"/>
          </w:tcPr>
          <w:p w14:paraId="6D4F18C0" w14:textId="77777777" w:rsidR="00193981" w:rsidRDefault="00193981" w:rsidP="00193981">
            <w:pPr>
              <w:jc w:val="center"/>
              <w:rPr>
                <w:rFonts w:ascii="Calibri" w:hAnsi="Calibri"/>
              </w:rPr>
            </w:pPr>
            <w:r>
              <w:rPr>
                <w:rFonts w:ascii="Calibri" w:hAnsi="Calibri"/>
              </w:rPr>
              <w:t>X</w:t>
            </w:r>
          </w:p>
        </w:tc>
        <w:tc>
          <w:tcPr>
            <w:tcW w:w="264" w:type="pct"/>
            <w:shd w:val="clear" w:color="auto" w:fill="auto"/>
            <w:vAlign w:val="bottom"/>
          </w:tcPr>
          <w:p w14:paraId="0E756BF9" w14:textId="77777777" w:rsidR="00193981" w:rsidRDefault="00193981" w:rsidP="00193981">
            <w:pPr>
              <w:jc w:val="center"/>
              <w:rPr>
                <w:rFonts w:ascii="Calibri" w:hAnsi="Calibri"/>
              </w:rPr>
            </w:pPr>
            <w:r>
              <w:rPr>
                <w:rFonts w:ascii="Calibri" w:hAnsi="Calibri"/>
              </w:rPr>
              <w:t>X</w:t>
            </w:r>
          </w:p>
        </w:tc>
        <w:tc>
          <w:tcPr>
            <w:tcW w:w="265" w:type="pct"/>
            <w:shd w:val="clear" w:color="auto" w:fill="auto"/>
            <w:vAlign w:val="bottom"/>
          </w:tcPr>
          <w:p w14:paraId="49BBEA6D" w14:textId="77777777" w:rsidR="00193981" w:rsidRDefault="00193981" w:rsidP="00193981">
            <w:pPr>
              <w:jc w:val="center"/>
              <w:rPr>
                <w:rFonts w:ascii="Calibri" w:hAnsi="Calibri"/>
              </w:rPr>
            </w:pPr>
            <w:r>
              <w:rPr>
                <w:rFonts w:ascii="Calibri" w:hAnsi="Calibri"/>
              </w:rPr>
              <w:t>X</w:t>
            </w:r>
          </w:p>
        </w:tc>
        <w:tc>
          <w:tcPr>
            <w:tcW w:w="213" w:type="pct"/>
            <w:shd w:val="clear" w:color="auto" w:fill="auto"/>
            <w:vAlign w:val="bottom"/>
          </w:tcPr>
          <w:p w14:paraId="491D2F90" w14:textId="77777777" w:rsidR="00193981" w:rsidRDefault="00193981" w:rsidP="00193981">
            <w:pPr>
              <w:jc w:val="center"/>
              <w:rPr>
                <w:rFonts w:ascii="Calibri" w:hAnsi="Calibri"/>
              </w:rPr>
            </w:pPr>
            <w:r>
              <w:rPr>
                <w:rFonts w:ascii="Calibri" w:hAnsi="Calibri"/>
              </w:rPr>
              <w:t>X</w:t>
            </w:r>
          </w:p>
        </w:tc>
      </w:tr>
      <w:tr w:rsidR="00193981" w:rsidRPr="00047B1F" w14:paraId="69FAEAFD" w14:textId="77777777" w:rsidTr="001B56B3">
        <w:trPr>
          <w:gridAfter w:val="1"/>
          <w:wAfter w:w="6" w:type="pct"/>
          <w:trHeight w:val="278"/>
        </w:trPr>
        <w:tc>
          <w:tcPr>
            <w:tcW w:w="3757" w:type="pct"/>
            <w:shd w:val="clear" w:color="auto" w:fill="auto"/>
          </w:tcPr>
          <w:p w14:paraId="18EFB68C" w14:textId="77777777" w:rsidR="00193981" w:rsidRPr="00193981" w:rsidRDefault="00193981" w:rsidP="00193981">
            <w:pPr>
              <w:rPr>
                <w:rFonts w:ascii="Calibri" w:eastAsia="Times New Roman" w:hAnsi="Calibri" w:cs="Times New Roman"/>
                <w:color w:val="000000"/>
                <w:sz w:val="18"/>
                <w:szCs w:val="18"/>
                <w:lang w:val="es-SV" w:eastAsia="es-SV"/>
              </w:rPr>
            </w:pPr>
            <w:r w:rsidRPr="00193981">
              <w:rPr>
                <w:rFonts w:ascii="Calibri" w:eastAsia="Times New Roman" w:hAnsi="Calibri" w:cs="Times New Roman"/>
                <w:color w:val="000000"/>
                <w:sz w:val="18"/>
                <w:szCs w:val="18"/>
                <w:lang w:val="es-SV" w:eastAsia="es-SV"/>
              </w:rPr>
              <w:t>Diagnóstico temprano de VIH en pacientes con tuberculosis confirmada y presuntiva, mediante el uso de consejería y prueba de VIH</w:t>
            </w:r>
          </w:p>
        </w:tc>
        <w:tc>
          <w:tcPr>
            <w:tcW w:w="231" w:type="pct"/>
            <w:shd w:val="clear" w:color="auto" w:fill="auto"/>
            <w:vAlign w:val="bottom"/>
          </w:tcPr>
          <w:p w14:paraId="3F3ADDB8" w14:textId="77777777" w:rsidR="00193981" w:rsidRPr="00CD1BD2" w:rsidRDefault="00193981" w:rsidP="00193981">
            <w:pPr>
              <w:jc w:val="center"/>
              <w:rPr>
                <w:rFonts w:ascii="Calibri" w:hAnsi="Calibri"/>
                <w:lang w:val="es-SV"/>
              </w:rPr>
            </w:pPr>
            <w:r>
              <w:rPr>
                <w:rFonts w:ascii="Calibri" w:hAnsi="Calibri"/>
                <w:lang w:val="es-SV"/>
              </w:rPr>
              <w:t>X</w:t>
            </w:r>
          </w:p>
        </w:tc>
        <w:tc>
          <w:tcPr>
            <w:tcW w:w="264" w:type="pct"/>
            <w:shd w:val="clear" w:color="auto" w:fill="auto"/>
            <w:vAlign w:val="bottom"/>
          </w:tcPr>
          <w:p w14:paraId="5058B2E9" w14:textId="77777777" w:rsidR="00193981" w:rsidRDefault="00193981" w:rsidP="00193981">
            <w:pPr>
              <w:jc w:val="center"/>
              <w:rPr>
                <w:rFonts w:ascii="Calibri" w:hAnsi="Calibri"/>
              </w:rPr>
            </w:pPr>
            <w:r>
              <w:rPr>
                <w:rFonts w:ascii="Calibri" w:hAnsi="Calibri"/>
              </w:rPr>
              <w:t>X</w:t>
            </w:r>
          </w:p>
        </w:tc>
        <w:tc>
          <w:tcPr>
            <w:tcW w:w="264" w:type="pct"/>
            <w:shd w:val="clear" w:color="auto" w:fill="auto"/>
            <w:vAlign w:val="bottom"/>
          </w:tcPr>
          <w:p w14:paraId="75D47107" w14:textId="77777777" w:rsidR="00193981" w:rsidRDefault="00193981" w:rsidP="00193981">
            <w:pPr>
              <w:jc w:val="center"/>
              <w:rPr>
                <w:rFonts w:ascii="Calibri" w:hAnsi="Calibri"/>
              </w:rPr>
            </w:pPr>
            <w:r>
              <w:rPr>
                <w:rFonts w:ascii="Calibri" w:hAnsi="Calibri"/>
              </w:rPr>
              <w:t>X</w:t>
            </w:r>
          </w:p>
        </w:tc>
        <w:tc>
          <w:tcPr>
            <w:tcW w:w="265" w:type="pct"/>
            <w:shd w:val="clear" w:color="auto" w:fill="auto"/>
            <w:vAlign w:val="bottom"/>
          </w:tcPr>
          <w:p w14:paraId="72011852" w14:textId="77777777" w:rsidR="00193981" w:rsidRDefault="00193981" w:rsidP="00193981">
            <w:pPr>
              <w:jc w:val="center"/>
              <w:rPr>
                <w:rFonts w:ascii="Calibri" w:hAnsi="Calibri"/>
              </w:rPr>
            </w:pPr>
            <w:r>
              <w:rPr>
                <w:rFonts w:ascii="Calibri" w:hAnsi="Calibri"/>
              </w:rPr>
              <w:t>X</w:t>
            </w:r>
          </w:p>
        </w:tc>
        <w:tc>
          <w:tcPr>
            <w:tcW w:w="213" w:type="pct"/>
            <w:shd w:val="clear" w:color="auto" w:fill="auto"/>
            <w:vAlign w:val="bottom"/>
          </w:tcPr>
          <w:p w14:paraId="2F0EE884" w14:textId="77777777" w:rsidR="00193981" w:rsidRDefault="00193981" w:rsidP="00193981">
            <w:pPr>
              <w:jc w:val="center"/>
              <w:rPr>
                <w:rFonts w:ascii="Calibri" w:hAnsi="Calibri"/>
              </w:rPr>
            </w:pPr>
            <w:r>
              <w:rPr>
                <w:rFonts w:ascii="Calibri" w:hAnsi="Calibri"/>
              </w:rPr>
              <w:t>X</w:t>
            </w:r>
          </w:p>
        </w:tc>
      </w:tr>
      <w:tr w:rsidR="008D559C" w:rsidRPr="00047B1F" w14:paraId="1325CED5" w14:textId="77777777" w:rsidTr="001B56B3">
        <w:trPr>
          <w:gridAfter w:val="1"/>
          <w:wAfter w:w="6" w:type="pct"/>
          <w:trHeight w:val="278"/>
        </w:trPr>
        <w:tc>
          <w:tcPr>
            <w:tcW w:w="3757" w:type="pct"/>
            <w:shd w:val="clear" w:color="auto" w:fill="auto"/>
          </w:tcPr>
          <w:p w14:paraId="5A15E059" w14:textId="77777777" w:rsidR="008D559C" w:rsidRPr="00193981" w:rsidRDefault="008D559C" w:rsidP="008D559C">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Fortalecimiento de los conocimiento del equipo clínico en el manejo de la atención a personas con VIH y poblaciones clave</w:t>
            </w:r>
          </w:p>
        </w:tc>
        <w:tc>
          <w:tcPr>
            <w:tcW w:w="231" w:type="pct"/>
            <w:shd w:val="clear" w:color="auto" w:fill="auto"/>
            <w:vAlign w:val="bottom"/>
          </w:tcPr>
          <w:p w14:paraId="144C9A84" w14:textId="77777777" w:rsidR="008D559C" w:rsidRPr="00CD1BD2" w:rsidRDefault="008D559C" w:rsidP="008D559C">
            <w:pPr>
              <w:jc w:val="center"/>
              <w:rPr>
                <w:rFonts w:ascii="Calibri" w:hAnsi="Calibri"/>
                <w:lang w:val="es-SV"/>
              </w:rPr>
            </w:pPr>
            <w:r>
              <w:rPr>
                <w:rFonts w:ascii="Calibri" w:hAnsi="Calibri"/>
                <w:lang w:val="es-SV"/>
              </w:rPr>
              <w:t>X</w:t>
            </w:r>
          </w:p>
        </w:tc>
        <w:tc>
          <w:tcPr>
            <w:tcW w:w="264" w:type="pct"/>
            <w:shd w:val="clear" w:color="auto" w:fill="auto"/>
            <w:vAlign w:val="bottom"/>
          </w:tcPr>
          <w:p w14:paraId="59D067CF" w14:textId="77777777" w:rsidR="008D559C" w:rsidRDefault="008D559C" w:rsidP="008D559C">
            <w:pPr>
              <w:jc w:val="center"/>
              <w:rPr>
                <w:rFonts w:ascii="Calibri" w:hAnsi="Calibri"/>
              </w:rPr>
            </w:pPr>
            <w:r>
              <w:rPr>
                <w:rFonts w:ascii="Calibri" w:hAnsi="Calibri"/>
              </w:rPr>
              <w:t>X</w:t>
            </w:r>
          </w:p>
        </w:tc>
        <w:tc>
          <w:tcPr>
            <w:tcW w:w="264" w:type="pct"/>
            <w:shd w:val="clear" w:color="auto" w:fill="auto"/>
            <w:vAlign w:val="bottom"/>
          </w:tcPr>
          <w:p w14:paraId="2B2B5055" w14:textId="77777777" w:rsidR="008D559C" w:rsidRDefault="008D559C" w:rsidP="008D559C">
            <w:pPr>
              <w:jc w:val="center"/>
              <w:rPr>
                <w:rFonts w:ascii="Calibri" w:hAnsi="Calibri"/>
              </w:rPr>
            </w:pPr>
            <w:r>
              <w:rPr>
                <w:rFonts w:ascii="Calibri" w:hAnsi="Calibri"/>
              </w:rPr>
              <w:t>X</w:t>
            </w:r>
          </w:p>
        </w:tc>
        <w:tc>
          <w:tcPr>
            <w:tcW w:w="265" w:type="pct"/>
            <w:shd w:val="clear" w:color="auto" w:fill="auto"/>
            <w:vAlign w:val="bottom"/>
          </w:tcPr>
          <w:p w14:paraId="37B5A871" w14:textId="77777777" w:rsidR="008D559C" w:rsidRDefault="008D559C" w:rsidP="008D559C">
            <w:pPr>
              <w:jc w:val="center"/>
              <w:rPr>
                <w:rFonts w:ascii="Calibri" w:hAnsi="Calibri"/>
              </w:rPr>
            </w:pPr>
            <w:r>
              <w:rPr>
                <w:rFonts w:ascii="Calibri" w:hAnsi="Calibri"/>
              </w:rPr>
              <w:t>X</w:t>
            </w:r>
          </w:p>
        </w:tc>
        <w:tc>
          <w:tcPr>
            <w:tcW w:w="213" w:type="pct"/>
            <w:shd w:val="clear" w:color="auto" w:fill="auto"/>
            <w:vAlign w:val="bottom"/>
          </w:tcPr>
          <w:p w14:paraId="4F0BCF8A" w14:textId="77777777" w:rsidR="008D559C" w:rsidRDefault="008D559C" w:rsidP="008D559C">
            <w:pPr>
              <w:jc w:val="center"/>
              <w:rPr>
                <w:rFonts w:ascii="Calibri" w:hAnsi="Calibri"/>
              </w:rPr>
            </w:pPr>
            <w:r>
              <w:rPr>
                <w:rFonts w:ascii="Calibri" w:hAnsi="Calibri"/>
              </w:rPr>
              <w:t>X</w:t>
            </w:r>
          </w:p>
        </w:tc>
      </w:tr>
    </w:tbl>
    <w:p w14:paraId="2C7C71DC" w14:textId="77777777" w:rsidR="00032AB4" w:rsidRDefault="00032AB4"/>
    <w:p w14:paraId="3D28CC67" w14:textId="77777777" w:rsidR="00A13DE7" w:rsidRDefault="00A13DE7"/>
    <w:p w14:paraId="61367032" w14:textId="77777777" w:rsidR="009F006B" w:rsidRDefault="009F006B"/>
    <w:tbl>
      <w:tblPr>
        <w:tblW w:w="5000" w:type="pct"/>
        <w:tblCellMar>
          <w:left w:w="70" w:type="dxa"/>
          <w:right w:w="70" w:type="dxa"/>
        </w:tblCellMar>
        <w:tblLook w:val="04A0" w:firstRow="1" w:lastRow="0" w:firstColumn="1" w:lastColumn="0" w:noHBand="0" w:noVBand="1"/>
      </w:tblPr>
      <w:tblGrid>
        <w:gridCol w:w="3062"/>
        <w:gridCol w:w="2596"/>
        <w:gridCol w:w="1840"/>
        <w:gridCol w:w="1840"/>
        <w:gridCol w:w="1824"/>
        <w:gridCol w:w="1832"/>
      </w:tblGrid>
      <w:tr w:rsidR="00032AB4" w:rsidRPr="001B56B3" w14:paraId="070E5486" w14:textId="77777777" w:rsidTr="001B56B3">
        <w:trPr>
          <w:trHeight w:val="361"/>
        </w:trPr>
        <w:tc>
          <w:tcPr>
            <w:tcW w:w="1178"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07B13C5" w14:textId="77777777" w:rsidR="00032AB4" w:rsidRPr="001B56B3" w:rsidRDefault="00032AB4" w:rsidP="00032AB4">
            <w:pPr>
              <w:rPr>
                <w:rFonts w:ascii="Calibri" w:eastAsia="Times New Roman" w:hAnsi="Calibri" w:cs="Times New Roman"/>
                <w:b/>
                <w:bCs/>
                <w:color w:val="000000"/>
                <w:sz w:val="18"/>
                <w:szCs w:val="18"/>
                <w:lang w:val="es-SV" w:eastAsia="es-SV"/>
              </w:rPr>
            </w:pPr>
            <w:r w:rsidRPr="001B56B3">
              <w:rPr>
                <w:rFonts w:ascii="Calibri" w:eastAsia="Times New Roman" w:hAnsi="Calibri" w:cs="Times New Roman"/>
                <w:b/>
                <w:bCs/>
                <w:color w:val="000000"/>
                <w:sz w:val="18"/>
                <w:szCs w:val="18"/>
                <w:lang w:val="es-SV" w:eastAsia="es-SV"/>
              </w:rPr>
              <w:t xml:space="preserve">Líneas de acción de la estrategia </w:t>
            </w:r>
          </w:p>
        </w:tc>
        <w:tc>
          <w:tcPr>
            <w:tcW w:w="999"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CB22BBC" w14:textId="77777777" w:rsidR="00032AB4" w:rsidRPr="001B56B3" w:rsidRDefault="00032AB4" w:rsidP="00312362">
            <w:pPr>
              <w:rPr>
                <w:rFonts w:ascii="Calibri" w:eastAsia="Times New Roman" w:hAnsi="Calibri" w:cs="Times New Roman"/>
                <w:b/>
                <w:color w:val="000000"/>
                <w:sz w:val="18"/>
                <w:szCs w:val="18"/>
                <w:lang w:val="es-SV" w:eastAsia="es-SV"/>
              </w:rPr>
            </w:pPr>
            <w:r w:rsidRPr="001B56B3">
              <w:rPr>
                <w:rFonts w:ascii="Calibri" w:eastAsia="Times New Roman" w:hAnsi="Calibri" w:cs="Times New Roman"/>
                <w:b/>
                <w:color w:val="000000"/>
                <w:sz w:val="18"/>
                <w:szCs w:val="18"/>
                <w:lang w:val="es-SV" w:eastAsia="es-SV"/>
              </w:rPr>
              <w:t>Situación actual</w:t>
            </w:r>
          </w:p>
        </w:tc>
        <w:tc>
          <w:tcPr>
            <w:tcW w:w="708"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A44837F" w14:textId="77777777" w:rsidR="00032AB4" w:rsidRPr="001B56B3" w:rsidRDefault="00032AB4" w:rsidP="00032AB4">
            <w:pPr>
              <w:rPr>
                <w:rFonts w:ascii="Calibri" w:eastAsia="Times New Roman" w:hAnsi="Calibri" w:cs="Times New Roman"/>
                <w:b/>
                <w:color w:val="000000"/>
                <w:sz w:val="18"/>
                <w:szCs w:val="18"/>
                <w:lang w:val="es-SV" w:eastAsia="es-SV"/>
              </w:rPr>
            </w:pPr>
            <w:r w:rsidRPr="001B56B3">
              <w:rPr>
                <w:rFonts w:ascii="Calibri" w:eastAsia="Times New Roman" w:hAnsi="Calibri" w:cs="Times New Roman"/>
                <w:b/>
                <w:color w:val="000000"/>
                <w:sz w:val="18"/>
                <w:szCs w:val="18"/>
                <w:lang w:val="es-SV" w:eastAsia="es-SV"/>
              </w:rPr>
              <w:t xml:space="preserve">Oportunidades </w:t>
            </w:r>
          </w:p>
          <w:p w14:paraId="217566F5" w14:textId="77777777" w:rsidR="00032AB4" w:rsidRPr="001B56B3" w:rsidRDefault="00032AB4" w:rsidP="00032AB4">
            <w:pPr>
              <w:spacing w:after="0" w:line="240" w:lineRule="auto"/>
              <w:rPr>
                <w:rFonts w:ascii="Calibri" w:eastAsia="Times New Roman" w:hAnsi="Calibri" w:cs="Times New Roman"/>
                <w:b/>
                <w:color w:val="000000"/>
                <w:sz w:val="18"/>
                <w:szCs w:val="18"/>
                <w:lang w:val="es-SV" w:eastAsia="es-SV"/>
              </w:rPr>
            </w:pPr>
            <w:r w:rsidRPr="001B56B3">
              <w:rPr>
                <w:rFonts w:ascii="Calibri" w:eastAsia="Times New Roman" w:hAnsi="Calibri" w:cs="Times New Roman"/>
                <w:b/>
                <w:color w:val="000000"/>
                <w:sz w:val="18"/>
                <w:szCs w:val="18"/>
                <w:lang w:val="es-SV" w:eastAsia="es-SV"/>
              </w:rPr>
              <w:t> </w:t>
            </w:r>
          </w:p>
        </w:tc>
        <w:tc>
          <w:tcPr>
            <w:tcW w:w="708"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FFB8F99" w14:textId="77777777" w:rsidR="00032AB4" w:rsidRPr="001B56B3" w:rsidRDefault="00032AB4" w:rsidP="00032AB4">
            <w:pPr>
              <w:rPr>
                <w:rFonts w:ascii="Calibri" w:eastAsia="Times New Roman" w:hAnsi="Calibri" w:cs="Times New Roman"/>
                <w:b/>
                <w:color w:val="000000"/>
                <w:sz w:val="18"/>
                <w:szCs w:val="18"/>
                <w:lang w:val="es-SV" w:eastAsia="es-SV"/>
              </w:rPr>
            </w:pPr>
            <w:r w:rsidRPr="001B56B3">
              <w:rPr>
                <w:rFonts w:ascii="Calibri" w:eastAsia="Times New Roman" w:hAnsi="Calibri" w:cs="Times New Roman"/>
                <w:b/>
                <w:color w:val="000000"/>
                <w:sz w:val="18"/>
                <w:szCs w:val="18"/>
                <w:lang w:val="es-SV" w:eastAsia="es-SV"/>
              </w:rPr>
              <w:t>Desafíos</w:t>
            </w:r>
          </w:p>
        </w:tc>
        <w:tc>
          <w:tcPr>
            <w:tcW w:w="702"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0C0A075" w14:textId="77777777" w:rsidR="00032AB4" w:rsidRPr="001B56B3" w:rsidRDefault="00032AB4" w:rsidP="00032AB4">
            <w:pPr>
              <w:rPr>
                <w:rFonts w:ascii="Calibri" w:eastAsia="Times New Roman" w:hAnsi="Calibri" w:cs="Times New Roman"/>
                <w:b/>
                <w:color w:val="000000"/>
                <w:sz w:val="18"/>
                <w:szCs w:val="18"/>
                <w:lang w:val="es-SV" w:eastAsia="es-SV"/>
              </w:rPr>
            </w:pPr>
            <w:r w:rsidRPr="001B56B3">
              <w:rPr>
                <w:rFonts w:ascii="Calibri" w:eastAsia="Times New Roman" w:hAnsi="Calibri" w:cs="Times New Roman"/>
                <w:b/>
                <w:color w:val="000000"/>
                <w:sz w:val="18"/>
                <w:szCs w:val="18"/>
                <w:lang w:val="es-SV" w:eastAsia="es-SV"/>
              </w:rPr>
              <w:t xml:space="preserve"> Meta (en base a brechas y prioridades) </w:t>
            </w:r>
          </w:p>
        </w:tc>
        <w:tc>
          <w:tcPr>
            <w:tcW w:w="705"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58D88FB7" w14:textId="77777777" w:rsidR="00032AB4" w:rsidRPr="001B56B3" w:rsidRDefault="00032AB4" w:rsidP="00032AB4">
            <w:pPr>
              <w:rPr>
                <w:rFonts w:ascii="Calibri" w:eastAsia="Times New Roman" w:hAnsi="Calibri" w:cs="Times New Roman"/>
                <w:b/>
                <w:color w:val="000000"/>
                <w:sz w:val="18"/>
                <w:szCs w:val="18"/>
                <w:lang w:val="es-SV" w:eastAsia="es-SV"/>
              </w:rPr>
            </w:pPr>
            <w:r w:rsidRPr="001B56B3">
              <w:rPr>
                <w:rFonts w:ascii="Calibri" w:eastAsia="Times New Roman" w:hAnsi="Calibri" w:cs="Times New Roman"/>
                <w:b/>
                <w:color w:val="000000"/>
                <w:sz w:val="18"/>
                <w:szCs w:val="18"/>
                <w:lang w:val="es-SV" w:eastAsia="es-SV"/>
              </w:rPr>
              <w:t>Responsables de actividades</w:t>
            </w:r>
          </w:p>
        </w:tc>
      </w:tr>
      <w:tr w:rsidR="00047B1F" w:rsidRPr="00047B1F" w14:paraId="1263739D" w14:textId="77777777" w:rsidTr="00211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5"/>
        </w:trPr>
        <w:tc>
          <w:tcPr>
            <w:tcW w:w="1178" w:type="pct"/>
            <w:shd w:val="clear" w:color="auto" w:fill="auto"/>
            <w:hideMark/>
          </w:tcPr>
          <w:p w14:paraId="4BCD4184" w14:textId="77777777" w:rsidR="00047B1F" w:rsidRPr="00047B1F" w:rsidRDefault="00047B1F" w:rsidP="00047B1F">
            <w:pPr>
              <w:spacing w:after="0" w:line="240" w:lineRule="auto"/>
              <w:rPr>
                <w:rFonts w:ascii="Calibri" w:eastAsia="Times New Roman" w:hAnsi="Calibri" w:cs="Times New Roman"/>
                <w:b/>
                <w:bCs/>
                <w:color w:val="000000"/>
                <w:sz w:val="18"/>
                <w:szCs w:val="18"/>
                <w:lang w:val="es-SV" w:eastAsia="es-SV"/>
              </w:rPr>
            </w:pPr>
            <w:r w:rsidRPr="00047B1F">
              <w:rPr>
                <w:rFonts w:ascii="Calibri" w:eastAsia="Times New Roman" w:hAnsi="Calibri" w:cs="Times New Roman"/>
                <w:b/>
                <w:bCs/>
                <w:color w:val="000000"/>
                <w:sz w:val="18"/>
                <w:szCs w:val="18"/>
                <w:lang w:val="es-SV" w:eastAsia="es-SV"/>
              </w:rPr>
              <w:t>3. Contención de costos de la epidemia  de VIH mediante la implementación estandarizada  de  los Lineamientos OMS 2015 para inicio de tratamiento en todas  las edades,  con énfasis en poblaciones clave,  y reducir la probabilidad de transmisión y evitar nuevas  infecciones por VIH</w:t>
            </w:r>
          </w:p>
        </w:tc>
        <w:tc>
          <w:tcPr>
            <w:tcW w:w="999" w:type="pct"/>
            <w:shd w:val="clear" w:color="auto" w:fill="auto"/>
            <w:hideMark/>
          </w:tcPr>
          <w:p w14:paraId="1C573E92"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Actualmente la Guía Clínica no contiene la actualización de los Lineamientos OMS 2015. La Subcomisión Técnica Terapéutica de CONAVIH está realizando la actualización</w:t>
            </w:r>
            <w:r w:rsidR="0034054E">
              <w:rPr>
                <w:rFonts w:ascii="Calibri" w:eastAsia="Times New Roman" w:hAnsi="Calibri" w:cs="Times New Roman"/>
                <w:color w:val="000000"/>
                <w:sz w:val="18"/>
                <w:szCs w:val="18"/>
                <w:lang w:val="es-SV" w:eastAsia="es-SV"/>
              </w:rPr>
              <w:t xml:space="preserve"> desde el año 2017, sin embargo, </w:t>
            </w:r>
            <w:r w:rsidRPr="00047B1F">
              <w:rPr>
                <w:rFonts w:ascii="Calibri" w:eastAsia="Times New Roman" w:hAnsi="Calibri" w:cs="Times New Roman"/>
                <w:color w:val="000000"/>
                <w:sz w:val="18"/>
                <w:szCs w:val="18"/>
                <w:lang w:val="es-SV" w:eastAsia="es-SV"/>
              </w:rPr>
              <w:t xml:space="preserve">hasta la fecha, falta la integración de Dolutegravir para finalizar el documento normativo. </w:t>
            </w:r>
          </w:p>
        </w:tc>
        <w:tc>
          <w:tcPr>
            <w:tcW w:w="708" w:type="pct"/>
            <w:shd w:val="clear" w:color="auto" w:fill="auto"/>
            <w:hideMark/>
          </w:tcPr>
          <w:p w14:paraId="5A0823CE"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La Subcomisión Técnica Terapéutica tiene interés en aprobar la Guía Clínica de Atención de Personas con VIH para que sea aplicada en la red de servicios del MINSAL.</w:t>
            </w:r>
          </w:p>
        </w:tc>
        <w:tc>
          <w:tcPr>
            <w:tcW w:w="708" w:type="pct"/>
            <w:shd w:val="clear" w:color="auto" w:fill="auto"/>
            <w:hideMark/>
          </w:tcPr>
          <w:p w14:paraId="05527B98" w14:textId="77777777" w:rsidR="00047B1F" w:rsidRPr="00047B1F" w:rsidRDefault="00047B1F" w:rsidP="00777728">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xml:space="preserve">Aprobación oportuna de Integración ágil del Dolutegravir por </w:t>
            </w:r>
            <w:r w:rsidR="00777728">
              <w:rPr>
                <w:rFonts w:ascii="Calibri" w:eastAsia="Times New Roman" w:hAnsi="Calibri" w:cs="Times New Roman"/>
                <w:color w:val="000000"/>
                <w:sz w:val="18"/>
                <w:szCs w:val="18"/>
                <w:lang w:val="es-SV" w:eastAsia="es-SV"/>
              </w:rPr>
              <w:t xml:space="preserve">el MINSAL </w:t>
            </w:r>
            <w:r w:rsidRPr="00047B1F">
              <w:rPr>
                <w:rFonts w:ascii="Calibri" w:eastAsia="Times New Roman" w:hAnsi="Calibri" w:cs="Times New Roman"/>
                <w:color w:val="000000"/>
                <w:sz w:val="18"/>
                <w:szCs w:val="18"/>
                <w:lang w:val="es-SV" w:eastAsia="es-SV"/>
              </w:rPr>
              <w:t>y aprobación por el Viceministerio de Políticas en tiempos oportunos.</w:t>
            </w:r>
          </w:p>
        </w:tc>
        <w:tc>
          <w:tcPr>
            <w:tcW w:w="702" w:type="pct"/>
            <w:shd w:val="clear" w:color="auto" w:fill="auto"/>
            <w:hideMark/>
          </w:tcPr>
          <w:p w14:paraId="485C1CF5" w14:textId="77777777" w:rsidR="00047B1F" w:rsidRPr="00047B1F" w:rsidRDefault="00777728" w:rsidP="00047B1F">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Oficializar</w:t>
            </w:r>
            <w:r w:rsidR="00047B1F" w:rsidRPr="00047B1F">
              <w:rPr>
                <w:rFonts w:ascii="Calibri" w:eastAsia="Times New Roman" w:hAnsi="Calibri" w:cs="Times New Roman"/>
                <w:color w:val="000000"/>
                <w:sz w:val="18"/>
                <w:szCs w:val="18"/>
                <w:lang w:val="es-SV" w:eastAsia="es-SV"/>
              </w:rPr>
              <w:t xml:space="preserve"> la Guía Clínica de Atención a Pe</w:t>
            </w:r>
            <w:r w:rsidR="001B56B3">
              <w:rPr>
                <w:rFonts w:ascii="Calibri" w:eastAsia="Times New Roman" w:hAnsi="Calibri" w:cs="Times New Roman"/>
                <w:color w:val="000000"/>
                <w:sz w:val="18"/>
                <w:szCs w:val="18"/>
                <w:lang w:val="es-SV" w:eastAsia="es-SV"/>
              </w:rPr>
              <w:t>r</w:t>
            </w:r>
            <w:r w:rsidR="00047B1F" w:rsidRPr="00047B1F">
              <w:rPr>
                <w:rFonts w:ascii="Calibri" w:eastAsia="Times New Roman" w:hAnsi="Calibri" w:cs="Times New Roman"/>
                <w:color w:val="000000"/>
                <w:sz w:val="18"/>
                <w:szCs w:val="18"/>
                <w:lang w:val="es-SV" w:eastAsia="es-SV"/>
              </w:rPr>
              <w:t xml:space="preserve">sonas con VIH conteniendo los </w:t>
            </w:r>
            <w:r w:rsidR="001B56B3" w:rsidRPr="00047B1F">
              <w:rPr>
                <w:rFonts w:ascii="Calibri" w:eastAsia="Times New Roman" w:hAnsi="Calibri" w:cs="Times New Roman"/>
                <w:color w:val="000000"/>
                <w:sz w:val="18"/>
                <w:szCs w:val="18"/>
                <w:lang w:val="es-SV" w:eastAsia="es-SV"/>
              </w:rPr>
              <w:t>nuevos</w:t>
            </w:r>
            <w:r w:rsidR="00047B1F" w:rsidRPr="00047B1F">
              <w:rPr>
                <w:rFonts w:ascii="Calibri" w:eastAsia="Times New Roman" w:hAnsi="Calibri" w:cs="Times New Roman"/>
                <w:color w:val="000000"/>
                <w:sz w:val="18"/>
                <w:szCs w:val="18"/>
                <w:lang w:val="es-SV" w:eastAsia="es-SV"/>
              </w:rPr>
              <w:t xml:space="preserve"> lineamientos OMS 2015 relacionada al inicio temprano de tratamiento antirretroviral.</w:t>
            </w:r>
          </w:p>
        </w:tc>
        <w:tc>
          <w:tcPr>
            <w:tcW w:w="705" w:type="pct"/>
            <w:shd w:val="clear" w:color="auto" w:fill="auto"/>
            <w:vAlign w:val="bottom"/>
            <w:hideMark/>
          </w:tcPr>
          <w:p w14:paraId="10CFB953" w14:textId="77777777" w:rsid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Subcomisión Técni</w:t>
            </w:r>
            <w:r w:rsidR="001B56B3">
              <w:rPr>
                <w:rFonts w:ascii="Calibri" w:eastAsia="Times New Roman" w:hAnsi="Calibri" w:cs="Times New Roman"/>
                <w:color w:val="000000"/>
                <w:sz w:val="18"/>
                <w:szCs w:val="18"/>
                <w:lang w:val="es-SV" w:eastAsia="es-SV"/>
              </w:rPr>
              <w:t>ca Terapéutica de CONAVIH y apro</w:t>
            </w:r>
            <w:r w:rsidRPr="00047B1F">
              <w:rPr>
                <w:rFonts w:ascii="Calibri" w:eastAsia="Times New Roman" w:hAnsi="Calibri" w:cs="Times New Roman"/>
                <w:color w:val="000000"/>
                <w:sz w:val="18"/>
                <w:szCs w:val="18"/>
                <w:lang w:val="es-SV" w:eastAsia="es-SV"/>
              </w:rPr>
              <w:t>bación por el Viceministerio de Salud</w:t>
            </w:r>
            <w:r w:rsidR="00777728">
              <w:rPr>
                <w:rFonts w:ascii="Calibri" w:eastAsia="Times New Roman" w:hAnsi="Calibri" w:cs="Times New Roman"/>
                <w:color w:val="000000"/>
                <w:sz w:val="18"/>
                <w:szCs w:val="18"/>
                <w:lang w:val="es-SV" w:eastAsia="es-SV"/>
              </w:rPr>
              <w:t xml:space="preserve"> del MINSAL</w:t>
            </w:r>
          </w:p>
          <w:p w14:paraId="0C056239" w14:textId="77777777" w:rsidR="0034054E" w:rsidRDefault="0034054E" w:rsidP="00047B1F">
            <w:pPr>
              <w:spacing w:after="0" w:line="240" w:lineRule="auto"/>
              <w:rPr>
                <w:rFonts w:ascii="Calibri" w:eastAsia="Times New Roman" w:hAnsi="Calibri" w:cs="Times New Roman"/>
                <w:color w:val="000000"/>
                <w:sz w:val="18"/>
                <w:szCs w:val="18"/>
                <w:lang w:val="es-SV" w:eastAsia="es-SV"/>
              </w:rPr>
            </w:pPr>
          </w:p>
          <w:p w14:paraId="4595D99B" w14:textId="77777777" w:rsidR="0034054E" w:rsidRDefault="0034054E" w:rsidP="00047B1F">
            <w:pPr>
              <w:spacing w:after="0" w:line="240" w:lineRule="auto"/>
              <w:rPr>
                <w:rFonts w:ascii="Calibri" w:eastAsia="Times New Roman" w:hAnsi="Calibri" w:cs="Times New Roman"/>
                <w:color w:val="000000"/>
                <w:sz w:val="18"/>
                <w:szCs w:val="18"/>
                <w:lang w:val="es-SV" w:eastAsia="es-SV"/>
              </w:rPr>
            </w:pPr>
          </w:p>
          <w:p w14:paraId="20C9F24B" w14:textId="77777777" w:rsidR="0034054E" w:rsidRDefault="0034054E" w:rsidP="00047B1F">
            <w:pPr>
              <w:spacing w:after="0" w:line="240" w:lineRule="auto"/>
              <w:rPr>
                <w:rFonts w:ascii="Calibri" w:eastAsia="Times New Roman" w:hAnsi="Calibri" w:cs="Times New Roman"/>
                <w:color w:val="000000"/>
                <w:sz w:val="18"/>
                <w:szCs w:val="18"/>
                <w:lang w:val="es-SV" w:eastAsia="es-SV"/>
              </w:rPr>
            </w:pPr>
          </w:p>
          <w:p w14:paraId="7E60D8B2" w14:textId="77777777" w:rsidR="0034054E" w:rsidRDefault="0034054E" w:rsidP="00047B1F">
            <w:pPr>
              <w:spacing w:after="0" w:line="240" w:lineRule="auto"/>
              <w:rPr>
                <w:rFonts w:ascii="Calibri" w:eastAsia="Times New Roman" w:hAnsi="Calibri" w:cs="Times New Roman"/>
                <w:color w:val="000000"/>
                <w:sz w:val="18"/>
                <w:szCs w:val="18"/>
                <w:lang w:val="es-SV" w:eastAsia="es-SV"/>
              </w:rPr>
            </w:pPr>
          </w:p>
          <w:p w14:paraId="6466205E" w14:textId="77777777" w:rsidR="0034054E" w:rsidRDefault="0034054E" w:rsidP="00047B1F">
            <w:pPr>
              <w:spacing w:after="0" w:line="240" w:lineRule="auto"/>
              <w:rPr>
                <w:rFonts w:ascii="Calibri" w:eastAsia="Times New Roman" w:hAnsi="Calibri" w:cs="Times New Roman"/>
                <w:color w:val="000000"/>
                <w:sz w:val="18"/>
                <w:szCs w:val="18"/>
                <w:lang w:val="es-SV" w:eastAsia="es-SV"/>
              </w:rPr>
            </w:pPr>
          </w:p>
          <w:p w14:paraId="3CF4B228" w14:textId="77777777" w:rsidR="0034054E" w:rsidRPr="00047B1F" w:rsidRDefault="0034054E" w:rsidP="00047B1F">
            <w:pPr>
              <w:spacing w:after="0" w:line="240" w:lineRule="auto"/>
              <w:rPr>
                <w:rFonts w:ascii="Calibri" w:eastAsia="Times New Roman" w:hAnsi="Calibri" w:cs="Times New Roman"/>
                <w:color w:val="000000"/>
                <w:sz w:val="18"/>
                <w:szCs w:val="18"/>
                <w:lang w:val="es-SV" w:eastAsia="es-SV"/>
              </w:rPr>
            </w:pPr>
          </w:p>
        </w:tc>
      </w:tr>
    </w:tbl>
    <w:p w14:paraId="0C5701AA" w14:textId="77777777" w:rsidR="001B56B3" w:rsidRDefault="001B56B3"/>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1"/>
        <w:gridCol w:w="617"/>
        <w:gridCol w:w="708"/>
        <w:gridCol w:w="708"/>
        <w:gridCol w:w="710"/>
        <w:gridCol w:w="710"/>
        <w:gridCol w:w="16"/>
      </w:tblGrid>
      <w:tr w:rsidR="00047B1F" w:rsidRPr="00047B1F" w14:paraId="4E8C4783" w14:textId="77777777" w:rsidTr="001B56B3">
        <w:trPr>
          <w:trHeight w:val="304"/>
        </w:trPr>
        <w:tc>
          <w:tcPr>
            <w:tcW w:w="5000" w:type="pct"/>
            <w:gridSpan w:val="7"/>
            <w:shd w:val="clear" w:color="auto" w:fill="auto"/>
          </w:tcPr>
          <w:p w14:paraId="00E79002" w14:textId="77777777" w:rsidR="00047B1F" w:rsidRPr="00EC5B63" w:rsidRDefault="006455AF"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 xml:space="preserve">Acciones / </w:t>
            </w:r>
            <w:r w:rsidRPr="00EE1739">
              <w:rPr>
                <w:rFonts w:ascii="Calibri" w:eastAsia="Times New Roman" w:hAnsi="Calibri" w:cs="Times New Roman"/>
                <w:b/>
                <w:color w:val="000000"/>
                <w:sz w:val="18"/>
                <w:szCs w:val="18"/>
                <w:lang w:val="es-SV" w:eastAsia="es-SV"/>
              </w:rPr>
              <w:t>Periodo de ejecución</w:t>
            </w:r>
          </w:p>
        </w:tc>
      </w:tr>
      <w:tr w:rsidR="00047B1F" w:rsidRPr="00047B1F" w14:paraId="58C46E37" w14:textId="77777777" w:rsidTr="001B56B3">
        <w:trPr>
          <w:gridAfter w:val="1"/>
          <w:wAfter w:w="6" w:type="pct"/>
          <w:trHeight w:val="267"/>
        </w:trPr>
        <w:tc>
          <w:tcPr>
            <w:tcW w:w="3662" w:type="pct"/>
            <w:shd w:val="clear" w:color="auto" w:fill="auto"/>
          </w:tcPr>
          <w:p w14:paraId="76A03B90" w14:textId="77777777" w:rsidR="00047B1F" w:rsidRPr="00EC5B63" w:rsidRDefault="00047B1F" w:rsidP="00EC5B63">
            <w:pPr>
              <w:spacing w:after="0" w:line="240" w:lineRule="auto"/>
              <w:jc w:val="center"/>
              <w:rPr>
                <w:rFonts w:ascii="Calibri" w:eastAsia="Times New Roman" w:hAnsi="Calibri" w:cs="Times New Roman"/>
                <w:b/>
                <w:color w:val="000000"/>
                <w:sz w:val="18"/>
                <w:szCs w:val="18"/>
                <w:lang w:val="es-SV" w:eastAsia="es-SV"/>
              </w:rPr>
            </w:pPr>
          </w:p>
        </w:tc>
        <w:tc>
          <w:tcPr>
            <w:tcW w:w="238" w:type="pct"/>
            <w:shd w:val="clear" w:color="auto" w:fill="auto"/>
          </w:tcPr>
          <w:p w14:paraId="7C19F9D9" w14:textId="77777777" w:rsidR="00047B1F" w:rsidRPr="00EC5B63" w:rsidRDefault="00EC5B63"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2019</w:t>
            </w:r>
          </w:p>
        </w:tc>
        <w:tc>
          <w:tcPr>
            <w:tcW w:w="273" w:type="pct"/>
            <w:shd w:val="clear" w:color="auto" w:fill="auto"/>
          </w:tcPr>
          <w:p w14:paraId="0B92E176" w14:textId="77777777" w:rsidR="00047B1F" w:rsidRPr="00EC5B63" w:rsidRDefault="00EC5B63"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2020</w:t>
            </w:r>
          </w:p>
        </w:tc>
        <w:tc>
          <w:tcPr>
            <w:tcW w:w="273" w:type="pct"/>
            <w:shd w:val="clear" w:color="auto" w:fill="auto"/>
          </w:tcPr>
          <w:p w14:paraId="1CE02770" w14:textId="77777777" w:rsidR="00047B1F" w:rsidRPr="00EC5B63" w:rsidRDefault="00EC5B63"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2021</w:t>
            </w:r>
          </w:p>
        </w:tc>
        <w:tc>
          <w:tcPr>
            <w:tcW w:w="274" w:type="pct"/>
            <w:shd w:val="clear" w:color="auto" w:fill="auto"/>
          </w:tcPr>
          <w:p w14:paraId="5E55B6AC" w14:textId="77777777" w:rsidR="00047B1F" w:rsidRPr="00EC5B63" w:rsidRDefault="00EC5B63"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2022</w:t>
            </w:r>
          </w:p>
        </w:tc>
        <w:tc>
          <w:tcPr>
            <w:tcW w:w="274" w:type="pct"/>
            <w:shd w:val="clear" w:color="auto" w:fill="auto"/>
            <w:vAlign w:val="bottom"/>
          </w:tcPr>
          <w:p w14:paraId="194DCD29" w14:textId="77777777" w:rsidR="00047B1F" w:rsidRPr="00EC5B63" w:rsidRDefault="00EC5B63"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2023</w:t>
            </w:r>
          </w:p>
        </w:tc>
      </w:tr>
      <w:tr w:rsidR="004067EC" w:rsidRPr="00047B1F" w14:paraId="6304D2BB" w14:textId="77777777" w:rsidTr="001B56B3">
        <w:trPr>
          <w:gridAfter w:val="1"/>
          <w:wAfter w:w="6" w:type="pct"/>
          <w:trHeight w:val="253"/>
        </w:trPr>
        <w:tc>
          <w:tcPr>
            <w:tcW w:w="3662" w:type="pct"/>
            <w:shd w:val="clear" w:color="auto" w:fill="auto"/>
          </w:tcPr>
          <w:p w14:paraId="02C52966" w14:textId="77777777" w:rsidR="004067EC" w:rsidRPr="00790C56" w:rsidRDefault="004067EC" w:rsidP="00047B1F">
            <w:pPr>
              <w:spacing w:after="0" w:line="240" w:lineRule="auto"/>
              <w:rPr>
                <w:rFonts w:ascii="Calibri" w:eastAsia="Times New Roman" w:hAnsi="Calibri" w:cs="Times New Roman"/>
                <w:color w:val="000000"/>
                <w:sz w:val="18"/>
                <w:szCs w:val="18"/>
                <w:lang w:val="es-SV" w:eastAsia="es-SV"/>
              </w:rPr>
            </w:pPr>
            <w:r w:rsidRPr="00790C56">
              <w:rPr>
                <w:rFonts w:ascii="Calibri" w:eastAsia="Times New Roman" w:hAnsi="Calibri" w:cs="Times New Roman"/>
                <w:color w:val="000000"/>
                <w:sz w:val="18"/>
                <w:szCs w:val="18"/>
                <w:lang w:val="es-SV" w:eastAsia="es-SV"/>
              </w:rPr>
              <w:t>Análisis del beneficio de aplicar las recomendaciones OMS 2015, 2017. Acceso universal e inicio rápido. Además del paquete básico de manejo de IOS.</w:t>
            </w:r>
          </w:p>
        </w:tc>
        <w:tc>
          <w:tcPr>
            <w:tcW w:w="238" w:type="pct"/>
            <w:shd w:val="clear" w:color="auto" w:fill="auto"/>
          </w:tcPr>
          <w:p w14:paraId="60D1D35E" w14:textId="77777777" w:rsidR="004067EC" w:rsidRDefault="00641607" w:rsidP="001B56B3">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73" w:type="pct"/>
            <w:shd w:val="clear" w:color="auto" w:fill="auto"/>
          </w:tcPr>
          <w:p w14:paraId="6CA6A885" w14:textId="77777777" w:rsidR="004067EC" w:rsidRPr="00047B1F" w:rsidRDefault="004067EC" w:rsidP="00047B1F">
            <w:pPr>
              <w:spacing w:after="0" w:line="240" w:lineRule="auto"/>
              <w:rPr>
                <w:rFonts w:ascii="Calibri" w:eastAsia="Times New Roman" w:hAnsi="Calibri" w:cs="Times New Roman"/>
                <w:color w:val="000000"/>
                <w:sz w:val="18"/>
                <w:szCs w:val="18"/>
                <w:lang w:val="es-SV" w:eastAsia="es-SV"/>
              </w:rPr>
            </w:pPr>
          </w:p>
        </w:tc>
        <w:tc>
          <w:tcPr>
            <w:tcW w:w="273" w:type="pct"/>
            <w:shd w:val="clear" w:color="auto" w:fill="auto"/>
          </w:tcPr>
          <w:p w14:paraId="509BF252" w14:textId="77777777" w:rsidR="004067EC" w:rsidRPr="00047B1F" w:rsidRDefault="004067EC" w:rsidP="00047B1F">
            <w:pPr>
              <w:spacing w:after="0" w:line="240" w:lineRule="auto"/>
              <w:rPr>
                <w:rFonts w:ascii="Calibri" w:eastAsia="Times New Roman" w:hAnsi="Calibri" w:cs="Times New Roman"/>
                <w:color w:val="000000"/>
                <w:sz w:val="18"/>
                <w:szCs w:val="18"/>
                <w:lang w:val="es-SV" w:eastAsia="es-SV"/>
              </w:rPr>
            </w:pPr>
          </w:p>
        </w:tc>
        <w:tc>
          <w:tcPr>
            <w:tcW w:w="274" w:type="pct"/>
            <w:shd w:val="clear" w:color="auto" w:fill="auto"/>
          </w:tcPr>
          <w:p w14:paraId="09AC254F" w14:textId="77777777" w:rsidR="004067EC" w:rsidRPr="00047B1F" w:rsidRDefault="004067EC" w:rsidP="00047B1F">
            <w:pPr>
              <w:spacing w:after="0" w:line="240" w:lineRule="auto"/>
              <w:rPr>
                <w:rFonts w:ascii="Calibri" w:eastAsia="Times New Roman" w:hAnsi="Calibri" w:cs="Times New Roman"/>
                <w:color w:val="000000"/>
                <w:sz w:val="18"/>
                <w:szCs w:val="18"/>
                <w:lang w:val="es-SV" w:eastAsia="es-SV"/>
              </w:rPr>
            </w:pPr>
          </w:p>
        </w:tc>
        <w:tc>
          <w:tcPr>
            <w:tcW w:w="274" w:type="pct"/>
            <w:shd w:val="clear" w:color="auto" w:fill="auto"/>
            <w:vAlign w:val="bottom"/>
          </w:tcPr>
          <w:p w14:paraId="2C20024B" w14:textId="77777777" w:rsidR="004067EC" w:rsidRPr="00047B1F" w:rsidRDefault="004067EC" w:rsidP="00047B1F">
            <w:pPr>
              <w:spacing w:after="0" w:line="240" w:lineRule="auto"/>
              <w:rPr>
                <w:rFonts w:ascii="Calibri" w:eastAsia="Times New Roman" w:hAnsi="Calibri" w:cs="Times New Roman"/>
                <w:color w:val="000000"/>
                <w:sz w:val="18"/>
                <w:szCs w:val="18"/>
                <w:lang w:val="es-SV" w:eastAsia="es-SV"/>
              </w:rPr>
            </w:pPr>
          </w:p>
        </w:tc>
      </w:tr>
      <w:tr w:rsidR="00790C56" w:rsidRPr="00047B1F" w14:paraId="7A33FA97" w14:textId="77777777" w:rsidTr="001B56B3">
        <w:trPr>
          <w:gridAfter w:val="1"/>
          <w:wAfter w:w="6" w:type="pct"/>
          <w:trHeight w:val="253"/>
        </w:trPr>
        <w:tc>
          <w:tcPr>
            <w:tcW w:w="3662" w:type="pct"/>
            <w:shd w:val="clear" w:color="auto" w:fill="auto"/>
          </w:tcPr>
          <w:p w14:paraId="4B1547D2" w14:textId="77777777" w:rsidR="00790C56" w:rsidRPr="00790C56" w:rsidRDefault="00790C56" w:rsidP="00047B1F">
            <w:pPr>
              <w:spacing w:after="0" w:line="240" w:lineRule="auto"/>
              <w:rPr>
                <w:rFonts w:ascii="Calibri" w:eastAsia="Times New Roman" w:hAnsi="Calibri" w:cs="Times New Roman"/>
                <w:color w:val="000000"/>
                <w:sz w:val="18"/>
                <w:szCs w:val="18"/>
                <w:lang w:val="es-SV" w:eastAsia="es-SV"/>
              </w:rPr>
            </w:pPr>
            <w:r w:rsidRPr="00790C56">
              <w:rPr>
                <w:rFonts w:ascii="Calibri" w:eastAsia="Times New Roman" w:hAnsi="Calibri" w:cs="Times New Roman"/>
                <w:color w:val="000000"/>
                <w:sz w:val="18"/>
                <w:szCs w:val="18"/>
                <w:lang w:val="es-SV" w:eastAsia="es-SV"/>
              </w:rPr>
              <w:t>Promover la estandarización y racionalización de los esquemas basados en lineamientos e identificando acciones para reducir los costos y mejorar la disponibilidad de las medicinas</w:t>
            </w:r>
          </w:p>
        </w:tc>
        <w:tc>
          <w:tcPr>
            <w:tcW w:w="238" w:type="pct"/>
            <w:shd w:val="clear" w:color="auto" w:fill="auto"/>
          </w:tcPr>
          <w:p w14:paraId="0A710EBF" w14:textId="77777777" w:rsidR="00790C56" w:rsidRDefault="00641607" w:rsidP="001B56B3">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73" w:type="pct"/>
            <w:shd w:val="clear" w:color="auto" w:fill="auto"/>
          </w:tcPr>
          <w:p w14:paraId="2E4F657E" w14:textId="77777777" w:rsidR="00790C56" w:rsidRPr="00047B1F" w:rsidRDefault="00790C56" w:rsidP="00047B1F">
            <w:pPr>
              <w:spacing w:after="0" w:line="240" w:lineRule="auto"/>
              <w:rPr>
                <w:rFonts w:ascii="Calibri" w:eastAsia="Times New Roman" w:hAnsi="Calibri" w:cs="Times New Roman"/>
                <w:color w:val="000000"/>
                <w:sz w:val="18"/>
                <w:szCs w:val="18"/>
                <w:lang w:val="es-SV" w:eastAsia="es-SV"/>
              </w:rPr>
            </w:pPr>
          </w:p>
        </w:tc>
        <w:tc>
          <w:tcPr>
            <w:tcW w:w="273" w:type="pct"/>
            <w:shd w:val="clear" w:color="auto" w:fill="auto"/>
          </w:tcPr>
          <w:p w14:paraId="36F55DC7" w14:textId="77777777" w:rsidR="00790C56" w:rsidRPr="00047B1F" w:rsidRDefault="00790C56" w:rsidP="00047B1F">
            <w:pPr>
              <w:spacing w:after="0" w:line="240" w:lineRule="auto"/>
              <w:rPr>
                <w:rFonts w:ascii="Calibri" w:eastAsia="Times New Roman" w:hAnsi="Calibri" w:cs="Times New Roman"/>
                <w:color w:val="000000"/>
                <w:sz w:val="18"/>
                <w:szCs w:val="18"/>
                <w:lang w:val="es-SV" w:eastAsia="es-SV"/>
              </w:rPr>
            </w:pPr>
          </w:p>
        </w:tc>
        <w:tc>
          <w:tcPr>
            <w:tcW w:w="274" w:type="pct"/>
            <w:shd w:val="clear" w:color="auto" w:fill="auto"/>
          </w:tcPr>
          <w:p w14:paraId="7E1B6E4F" w14:textId="77777777" w:rsidR="00790C56" w:rsidRPr="00047B1F" w:rsidRDefault="00790C56" w:rsidP="00047B1F">
            <w:pPr>
              <w:spacing w:after="0" w:line="240" w:lineRule="auto"/>
              <w:rPr>
                <w:rFonts w:ascii="Calibri" w:eastAsia="Times New Roman" w:hAnsi="Calibri" w:cs="Times New Roman"/>
                <w:color w:val="000000"/>
                <w:sz w:val="18"/>
                <w:szCs w:val="18"/>
                <w:lang w:val="es-SV" w:eastAsia="es-SV"/>
              </w:rPr>
            </w:pPr>
          </w:p>
        </w:tc>
        <w:tc>
          <w:tcPr>
            <w:tcW w:w="274" w:type="pct"/>
            <w:shd w:val="clear" w:color="auto" w:fill="auto"/>
            <w:vAlign w:val="bottom"/>
          </w:tcPr>
          <w:p w14:paraId="7D63D6CA" w14:textId="77777777" w:rsidR="00790C56" w:rsidRPr="00047B1F" w:rsidRDefault="00790C56" w:rsidP="00047B1F">
            <w:pPr>
              <w:spacing w:after="0" w:line="240" w:lineRule="auto"/>
              <w:rPr>
                <w:rFonts w:ascii="Calibri" w:eastAsia="Times New Roman" w:hAnsi="Calibri" w:cs="Times New Roman"/>
                <w:color w:val="000000"/>
                <w:sz w:val="18"/>
                <w:szCs w:val="18"/>
                <w:lang w:val="es-SV" w:eastAsia="es-SV"/>
              </w:rPr>
            </w:pPr>
          </w:p>
        </w:tc>
      </w:tr>
      <w:tr w:rsidR="00047B1F" w:rsidRPr="00047B1F" w14:paraId="6F864B19" w14:textId="77777777" w:rsidTr="001B56B3">
        <w:trPr>
          <w:gridAfter w:val="1"/>
          <w:wAfter w:w="6" w:type="pct"/>
          <w:trHeight w:val="253"/>
        </w:trPr>
        <w:tc>
          <w:tcPr>
            <w:tcW w:w="3662" w:type="pct"/>
            <w:shd w:val="clear" w:color="auto" w:fill="auto"/>
            <w:hideMark/>
          </w:tcPr>
          <w:p w14:paraId="372172C2" w14:textId="77777777" w:rsidR="00047B1F" w:rsidRPr="00790C56" w:rsidRDefault="00312362" w:rsidP="00790C56">
            <w:pPr>
              <w:spacing w:after="0" w:line="240" w:lineRule="auto"/>
              <w:rPr>
                <w:rFonts w:ascii="Calibri" w:eastAsia="Times New Roman" w:hAnsi="Calibri" w:cs="Times New Roman"/>
                <w:color w:val="000000"/>
                <w:sz w:val="18"/>
                <w:szCs w:val="18"/>
                <w:lang w:val="es-SV" w:eastAsia="es-SV"/>
              </w:rPr>
            </w:pPr>
            <w:r w:rsidRPr="00790C56">
              <w:rPr>
                <w:rFonts w:ascii="Calibri" w:eastAsia="Times New Roman" w:hAnsi="Calibri" w:cs="Times New Roman"/>
                <w:color w:val="000000"/>
                <w:sz w:val="18"/>
                <w:szCs w:val="18"/>
                <w:lang w:val="es-SV" w:eastAsia="es-SV"/>
              </w:rPr>
              <w:t>Revisión y aprobación de la Guía Clínica de personas con VIH</w:t>
            </w:r>
            <w:r w:rsidR="009F637A" w:rsidRPr="00790C56">
              <w:rPr>
                <w:rFonts w:ascii="Calibri" w:eastAsia="Times New Roman" w:hAnsi="Calibri" w:cs="Times New Roman"/>
                <w:color w:val="000000"/>
                <w:sz w:val="18"/>
                <w:szCs w:val="18"/>
                <w:lang w:val="es-SV" w:eastAsia="es-SV"/>
              </w:rPr>
              <w:t>, de acuerdo a las recomendaciones de tratamiento de la OMS (Inicio rápido, servicios diferenciados,  paquete básico de manejo de IOS, migración a esquemas de mayor barrera genética, vinculación y retención)</w:t>
            </w:r>
            <w:r w:rsidR="00790C56" w:rsidRPr="00790C56">
              <w:rPr>
                <w:rFonts w:ascii="Calibri" w:eastAsia="Times New Roman" w:hAnsi="Calibri" w:cs="Times New Roman"/>
                <w:color w:val="000000"/>
                <w:sz w:val="18"/>
                <w:szCs w:val="18"/>
                <w:lang w:val="es-SV" w:eastAsia="es-SV"/>
              </w:rPr>
              <w:t>, incluyendo lineamientos de las categorías adultos, adolescentes y niños</w:t>
            </w:r>
            <w:r w:rsidR="00790C56" w:rsidRPr="00790C56">
              <w:rPr>
                <w:rFonts w:ascii="Calibri" w:eastAsia="Times New Roman" w:hAnsi="Calibri" w:cs="Times New Roman"/>
                <w:color w:val="000000"/>
                <w:sz w:val="18"/>
                <w:szCs w:val="18"/>
                <w:lang w:val="es-SV" w:eastAsia="es-SV"/>
              </w:rPr>
              <w:tab/>
            </w:r>
          </w:p>
        </w:tc>
        <w:tc>
          <w:tcPr>
            <w:tcW w:w="238" w:type="pct"/>
            <w:shd w:val="clear" w:color="auto" w:fill="auto"/>
            <w:hideMark/>
          </w:tcPr>
          <w:p w14:paraId="193C58B7" w14:textId="77777777" w:rsidR="00221804" w:rsidRDefault="00221804" w:rsidP="001B56B3">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p w14:paraId="3B242EF6" w14:textId="77777777" w:rsidR="001B56B3" w:rsidRPr="00047B1F" w:rsidRDefault="001B56B3" w:rsidP="001B56B3">
            <w:pPr>
              <w:spacing w:after="0" w:line="240" w:lineRule="auto"/>
              <w:rPr>
                <w:rFonts w:ascii="Calibri" w:eastAsia="Times New Roman" w:hAnsi="Calibri" w:cs="Times New Roman"/>
                <w:color w:val="000000"/>
                <w:sz w:val="18"/>
                <w:szCs w:val="18"/>
                <w:lang w:val="es-SV" w:eastAsia="es-SV"/>
              </w:rPr>
            </w:pPr>
          </w:p>
        </w:tc>
        <w:tc>
          <w:tcPr>
            <w:tcW w:w="273" w:type="pct"/>
            <w:shd w:val="clear" w:color="auto" w:fill="auto"/>
            <w:hideMark/>
          </w:tcPr>
          <w:p w14:paraId="762A5BF8"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c>
          <w:tcPr>
            <w:tcW w:w="273" w:type="pct"/>
            <w:shd w:val="clear" w:color="auto" w:fill="auto"/>
            <w:hideMark/>
          </w:tcPr>
          <w:p w14:paraId="521739AB"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c>
          <w:tcPr>
            <w:tcW w:w="274" w:type="pct"/>
            <w:shd w:val="clear" w:color="auto" w:fill="auto"/>
            <w:hideMark/>
          </w:tcPr>
          <w:p w14:paraId="600C49A2"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c>
          <w:tcPr>
            <w:tcW w:w="274" w:type="pct"/>
            <w:shd w:val="clear" w:color="auto" w:fill="auto"/>
            <w:vAlign w:val="bottom"/>
            <w:hideMark/>
          </w:tcPr>
          <w:p w14:paraId="5271B700"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r>
      <w:tr w:rsidR="00790C56" w:rsidRPr="00047B1F" w14:paraId="30ADAC0A" w14:textId="77777777" w:rsidTr="001B56B3">
        <w:trPr>
          <w:gridAfter w:val="1"/>
          <w:wAfter w:w="6" w:type="pct"/>
          <w:trHeight w:val="450"/>
        </w:trPr>
        <w:tc>
          <w:tcPr>
            <w:tcW w:w="3662" w:type="pct"/>
            <w:shd w:val="clear" w:color="auto" w:fill="auto"/>
          </w:tcPr>
          <w:p w14:paraId="0DFBDE98" w14:textId="77777777" w:rsidR="00790C56" w:rsidRPr="00312362" w:rsidRDefault="00790C56" w:rsidP="00047B1F">
            <w:pPr>
              <w:spacing w:after="0" w:line="240" w:lineRule="auto"/>
              <w:rPr>
                <w:rFonts w:ascii="Calibri" w:eastAsia="Times New Roman" w:hAnsi="Calibri" w:cs="Times New Roman"/>
                <w:color w:val="000000"/>
                <w:sz w:val="18"/>
                <w:szCs w:val="18"/>
                <w:lang w:val="es-SV" w:eastAsia="es-SV"/>
              </w:rPr>
            </w:pPr>
            <w:r w:rsidRPr="00790C56">
              <w:rPr>
                <w:rFonts w:ascii="Calibri" w:eastAsia="Times New Roman" w:hAnsi="Calibri" w:cs="Times New Roman"/>
                <w:color w:val="000000"/>
                <w:sz w:val="18"/>
                <w:szCs w:val="18"/>
                <w:lang w:val="es-SV" w:eastAsia="es-SV"/>
              </w:rPr>
              <w:t>Abogacía para la armonización de esquemas de tratamiento MINSAL-ISSS e implementación de procesos estandarizados para PPE</w:t>
            </w:r>
          </w:p>
        </w:tc>
        <w:tc>
          <w:tcPr>
            <w:tcW w:w="238" w:type="pct"/>
            <w:shd w:val="clear" w:color="auto" w:fill="auto"/>
          </w:tcPr>
          <w:p w14:paraId="12971EE6" w14:textId="77777777" w:rsidR="00790C56" w:rsidRDefault="00641607" w:rsidP="001B56B3">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73" w:type="pct"/>
            <w:shd w:val="clear" w:color="auto" w:fill="auto"/>
          </w:tcPr>
          <w:p w14:paraId="4A892170" w14:textId="77777777" w:rsidR="00790C56" w:rsidRPr="00047B1F" w:rsidRDefault="00641607" w:rsidP="00047B1F">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73" w:type="pct"/>
            <w:shd w:val="clear" w:color="auto" w:fill="auto"/>
          </w:tcPr>
          <w:p w14:paraId="09D4B542" w14:textId="77777777" w:rsidR="00790C56" w:rsidRPr="00047B1F" w:rsidRDefault="00790C56" w:rsidP="00047B1F">
            <w:pPr>
              <w:spacing w:after="0" w:line="240" w:lineRule="auto"/>
              <w:rPr>
                <w:rFonts w:ascii="Calibri" w:eastAsia="Times New Roman" w:hAnsi="Calibri" w:cs="Times New Roman"/>
                <w:color w:val="000000"/>
                <w:sz w:val="18"/>
                <w:szCs w:val="18"/>
                <w:lang w:val="es-SV" w:eastAsia="es-SV"/>
              </w:rPr>
            </w:pPr>
          </w:p>
        </w:tc>
        <w:tc>
          <w:tcPr>
            <w:tcW w:w="274" w:type="pct"/>
            <w:shd w:val="clear" w:color="auto" w:fill="auto"/>
          </w:tcPr>
          <w:p w14:paraId="403A6A36" w14:textId="77777777" w:rsidR="00790C56" w:rsidRPr="00047B1F" w:rsidRDefault="00790C56" w:rsidP="00047B1F">
            <w:pPr>
              <w:spacing w:after="0" w:line="240" w:lineRule="auto"/>
              <w:rPr>
                <w:rFonts w:ascii="Calibri" w:eastAsia="Times New Roman" w:hAnsi="Calibri" w:cs="Times New Roman"/>
                <w:color w:val="000000"/>
                <w:sz w:val="18"/>
                <w:szCs w:val="18"/>
                <w:lang w:val="es-SV" w:eastAsia="es-SV"/>
              </w:rPr>
            </w:pPr>
          </w:p>
        </w:tc>
        <w:tc>
          <w:tcPr>
            <w:tcW w:w="274" w:type="pct"/>
            <w:shd w:val="clear" w:color="auto" w:fill="auto"/>
            <w:vAlign w:val="bottom"/>
          </w:tcPr>
          <w:p w14:paraId="1C096D2A" w14:textId="77777777" w:rsidR="00790C56" w:rsidRPr="00047B1F" w:rsidRDefault="00790C56" w:rsidP="00047B1F">
            <w:pPr>
              <w:spacing w:after="0" w:line="240" w:lineRule="auto"/>
              <w:rPr>
                <w:rFonts w:ascii="Calibri" w:eastAsia="Times New Roman" w:hAnsi="Calibri" w:cs="Times New Roman"/>
                <w:color w:val="000000"/>
                <w:sz w:val="18"/>
                <w:szCs w:val="18"/>
                <w:lang w:val="es-SV" w:eastAsia="es-SV"/>
              </w:rPr>
            </w:pPr>
          </w:p>
        </w:tc>
      </w:tr>
      <w:tr w:rsidR="00047B1F" w:rsidRPr="00047B1F" w14:paraId="5998B1FD" w14:textId="77777777" w:rsidTr="001B56B3">
        <w:trPr>
          <w:gridAfter w:val="1"/>
          <w:wAfter w:w="6" w:type="pct"/>
          <w:trHeight w:val="450"/>
        </w:trPr>
        <w:tc>
          <w:tcPr>
            <w:tcW w:w="3662" w:type="pct"/>
            <w:shd w:val="clear" w:color="auto" w:fill="auto"/>
            <w:hideMark/>
          </w:tcPr>
          <w:p w14:paraId="11ADD5ED" w14:textId="77777777" w:rsidR="00047B1F" w:rsidRPr="00047B1F" w:rsidRDefault="00312362" w:rsidP="00047B1F">
            <w:pPr>
              <w:spacing w:after="0" w:line="240" w:lineRule="auto"/>
              <w:rPr>
                <w:rFonts w:ascii="Calibri" w:eastAsia="Times New Roman" w:hAnsi="Calibri" w:cs="Times New Roman"/>
                <w:color w:val="000000"/>
                <w:sz w:val="18"/>
                <w:szCs w:val="18"/>
                <w:lang w:val="es-SV" w:eastAsia="es-SV"/>
              </w:rPr>
            </w:pPr>
            <w:r w:rsidRPr="00312362">
              <w:rPr>
                <w:rFonts w:ascii="Calibri" w:eastAsia="Times New Roman" w:hAnsi="Calibri" w:cs="Times New Roman"/>
                <w:color w:val="000000"/>
                <w:sz w:val="18"/>
                <w:szCs w:val="18"/>
                <w:lang w:val="es-SV" w:eastAsia="es-SV"/>
              </w:rPr>
              <w:t>Oficialización de la Guía Clínica de personas con VIH</w:t>
            </w:r>
          </w:p>
        </w:tc>
        <w:tc>
          <w:tcPr>
            <w:tcW w:w="238" w:type="pct"/>
            <w:shd w:val="clear" w:color="auto" w:fill="auto"/>
            <w:hideMark/>
          </w:tcPr>
          <w:p w14:paraId="54F493DA" w14:textId="77777777" w:rsidR="00221804" w:rsidRPr="00047B1F" w:rsidRDefault="00221804" w:rsidP="001B56B3">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73" w:type="pct"/>
            <w:shd w:val="clear" w:color="auto" w:fill="auto"/>
            <w:hideMark/>
          </w:tcPr>
          <w:p w14:paraId="45D8F939"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c>
          <w:tcPr>
            <w:tcW w:w="273" w:type="pct"/>
            <w:shd w:val="clear" w:color="auto" w:fill="auto"/>
            <w:hideMark/>
          </w:tcPr>
          <w:p w14:paraId="2FDDD02E"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c>
          <w:tcPr>
            <w:tcW w:w="274" w:type="pct"/>
            <w:shd w:val="clear" w:color="auto" w:fill="auto"/>
            <w:hideMark/>
          </w:tcPr>
          <w:p w14:paraId="6B8851B2"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c>
          <w:tcPr>
            <w:tcW w:w="274" w:type="pct"/>
            <w:shd w:val="clear" w:color="auto" w:fill="auto"/>
            <w:vAlign w:val="bottom"/>
            <w:hideMark/>
          </w:tcPr>
          <w:p w14:paraId="67B30376"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r>
      <w:tr w:rsidR="00047B1F" w:rsidRPr="00047B1F" w14:paraId="2F2EF37E" w14:textId="77777777" w:rsidTr="001B56B3">
        <w:trPr>
          <w:gridAfter w:val="1"/>
          <w:wAfter w:w="6" w:type="pct"/>
          <w:trHeight w:val="450"/>
        </w:trPr>
        <w:tc>
          <w:tcPr>
            <w:tcW w:w="3662" w:type="pct"/>
            <w:shd w:val="clear" w:color="auto" w:fill="auto"/>
            <w:hideMark/>
          </w:tcPr>
          <w:p w14:paraId="51F114DF" w14:textId="77777777" w:rsidR="00047B1F" w:rsidRPr="00047B1F" w:rsidRDefault="00312362" w:rsidP="00047B1F">
            <w:pPr>
              <w:spacing w:after="0" w:line="240" w:lineRule="auto"/>
              <w:rPr>
                <w:rFonts w:ascii="Calibri" w:eastAsia="Times New Roman" w:hAnsi="Calibri" w:cs="Times New Roman"/>
                <w:color w:val="000000"/>
                <w:sz w:val="18"/>
                <w:szCs w:val="18"/>
                <w:lang w:val="es-SV" w:eastAsia="es-SV"/>
              </w:rPr>
            </w:pPr>
            <w:r w:rsidRPr="00312362">
              <w:rPr>
                <w:rFonts w:ascii="Calibri" w:eastAsia="Times New Roman" w:hAnsi="Calibri" w:cs="Times New Roman"/>
                <w:color w:val="000000"/>
                <w:sz w:val="18"/>
                <w:szCs w:val="18"/>
                <w:lang w:val="es-SV" w:eastAsia="es-SV"/>
              </w:rPr>
              <w:t>Divulgación de la Guía Clínica a personal médico y sociedad civil</w:t>
            </w:r>
          </w:p>
        </w:tc>
        <w:tc>
          <w:tcPr>
            <w:tcW w:w="238" w:type="pct"/>
            <w:shd w:val="clear" w:color="auto" w:fill="auto"/>
            <w:hideMark/>
          </w:tcPr>
          <w:p w14:paraId="28BA8050" w14:textId="77777777" w:rsidR="00221804" w:rsidRPr="00047B1F" w:rsidRDefault="00641607" w:rsidP="00641607">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73" w:type="pct"/>
            <w:shd w:val="clear" w:color="auto" w:fill="auto"/>
            <w:hideMark/>
          </w:tcPr>
          <w:p w14:paraId="15D9339D"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r w:rsidR="00641607">
              <w:rPr>
                <w:rFonts w:ascii="Calibri" w:eastAsia="Times New Roman" w:hAnsi="Calibri" w:cs="Times New Roman"/>
                <w:color w:val="000000"/>
                <w:sz w:val="18"/>
                <w:szCs w:val="18"/>
                <w:lang w:val="es-SV" w:eastAsia="es-SV"/>
              </w:rPr>
              <w:t>X</w:t>
            </w:r>
          </w:p>
        </w:tc>
        <w:tc>
          <w:tcPr>
            <w:tcW w:w="273" w:type="pct"/>
            <w:shd w:val="clear" w:color="auto" w:fill="auto"/>
            <w:hideMark/>
          </w:tcPr>
          <w:p w14:paraId="489DCA81"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r w:rsidR="00641607">
              <w:rPr>
                <w:rFonts w:ascii="Calibri" w:eastAsia="Times New Roman" w:hAnsi="Calibri" w:cs="Times New Roman"/>
                <w:color w:val="000000"/>
                <w:sz w:val="18"/>
                <w:szCs w:val="18"/>
                <w:lang w:val="es-SV" w:eastAsia="es-SV"/>
              </w:rPr>
              <w:t>X</w:t>
            </w:r>
          </w:p>
        </w:tc>
        <w:tc>
          <w:tcPr>
            <w:tcW w:w="274" w:type="pct"/>
            <w:shd w:val="clear" w:color="auto" w:fill="auto"/>
            <w:hideMark/>
          </w:tcPr>
          <w:p w14:paraId="686E80BE"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c>
          <w:tcPr>
            <w:tcW w:w="274" w:type="pct"/>
            <w:shd w:val="clear" w:color="auto" w:fill="auto"/>
            <w:vAlign w:val="bottom"/>
            <w:hideMark/>
          </w:tcPr>
          <w:p w14:paraId="724DD69B"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r>
      <w:tr w:rsidR="00641607" w:rsidRPr="00047B1F" w14:paraId="4EE0BB4E" w14:textId="77777777" w:rsidTr="005353E5">
        <w:trPr>
          <w:gridAfter w:val="1"/>
          <w:wAfter w:w="6" w:type="pct"/>
          <w:trHeight w:val="450"/>
        </w:trPr>
        <w:tc>
          <w:tcPr>
            <w:tcW w:w="3662" w:type="pct"/>
            <w:shd w:val="clear" w:color="auto" w:fill="auto"/>
          </w:tcPr>
          <w:p w14:paraId="373FF3ED" w14:textId="77777777" w:rsidR="00641607" w:rsidRPr="00312362" w:rsidRDefault="00641607" w:rsidP="00641607">
            <w:pPr>
              <w:spacing w:after="0" w:line="240" w:lineRule="auto"/>
              <w:rPr>
                <w:rFonts w:ascii="Calibri" w:eastAsia="Times New Roman" w:hAnsi="Calibri" w:cs="Times New Roman"/>
                <w:color w:val="000000"/>
                <w:sz w:val="18"/>
                <w:szCs w:val="18"/>
                <w:lang w:val="es-SV" w:eastAsia="es-SV"/>
              </w:rPr>
            </w:pPr>
            <w:r w:rsidRPr="00790C56">
              <w:rPr>
                <w:rFonts w:ascii="Calibri" w:eastAsia="Times New Roman" w:hAnsi="Calibri" w:cs="Times New Roman"/>
                <w:color w:val="000000"/>
                <w:sz w:val="18"/>
                <w:szCs w:val="18"/>
                <w:lang w:val="es-SV" w:eastAsia="es-SV"/>
              </w:rPr>
              <w:t>Actualización de costos logísticos para alcanzar la estrategia 909090 identificando brechas financieras y potenciales eficiencias en el uso de pruebas y medicinas antirretrovirales</w:t>
            </w:r>
          </w:p>
        </w:tc>
        <w:tc>
          <w:tcPr>
            <w:tcW w:w="238" w:type="pct"/>
            <w:shd w:val="clear" w:color="auto" w:fill="auto"/>
          </w:tcPr>
          <w:p w14:paraId="2B7DAC0E" w14:textId="77777777" w:rsidR="00641607" w:rsidRDefault="00641607" w:rsidP="00641607">
            <w:pPr>
              <w:spacing w:after="0" w:line="240" w:lineRule="auto"/>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73" w:type="pct"/>
            <w:shd w:val="clear" w:color="auto" w:fill="auto"/>
            <w:vAlign w:val="bottom"/>
          </w:tcPr>
          <w:p w14:paraId="0F3E7094" w14:textId="77777777" w:rsidR="00641607" w:rsidRDefault="00641607" w:rsidP="00641607">
            <w:pPr>
              <w:jc w:val="center"/>
              <w:rPr>
                <w:rFonts w:ascii="Calibri" w:hAnsi="Calibri"/>
              </w:rPr>
            </w:pPr>
            <w:r>
              <w:rPr>
                <w:rFonts w:ascii="Calibri" w:hAnsi="Calibri"/>
              </w:rPr>
              <w:t>X</w:t>
            </w:r>
          </w:p>
        </w:tc>
        <w:tc>
          <w:tcPr>
            <w:tcW w:w="273" w:type="pct"/>
            <w:shd w:val="clear" w:color="auto" w:fill="auto"/>
            <w:vAlign w:val="bottom"/>
          </w:tcPr>
          <w:p w14:paraId="697188EC" w14:textId="77777777" w:rsidR="00641607" w:rsidRDefault="00641607" w:rsidP="00641607">
            <w:pPr>
              <w:jc w:val="center"/>
              <w:rPr>
                <w:rFonts w:ascii="Calibri" w:hAnsi="Calibri"/>
              </w:rPr>
            </w:pPr>
            <w:r>
              <w:rPr>
                <w:rFonts w:ascii="Calibri" w:hAnsi="Calibri"/>
              </w:rPr>
              <w:t>X</w:t>
            </w:r>
          </w:p>
        </w:tc>
        <w:tc>
          <w:tcPr>
            <w:tcW w:w="274" w:type="pct"/>
            <w:shd w:val="clear" w:color="auto" w:fill="auto"/>
            <w:vAlign w:val="bottom"/>
          </w:tcPr>
          <w:p w14:paraId="439EB78D" w14:textId="77777777" w:rsidR="00641607" w:rsidRDefault="00641607" w:rsidP="00641607">
            <w:pPr>
              <w:jc w:val="center"/>
              <w:rPr>
                <w:rFonts w:ascii="Calibri" w:hAnsi="Calibri"/>
              </w:rPr>
            </w:pPr>
            <w:r>
              <w:rPr>
                <w:rFonts w:ascii="Calibri" w:hAnsi="Calibri"/>
              </w:rPr>
              <w:t>X</w:t>
            </w:r>
          </w:p>
        </w:tc>
        <w:tc>
          <w:tcPr>
            <w:tcW w:w="274" w:type="pct"/>
            <w:shd w:val="clear" w:color="auto" w:fill="auto"/>
            <w:vAlign w:val="bottom"/>
          </w:tcPr>
          <w:p w14:paraId="3AF472B1" w14:textId="77777777" w:rsidR="00641607" w:rsidRDefault="00641607" w:rsidP="00641607">
            <w:pPr>
              <w:jc w:val="center"/>
              <w:rPr>
                <w:rFonts w:ascii="Calibri" w:hAnsi="Calibri"/>
              </w:rPr>
            </w:pPr>
            <w:r>
              <w:rPr>
                <w:rFonts w:ascii="Calibri" w:hAnsi="Calibri"/>
              </w:rPr>
              <w:t>X</w:t>
            </w:r>
          </w:p>
        </w:tc>
      </w:tr>
    </w:tbl>
    <w:p w14:paraId="1E7E725C" w14:textId="77777777" w:rsidR="00047B1F" w:rsidRDefault="00047B1F"/>
    <w:p w14:paraId="73F5F0C9" w14:textId="77777777" w:rsidR="00D325CA" w:rsidRDefault="00D325CA"/>
    <w:tbl>
      <w:tblPr>
        <w:tblW w:w="5000" w:type="pct"/>
        <w:tblCellMar>
          <w:left w:w="70" w:type="dxa"/>
          <w:right w:w="70" w:type="dxa"/>
        </w:tblCellMar>
        <w:tblLook w:val="04A0" w:firstRow="1" w:lastRow="0" w:firstColumn="1" w:lastColumn="0" w:noHBand="0" w:noVBand="1"/>
      </w:tblPr>
      <w:tblGrid>
        <w:gridCol w:w="3061"/>
        <w:gridCol w:w="2035"/>
        <w:gridCol w:w="2401"/>
        <w:gridCol w:w="1570"/>
        <w:gridCol w:w="2095"/>
        <w:gridCol w:w="1832"/>
      </w:tblGrid>
      <w:tr w:rsidR="00032AB4" w:rsidRPr="0077324A" w14:paraId="28BB5A9B" w14:textId="77777777" w:rsidTr="00641607">
        <w:trPr>
          <w:trHeight w:val="660"/>
        </w:trPr>
        <w:tc>
          <w:tcPr>
            <w:tcW w:w="1178"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D234628" w14:textId="77777777" w:rsidR="00032AB4" w:rsidRPr="0077324A" w:rsidRDefault="00032AB4" w:rsidP="00032AB4">
            <w:pP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 xml:space="preserve">Líneas de acción de la estrategia </w:t>
            </w:r>
          </w:p>
        </w:tc>
        <w:tc>
          <w:tcPr>
            <w:tcW w:w="783"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473F2E" w14:textId="77777777" w:rsidR="00032AB4" w:rsidRPr="00032AB4" w:rsidRDefault="00032AB4" w:rsidP="00032AB4">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Situación actual</w:t>
            </w:r>
          </w:p>
          <w:p w14:paraId="014F889A" w14:textId="77777777" w:rsidR="00032AB4" w:rsidRPr="00032AB4" w:rsidRDefault="00032AB4" w:rsidP="00312362">
            <w:pPr>
              <w:rPr>
                <w:rFonts w:ascii="Calibri" w:eastAsia="Times New Roman" w:hAnsi="Calibri" w:cs="Times New Roman"/>
                <w:color w:val="000000"/>
                <w:sz w:val="18"/>
                <w:szCs w:val="18"/>
                <w:lang w:val="es-SV" w:eastAsia="es-SV"/>
              </w:rPr>
            </w:pPr>
          </w:p>
        </w:tc>
        <w:tc>
          <w:tcPr>
            <w:tcW w:w="924"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3383AF5" w14:textId="77777777" w:rsidR="00032AB4" w:rsidRPr="00032AB4" w:rsidRDefault="00032AB4" w:rsidP="00032AB4">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 xml:space="preserve">Oportunidades </w:t>
            </w:r>
          </w:p>
          <w:p w14:paraId="7F3ABFFD" w14:textId="77777777" w:rsidR="00032AB4" w:rsidRPr="00032AB4" w:rsidRDefault="00032AB4" w:rsidP="00032AB4">
            <w:pPr>
              <w:spacing w:after="0" w:line="240" w:lineRule="auto"/>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 </w:t>
            </w:r>
          </w:p>
        </w:tc>
        <w:tc>
          <w:tcPr>
            <w:tcW w:w="604"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BE4434D" w14:textId="77777777" w:rsidR="00032AB4" w:rsidRPr="00032AB4" w:rsidRDefault="00032AB4" w:rsidP="00032AB4">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Desafíos</w:t>
            </w:r>
          </w:p>
        </w:tc>
        <w:tc>
          <w:tcPr>
            <w:tcW w:w="806"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EF69426" w14:textId="77777777" w:rsidR="00032AB4" w:rsidRPr="00032AB4" w:rsidRDefault="00032AB4" w:rsidP="00032AB4">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 xml:space="preserve"> Meta (en base a brechas y prioridades) </w:t>
            </w:r>
          </w:p>
        </w:tc>
        <w:tc>
          <w:tcPr>
            <w:tcW w:w="705"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49E51F7" w14:textId="77777777" w:rsidR="00032AB4" w:rsidRPr="00032AB4" w:rsidRDefault="00032AB4" w:rsidP="00032AB4">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Responsables de actividades</w:t>
            </w:r>
          </w:p>
        </w:tc>
      </w:tr>
      <w:tr w:rsidR="00047B1F" w:rsidRPr="00047B1F" w14:paraId="676AE6ED" w14:textId="77777777" w:rsidTr="00641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3"/>
        </w:trPr>
        <w:tc>
          <w:tcPr>
            <w:tcW w:w="1178" w:type="pct"/>
            <w:shd w:val="clear" w:color="auto" w:fill="auto"/>
            <w:hideMark/>
          </w:tcPr>
          <w:p w14:paraId="368FB909" w14:textId="77777777" w:rsidR="00047B1F" w:rsidRPr="00047B1F" w:rsidRDefault="00047B1F" w:rsidP="00047B1F">
            <w:pPr>
              <w:spacing w:after="0" w:line="240" w:lineRule="auto"/>
              <w:rPr>
                <w:rFonts w:ascii="Calibri" w:eastAsia="Times New Roman" w:hAnsi="Calibri" w:cs="Times New Roman"/>
                <w:b/>
                <w:bCs/>
                <w:color w:val="000000"/>
                <w:sz w:val="18"/>
                <w:szCs w:val="18"/>
                <w:lang w:val="es-SV" w:eastAsia="es-SV"/>
              </w:rPr>
            </w:pPr>
            <w:r w:rsidRPr="00047B1F">
              <w:rPr>
                <w:rFonts w:ascii="Calibri" w:eastAsia="Times New Roman" w:hAnsi="Calibri" w:cs="Times New Roman"/>
                <w:b/>
                <w:bCs/>
                <w:color w:val="000000"/>
                <w:sz w:val="18"/>
                <w:szCs w:val="18"/>
                <w:lang w:val="es-SV" w:eastAsia="es-SV"/>
              </w:rPr>
              <w:t>4.Optimización de recursos humanos y financieros mediante la adopción, adaptación y estandarización  de los lineamientos OMS 2015 para el establecimiento de modelos diferenciados  de atención para personas con VIH, con prioridad en zonas de alta carga de enfermedad y poblaciones clave</w:t>
            </w:r>
          </w:p>
        </w:tc>
        <w:tc>
          <w:tcPr>
            <w:tcW w:w="783" w:type="pct"/>
            <w:shd w:val="clear" w:color="auto" w:fill="auto"/>
            <w:hideMark/>
          </w:tcPr>
          <w:p w14:paraId="42BA681C"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xml:space="preserve">Actualmente existe un solo modelo de atención para Personas con VIH, pero OMS propone diferenciar la atención a pacientes estables y priorizar en zonas alta carga de VIH. </w:t>
            </w:r>
          </w:p>
        </w:tc>
        <w:tc>
          <w:tcPr>
            <w:tcW w:w="924" w:type="pct"/>
            <w:shd w:val="clear" w:color="auto" w:fill="auto"/>
            <w:hideMark/>
          </w:tcPr>
          <w:p w14:paraId="0438CBD9" w14:textId="77777777" w:rsidR="00EC5B63"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xml:space="preserve">El sistema de información proporciona las zonas de alta carga de enfermedad. </w:t>
            </w:r>
            <w:r w:rsidRPr="00047B1F">
              <w:rPr>
                <w:rFonts w:ascii="Calibri" w:eastAsia="Times New Roman" w:hAnsi="Calibri" w:cs="Times New Roman"/>
                <w:color w:val="000000"/>
                <w:sz w:val="18"/>
                <w:szCs w:val="18"/>
                <w:lang w:val="es-SV" w:eastAsia="es-SV"/>
              </w:rPr>
              <w:br/>
              <w:t>Existen esfuerzos piloto como la Clínica de Atención Integral de Santa Ana, que han comenzado a dispensar ARV en la localidad (de forma no oficial) a pacientes estables .</w:t>
            </w:r>
          </w:p>
        </w:tc>
        <w:tc>
          <w:tcPr>
            <w:tcW w:w="604" w:type="pct"/>
            <w:shd w:val="clear" w:color="auto" w:fill="auto"/>
            <w:hideMark/>
          </w:tcPr>
          <w:p w14:paraId="11F0F6DD"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Hacer un análisis de los costos reducidos con la adopción de modelos diferenciados de atención</w:t>
            </w:r>
          </w:p>
        </w:tc>
        <w:tc>
          <w:tcPr>
            <w:tcW w:w="806" w:type="pct"/>
            <w:shd w:val="clear" w:color="auto" w:fill="auto"/>
            <w:hideMark/>
          </w:tcPr>
          <w:p w14:paraId="643B2425" w14:textId="77777777" w:rsidR="00047B1F" w:rsidRPr="00047B1F" w:rsidRDefault="004E7777" w:rsidP="00047B1F">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 xml:space="preserve">Implementación de </w:t>
            </w:r>
            <w:r w:rsidR="00047B1F" w:rsidRPr="00047B1F">
              <w:rPr>
                <w:rFonts w:ascii="Calibri" w:eastAsia="Times New Roman" w:hAnsi="Calibri" w:cs="Times New Roman"/>
                <w:color w:val="000000"/>
                <w:sz w:val="18"/>
                <w:szCs w:val="18"/>
                <w:lang w:val="es-SV" w:eastAsia="es-SV"/>
              </w:rPr>
              <w:t>modelos diferenciados de atención en pacientes estables y definir sus costos.</w:t>
            </w:r>
            <w:r w:rsidR="00047B1F" w:rsidRPr="00047B1F">
              <w:rPr>
                <w:rFonts w:ascii="Calibri" w:eastAsia="Times New Roman" w:hAnsi="Calibri" w:cs="Times New Roman"/>
                <w:color w:val="000000"/>
                <w:sz w:val="18"/>
                <w:szCs w:val="18"/>
                <w:lang w:val="es-SV" w:eastAsia="es-SV"/>
              </w:rPr>
              <w:br/>
              <w:t xml:space="preserve">Diseñar modelos diferenciados de atención </w:t>
            </w:r>
            <w:r w:rsidR="00047B1F" w:rsidRPr="00047B1F">
              <w:rPr>
                <w:rFonts w:ascii="Calibri" w:eastAsia="Times New Roman" w:hAnsi="Calibri" w:cs="Times New Roman"/>
                <w:color w:val="000000"/>
                <w:sz w:val="18"/>
                <w:szCs w:val="18"/>
                <w:lang w:val="es-SV" w:eastAsia="es-SV"/>
              </w:rPr>
              <w:br/>
              <w:t>dirigidos</w:t>
            </w:r>
            <w:r>
              <w:rPr>
                <w:rFonts w:ascii="Calibri" w:eastAsia="Times New Roman" w:hAnsi="Calibri" w:cs="Times New Roman"/>
                <w:color w:val="000000"/>
                <w:sz w:val="18"/>
                <w:szCs w:val="18"/>
                <w:lang w:val="es-SV" w:eastAsia="es-SV"/>
              </w:rPr>
              <w:t xml:space="preserve"> a zonas de altas cargas de VIH y grupos etáreos.</w:t>
            </w:r>
          </w:p>
        </w:tc>
        <w:tc>
          <w:tcPr>
            <w:tcW w:w="705" w:type="pct"/>
            <w:shd w:val="clear" w:color="auto" w:fill="auto"/>
            <w:hideMark/>
          </w:tcPr>
          <w:p w14:paraId="4BE6918F"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Programa Nacional de ITS y VIH /Sida, Sociedad Civil agencias de cooperación</w:t>
            </w:r>
            <w:r w:rsidR="004E7777">
              <w:rPr>
                <w:rFonts w:ascii="Calibri" w:eastAsia="Times New Roman" w:hAnsi="Calibri" w:cs="Times New Roman"/>
                <w:color w:val="000000"/>
                <w:sz w:val="18"/>
                <w:szCs w:val="18"/>
                <w:lang w:val="es-SV" w:eastAsia="es-SV"/>
              </w:rPr>
              <w:t xml:space="preserve"> e ISSS.</w:t>
            </w:r>
          </w:p>
        </w:tc>
      </w:tr>
    </w:tbl>
    <w:p w14:paraId="0B29F2FC" w14:textId="77777777" w:rsidR="001B56B3" w:rsidRDefault="001B56B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1"/>
        <w:gridCol w:w="608"/>
        <w:gridCol w:w="556"/>
        <w:gridCol w:w="694"/>
        <w:gridCol w:w="696"/>
        <w:gridCol w:w="559"/>
      </w:tblGrid>
      <w:tr w:rsidR="00EC5B63" w:rsidRPr="00047B1F" w14:paraId="42D9DE09" w14:textId="77777777" w:rsidTr="001B56B3">
        <w:trPr>
          <w:trHeight w:val="283"/>
        </w:trPr>
        <w:tc>
          <w:tcPr>
            <w:tcW w:w="5000" w:type="pct"/>
            <w:gridSpan w:val="6"/>
            <w:shd w:val="clear" w:color="auto" w:fill="auto"/>
          </w:tcPr>
          <w:p w14:paraId="635B5BB3" w14:textId="77777777" w:rsidR="00EC5B63" w:rsidRPr="00EC5B63" w:rsidRDefault="006455AF"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 xml:space="preserve">Acciones / </w:t>
            </w:r>
            <w:r w:rsidRPr="00EE1739">
              <w:rPr>
                <w:rFonts w:ascii="Calibri" w:eastAsia="Times New Roman" w:hAnsi="Calibri" w:cs="Times New Roman"/>
                <w:b/>
                <w:color w:val="000000"/>
                <w:sz w:val="18"/>
                <w:szCs w:val="18"/>
                <w:lang w:val="es-SV" w:eastAsia="es-SV"/>
              </w:rPr>
              <w:t>Periodo de ejecución</w:t>
            </w:r>
          </w:p>
        </w:tc>
      </w:tr>
      <w:tr w:rsidR="00EC5B63" w:rsidRPr="00047B1F" w14:paraId="1FC766D3" w14:textId="77777777" w:rsidTr="007A551C">
        <w:trPr>
          <w:trHeight w:val="141"/>
        </w:trPr>
        <w:tc>
          <w:tcPr>
            <w:tcW w:w="3802" w:type="pct"/>
            <w:shd w:val="clear" w:color="auto" w:fill="auto"/>
          </w:tcPr>
          <w:p w14:paraId="3B27CA59" w14:textId="77777777" w:rsidR="00EC5B63" w:rsidRPr="00EC5B63" w:rsidRDefault="00EC5B63" w:rsidP="00EC5B63">
            <w:pPr>
              <w:spacing w:after="0" w:line="240" w:lineRule="auto"/>
              <w:jc w:val="center"/>
              <w:rPr>
                <w:rFonts w:ascii="Calibri" w:eastAsia="Times New Roman" w:hAnsi="Calibri" w:cs="Times New Roman"/>
                <w:b/>
                <w:color w:val="000000"/>
                <w:sz w:val="18"/>
                <w:szCs w:val="18"/>
                <w:lang w:val="es-SV" w:eastAsia="es-SV"/>
              </w:rPr>
            </w:pPr>
          </w:p>
        </w:tc>
        <w:tc>
          <w:tcPr>
            <w:tcW w:w="234" w:type="pct"/>
            <w:shd w:val="clear" w:color="auto" w:fill="auto"/>
          </w:tcPr>
          <w:p w14:paraId="008A9253" w14:textId="77777777" w:rsidR="00EC5B63" w:rsidRPr="00EC5B63" w:rsidRDefault="00EC5B63"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2019</w:t>
            </w:r>
          </w:p>
        </w:tc>
        <w:tc>
          <w:tcPr>
            <w:tcW w:w="214" w:type="pct"/>
            <w:shd w:val="clear" w:color="auto" w:fill="auto"/>
          </w:tcPr>
          <w:p w14:paraId="5F1C3365" w14:textId="77777777" w:rsidR="00EC5B63" w:rsidRPr="00EC5B63" w:rsidRDefault="00EC5B63"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2020</w:t>
            </w:r>
          </w:p>
        </w:tc>
        <w:tc>
          <w:tcPr>
            <w:tcW w:w="267" w:type="pct"/>
            <w:shd w:val="clear" w:color="auto" w:fill="auto"/>
          </w:tcPr>
          <w:p w14:paraId="57ECA134" w14:textId="77777777" w:rsidR="00EC5B63" w:rsidRPr="00EC5B63" w:rsidRDefault="00EC5B63"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2021</w:t>
            </w:r>
          </w:p>
        </w:tc>
        <w:tc>
          <w:tcPr>
            <w:tcW w:w="268" w:type="pct"/>
            <w:shd w:val="clear" w:color="auto" w:fill="auto"/>
          </w:tcPr>
          <w:p w14:paraId="2BF12255" w14:textId="77777777" w:rsidR="00EC5B63" w:rsidRPr="00EC5B63" w:rsidRDefault="00EC5B63"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2022</w:t>
            </w:r>
          </w:p>
        </w:tc>
        <w:tc>
          <w:tcPr>
            <w:tcW w:w="215" w:type="pct"/>
            <w:shd w:val="clear" w:color="auto" w:fill="auto"/>
          </w:tcPr>
          <w:p w14:paraId="5CBED392" w14:textId="77777777" w:rsidR="00EC5B63" w:rsidRPr="00EC5B63" w:rsidRDefault="00EC5B63"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2023</w:t>
            </w:r>
          </w:p>
        </w:tc>
      </w:tr>
      <w:tr w:rsidR="00A215D2" w:rsidRPr="00047B1F" w14:paraId="500A38C9" w14:textId="77777777" w:rsidTr="007A551C">
        <w:trPr>
          <w:trHeight w:val="503"/>
        </w:trPr>
        <w:tc>
          <w:tcPr>
            <w:tcW w:w="3802" w:type="pct"/>
            <w:shd w:val="clear" w:color="auto" w:fill="auto"/>
          </w:tcPr>
          <w:p w14:paraId="3FC07DE0" w14:textId="77777777" w:rsidR="00A215D2" w:rsidRPr="00A215D2" w:rsidRDefault="00113F2A" w:rsidP="00A215D2">
            <w:pP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eastAsia="es-SV"/>
              </w:rPr>
              <w:t>Análisis</w:t>
            </w:r>
            <w:r w:rsidR="00A215D2" w:rsidRPr="00A215D2">
              <w:rPr>
                <w:rFonts w:ascii="Calibri" w:eastAsia="Times New Roman" w:hAnsi="Calibri" w:cs="Times New Roman"/>
                <w:color w:val="000000"/>
                <w:sz w:val="18"/>
                <w:szCs w:val="18"/>
                <w:lang w:val="es-SV" w:eastAsia="es-SV"/>
              </w:rPr>
              <w:t xml:space="preserve"> del beneficio de aplicar las recomendaciones OMS 2015, 2017 en servicios diferenciados de atención VIH, en sitios priorizados y dirigidos a poblaciones claves. </w:t>
            </w:r>
          </w:p>
        </w:tc>
        <w:tc>
          <w:tcPr>
            <w:tcW w:w="234" w:type="pct"/>
            <w:shd w:val="clear" w:color="auto" w:fill="auto"/>
            <w:vAlign w:val="bottom"/>
          </w:tcPr>
          <w:p w14:paraId="56A9D051" w14:textId="77777777" w:rsidR="00A215D2" w:rsidRDefault="00113F2A" w:rsidP="00D839D6">
            <w:pPr>
              <w:rPr>
                <w:rFonts w:ascii="Calibri" w:hAnsi="Calibri"/>
                <w:color w:val="000000"/>
              </w:rPr>
            </w:pPr>
            <w:r>
              <w:rPr>
                <w:rFonts w:ascii="Calibri" w:hAnsi="Calibri"/>
                <w:color w:val="000000"/>
              </w:rPr>
              <w:t>X</w:t>
            </w:r>
          </w:p>
        </w:tc>
        <w:tc>
          <w:tcPr>
            <w:tcW w:w="214" w:type="pct"/>
            <w:shd w:val="clear" w:color="auto" w:fill="auto"/>
            <w:vAlign w:val="bottom"/>
          </w:tcPr>
          <w:p w14:paraId="4BA99A60" w14:textId="77777777" w:rsidR="00A215D2" w:rsidRDefault="00113F2A" w:rsidP="00D839D6">
            <w:pPr>
              <w:rPr>
                <w:rFonts w:ascii="Calibri" w:hAnsi="Calibri"/>
                <w:color w:val="000000"/>
              </w:rPr>
            </w:pPr>
            <w:r>
              <w:rPr>
                <w:rFonts w:ascii="Calibri" w:hAnsi="Calibri"/>
                <w:color w:val="000000"/>
              </w:rPr>
              <w:t>X</w:t>
            </w:r>
          </w:p>
        </w:tc>
        <w:tc>
          <w:tcPr>
            <w:tcW w:w="267" w:type="pct"/>
            <w:shd w:val="clear" w:color="auto" w:fill="auto"/>
          </w:tcPr>
          <w:p w14:paraId="449444BE" w14:textId="77777777" w:rsidR="00A215D2" w:rsidRPr="00047B1F" w:rsidRDefault="00A215D2" w:rsidP="00D839D6">
            <w:pPr>
              <w:spacing w:after="0" w:line="240" w:lineRule="auto"/>
              <w:rPr>
                <w:rFonts w:ascii="Calibri" w:eastAsia="Times New Roman" w:hAnsi="Calibri" w:cs="Times New Roman"/>
                <w:color w:val="000000"/>
                <w:sz w:val="18"/>
                <w:szCs w:val="18"/>
                <w:lang w:val="es-SV" w:eastAsia="es-SV"/>
              </w:rPr>
            </w:pPr>
          </w:p>
        </w:tc>
        <w:tc>
          <w:tcPr>
            <w:tcW w:w="268" w:type="pct"/>
            <w:shd w:val="clear" w:color="auto" w:fill="auto"/>
          </w:tcPr>
          <w:p w14:paraId="071E0E22" w14:textId="77777777" w:rsidR="00A215D2" w:rsidRPr="00047B1F" w:rsidRDefault="00A215D2" w:rsidP="00D839D6">
            <w:pPr>
              <w:spacing w:after="0" w:line="240" w:lineRule="auto"/>
              <w:rPr>
                <w:rFonts w:ascii="Calibri" w:eastAsia="Times New Roman" w:hAnsi="Calibri" w:cs="Times New Roman"/>
                <w:color w:val="000000"/>
                <w:sz w:val="18"/>
                <w:szCs w:val="18"/>
                <w:lang w:val="es-SV" w:eastAsia="es-SV"/>
              </w:rPr>
            </w:pPr>
          </w:p>
        </w:tc>
        <w:tc>
          <w:tcPr>
            <w:tcW w:w="215" w:type="pct"/>
            <w:shd w:val="clear" w:color="auto" w:fill="auto"/>
            <w:vAlign w:val="bottom"/>
          </w:tcPr>
          <w:p w14:paraId="2710F16A" w14:textId="77777777" w:rsidR="00A215D2" w:rsidRPr="00047B1F" w:rsidRDefault="00A215D2" w:rsidP="00D839D6">
            <w:pPr>
              <w:spacing w:after="0" w:line="240" w:lineRule="auto"/>
              <w:rPr>
                <w:rFonts w:ascii="Calibri" w:eastAsia="Times New Roman" w:hAnsi="Calibri" w:cs="Times New Roman"/>
                <w:color w:val="000000"/>
                <w:sz w:val="18"/>
                <w:szCs w:val="18"/>
                <w:lang w:val="es-SV" w:eastAsia="es-SV"/>
              </w:rPr>
            </w:pPr>
          </w:p>
        </w:tc>
      </w:tr>
      <w:tr w:rsidR="00D839D6" w:rsidRPr="00047B1F" w14:paraId="386260B4" w14:textId="77777777" w:rsidTr="007A551C">
        <w:trPr>
          <w:trHeight w:val="503"/>
        </w:trPr>
        <w:tc>
          <w:tcPr>
            <w:tcW w:w="3802" w:type="pct"/>
            <w:shd w:val="clear" w:color="auto" w:fill="auto"/>
            <w:hideMark/>
          </w:tcPr>
          <w:p w14:paraId="33316996" w14:textId="77777777" w:rsidR="00D839D6" w:rsidRPr="00047B1F" w:rsidRDefault="00312362" w:rsidP="00D839D6">
            <w:pPr>
              <w:spacing w:after="0" w:line="240" w:lineRule="auto"/>
              <w:rPr>
                <w:rFonts w:ascii="Calibri" w:eastAsia="Times New Roman" w:hAnsi="Calibri" w:cs="Times New Roman"/>
                <w:color w:val="000000"/>
                <w:sz w:val="18"/>
                <w:szCs w:val="18"/>
                <w:lang w:val="es-SV" w:eastAsia="es-SV"/>
              </w:rPr>
            </w:pPr>
            <w:r w:rsidRPr="00312362">
              <w:rPr>
                <w:rFonts w:ascii="Calibri" w:eastAsia="Times New Roman" w:hAnsi="Calibri" w:cs="Times New Roman"/>
                <w:color w:val="000000"/>
                <w:sz w:val="18"/>
                <w:szCs w:val="18"/>
                <w:lang w:val="es-SV" w:eastAsia="es-SV"/>
              </w:rPr>
              <w:t>Talleres de análisis de definición de modelos diferenciados de atención a personas  con prioridad en zonas de alta carga de en</w:t>
            </w:r>
            <w:r w:rsidR="001B56B3">
              <w:rPr>
                <w:rFonts w:ascii="Calibri" w:eastAsia="Times New Roman" w:hAnsi="Calibri" w:cs="Times New Roman"/>
                <w:color w:val="000000"/>
                <w:sz w:val="18"/>
                <w:szCs w:val="18"/>
                <w:lang w:val="es-SV" w:eastAsia="es-SV"/>
              </w:rPr>
              <w:t>fermedad y poblaciones clave VIH</w:t>
            </w:r>
            <w:r w:rsidR="0072063B">
              <w:rPr>
                <w:rFonts w:ascii="Calibri" w:eastAsia="Times New Roman" w:hAnsi="Calibri" w:cs="Times New Roman"/>
                <w:color w:val="000000"/>
                <w:sz w:val="18"/>
                <w:szCs w:val="18"/>
                <w:lang w:val="es-SV" w:eastAsia="es-SV"/>
              </w:rPr>
              <w:t xml:space="preserve">, análisis del </w:t>
            </w:r>
            <w:r w:rsidR="0072063B" w:rsidRPr="0072063B">
              <w:rPr>
                <w:rFonts w:ascii="Calibri" w:eastAsia="Times New Roman" w:hAnsi="Calibri" w:cs="Times New Roman"/>
                <w:color w:val="000000"/>
                <w:sz w:val="18"/>
                <w:szCs w:val="18"/>
                <w:lang w:val="es-SV" w:eastAsia="es-SV"/>
              </w:rPr>
              <w:t>Inicio de TARV el mismo día/ Inicio Rápido de Terapia Antiretroviral (IRTA)</w:t>
            </w:r>
          </w:p>
        </w:tc>
        <w:tc>
          <w:tcPr>
            <w:tcW w:w="234" w:type="pct"/>
            <w:shd w:val="clear" w:color="auto" w:fill="auto"/>
            <w:vAlign w:val="bottom"/>
            <w:hideMark/>
          </w:tcPr>
          <w:p w14:paraId="09AC6EEB" w14:textId="77777777" w:rsidR="00D839D6" w:rsidRDefault="004E7777" w:rsidP="00D839D6">
            <w:pPr>
              <w:rPr>
                <w:rFonts w:ascii="Calibri" w:hAnsi="Calibri"/>
                <w:color w:val="000000"/>
              </w:rPr>
            </w:pPr>
            <w:r>
              <w:rPr>
                <w:rFonts w:ascii="Calibri" w:hAnsi="Calibri"/>
                <w:color w:val="000000"/>
              </w:rPr>
              <w:t>X</w:t>
            </w:r>
          </w:p>
        </w:tc>
        <w:tc>
          <w:tcPr>
            <w:tcW w:w="214" w:type="pct"/>
            <w:shd w:val="clear" w:color="auto" w:fill="auto"/>
            <w:vAlign w:val="bottom"/>
            <w:hideMark/>
          </w:tcPr>
          <w:p w14:paraId="3727F587" w14:textId="77777777" w:rsidR="00D839D6" w:rsidRDefault="004E7777" w:rsidP="00D839D6">
            <w:pPr>
              <w:rPr>
                <w:rFonts w:ascii="Calibri" w:hAnsi="Calibri"/>
                <w:color w:val="000000"/>
              </w:rPr>
            </w:pPr>
            <w:r>
              <w:rPr>
                <w:rFonts w:ascii="Calibri" w:hAnsi="Calibri"/>
                <w:color w:val="000000"/>
              </w:rPr>
              <w:t>X</w:t>
            </w:r>
          </w:p>
        </w:tc>
        <w:tc>
          <w:tcPr>
            <w:tcW w:w="267" w:type="pct"/>
            <w:shd w:val="clear" w:color="auto" w:fill="auto"/>
            <w:hideMark/>
          </w:tcPr>
          <w:p w14:paraId="130312D0" w14:textId="77777777" w:rsidR="00D839D6" w:rsidRPr="00047B1F" w:rsidRDefault="004E7777" w:rsidP="00D839D6">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c>
          <w:tcPr>
            <w:tcW w:w="268" w:type="pct"/>
            <w:shd w:val="clear" w:color="auto" w:fill="auto"/>
            <w:hideMark/>
          </w:tcPr>
          <w:p w14:paraId="77F57613" w14:textId="77777777" w:rsidR="00D839D6" w:rsidRPr="00047B1F" w:rsidRDefault="004E7777" w:rsidP="00D839D6">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c>
          <w:tcPr>
            <w:tcW w:w="215" w:type="pct"/>
            <w:shd w:val="clear" w:color="auto" w:fill="auto"/>
            <w:vAlign w:val="bottom"/>
            <w:hideMark/>
          </w:tcPr>
          <w:p w14:paraId="1EBF9FCE" w14:textId="77777777" w:rsidR="00D839D6" w:rsidRPr="00047B1F" w:rsidRDefault="00D839D6" w:rsidP="00D839D6">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r>
      <w:tr w:rsidR="007A551C" w:rsidRPr="00047B1F" w14:paraId="5BA94905" w14:textId="77777777" w:rsidTr="004F0FFE">
        <w:trPr>
          <w:trHeight w:val="503"/>
        </w:trPr>
        <w:tc>
          <w:tcPr>
            <w:tcW w:w="3802" w:type="pct"/>
            <w:shd w:val="clear" w:color="auto" w:fill="auto"/>
          </w:tcPr>
          <w:p w14:paraId="31249C14" w14:textId="77777777" w:rsidR="007A551C" w:rsidRPr="00A215D2" w:rsidRDefault="007A551C" w:rsidP="00A215D2">
            <w:pPr>
              <w:rPr>
                <w:rFonts w:ascii="Calibri" w:eastAsia="Times New Roman" w:hAnsi="Calibri" w:cs="Times New Roman"/>
                <w:color w:val="000000"/>
                <w:sz w:val="18"/>
                <w:szCs w:val="18"/>
                <w:lang w:val="es-SV" w:eastAsia="es-SV"/>
              </w:rPr>
            </w:pPr>
            <w:r w:rsidRPr="007A551C">
              <w:rPr>
                <w:rFonts w:ascii="Calibri" w:eastAsia="Times New Roman" w:hAnsi="Calibri" w:cs="Times New Roman"/>
                <w:color w:val="000000"/>
                <w:sz w:val="18"/>
                <w:szCs w:val="18"/>
                <w:lang w:val="es-SV" w:eastAsia="es-SV"/>
              </w:rPr>
              <w:t>Cuantificación y generación</w:t>
            </w:r>
            <w:r w:rsidR="00790C56">
              <w:rPr>
                <w:rFonts w:ascii="Calibri" w:eastAsia="Times New Roman" w:hAnsi="Calibri" w:cs="Times New Roman"/>
                <w:color w:val="000000"/>
                <w:sz w:val="18"/>
                <w:szCs w:val="18"/>
                <w:lang w:val="es-SV" w:eastAsia="es-SV"/>
              </w:rPr>
              <w:t xml:space="preserve"> de planes de compra de ARVs y p</w:t>
            </w:r>
            <w:r w:rsidRPr="007A551C">
              <w:rPr>
                <w:rFonts w:ascii="Calibri" w:eastAsia="Times New Roman" w:hAnsi="Calibri" w:cs="Times New Roman"/>
                <w:color w:val="000000"/>
                <w:sz w:val="18"/>
                <w:szCs w:val="18"/>
                <w:lang w:val="es-SV" w:eastAsia="es-SV"/>
              </w:rPr>
              <w:t>ruebas de laboratorio con el MINSAL (estimación de necesi</w:t>
            </w:r>
            <w:r>
              <w:rPr>
                <w:rFonts w:ascii="Calibri" w:eastAsia="Times New Roman" w:hAnsi="Calibri" w:cs="Times New Roman"/>
                <w:color w:val="000000"/>
                <w:sz w:val="18"/>
                <w:szCs w:val="18"/>
                <w:lang w:val="es-SV" w:eastAsia="es-SV"/>
              </w:rPr>
              <w:t xml:space="preserve">dades futuras de medicamentos) </w:t>
            </w:r>
            <w:r w:rsidRPr="007A551C">
              <w:rPr>
                <w:rFonts w:ascii="Calibri" w:eastAsia="Times New Roman" w:hAnsi="Calibri" w:cs="Times New Roman"/>
                <w:color w:val="000000"/>
                <w:sz w:val="18"/>
                <w:szCs w:val="18"/>
                <w:lang w:val="es-SV" w:eastAsia="es-SV"/>
              </w:rPr>
              <w:t xml:space="preserve">y desarrollo de </w:t>
            </w:r>
            <w:r>
              <w:rPr>
                <w:rFonts w:ascii="Calibri" w:eastAsia="Times New Roman" w:hAnsi="Calibri" w:cs="Times New Roman"/>
                <w:color w:val="000000"/>
                <w:sz w:val="18"/>
                <w:szCs w:val="18"/>
                <w:lang w:val="es-SV" w:eastAsia="es-SV"/>
              </w:rPr>
              <w:t>planes de compra, identificando</w:t>
            </w:r>
            <w:r w:rsidRPr="007A551C">
              <w:rPr>
                <w:rFonts w:ascii="Calibri" w:eastAsia="Times New Roman" w:hAnsi="Calibri" w:cs="Times New Roman"/>
                <w:color w:val="000000"/>
                <w:sz w:val="18"/>
                <w:szCs w:val="18"/>
                <w:lang w:val="es-SV" w:eastAsia="es-SV"/>
              </w:rPr>
              <w:t xml:space="preserve"> brechas financieras si las hubiera</w:t>
            </w:r>
            <w:r w:rsidR="00A215D2">
              <w:rPr>
                <w:rFonts w:ascii="Calibri" w:eastAsia="Times New Roman" w:hAnsi="Calibri" w:cs="Times New Roman"/>
                <w:color w:val="000000"/>
                <w:sz w:val="18"/>
                <w:szCs w:val="18"/>
                <w:lang w:val="es-SV" w:eastAsia="es-SV"/>
              </w:rPr>
              <w:t>, como insumos para la instalación de servicios diferenciados de atención.</w:t>
            </w:r>
          </w:p>
        </w:tc>
        <w:tc>
          <w:tcPr>
            <w:tcW w:w="234" w:type="pct"/>
            <w:shd w:val="clear" w:color="auto" w:fill="auto"/>
            <w:vAlign w:val="bottom"/>
          </w:tcPr>
          <w:p w14:paraId="64847811" w14:textId="77777777" w:rsidR="007A551C" w:rsidRDefault="007A551C" w:rsidP="007A551C">
            <w:pPr>
              <w:rPr>
                <w:rFonts w:ascii="Calibri" w:hAnsi="Calibri"/>
                <w:color w:val="000000"/>
              </w:rPr>
            </w:pPr>
            <w:r>
              <w:rPr>
                <w:rFonts w:ascii="Calibri" w:hAnsi="Calibri"/>
                <w:color w:val="000000"/>
              </w:rPr>
              <w:t>X</w:t>
            </w:r>
          </w:p>
        </w:tc>
        <w:tc>
          <w:tcPr>
            <w:tcW w:w="214" w:type="pct"/>
            <w:shd w:val="clear" w:color="auto" w:fill="auto"/>
            <w:vAlign w:val="bottom"/>
          </w:tcPr>
          <w:p w14:paraId="48FF04FC" w14:textId="77777777" w:rsidR="007A551C" w:rsidRDefault="007A551C" w:rsidP="007A551C">
            <w:pPr>
              <w:rPr>
                <w:rFonts w:ascii="Calibri" w:hAnsi="Calibri"/>
                <w:color w:val="000000"/>
              </w:rPr>
            </w:pPr>
            <w:r>
              <w:rPr>
                <w:rFonts w:ascii="Calibri" w:hAnsi="Calibri"/>
                <w:color w:val="000000"/>
              </w:rPr>
              <w:t>X</w:t>
            </w:r>
          </w:p>
        </w:tc>
        <w:tc>
          <w:tcPr>
            <w:tcW w:w="267" w:type="pct"/>
            <w:shd w:val="clear" w:color="auto" w:fill="auto"/>
            <w:vAlign w:val="bottom"/>
          </w:tcPr>
          <w:p w14:paraId="7A6F0518" w14:textId="77777777" w:rsidR="007A551C" w:rsidRDefault="007A551C" w:rsidP="007A551C">
            <w:pPr>
              <w:rPr>
                <w:rFonts w:ascii="Calibri" w:hAnsi="Calibri"/>
                <w:color w:val="000000"/>
              </w:rPr>
            </w:pPr>
            <w:r>
              <w:rPr>
                <w:rFonts w:ascii="Calibri" w:hAnsi="Calibri"/>
                <w:color w:val="000000"/>
              </w:rPr>
              <w:t>X</w:t>
            </w:r>
          </w:p>
        </w:tc>
        <w:tc>
          <w:tcPr>
            <w:tcW w:w="268" w:type="pct"/>
            <w:shd w:val="clear" w:color="auto" w:fill="auto"/>
            <w:vAlign w:val="bottom"/>
          </w:tcPr>
          <w:p w14:paraId="102369D9" w14:textId="77777777" w:rsidR="007A551C" w:rsidRDefault="007A551C" w:rsidP="007A551C">
            <w:pPr>
              <w:rPr>
                <w:rFonts w:ascii="Calibri" w:hAnsi="Calibri"/>
                <w:color w:val="000000"/>
              </w:rPr>
            </w:pPr>
            <w:r>
              <w:rPr>
                <w:rFonts w:ascii="Calibri" w:hAnsi="Calibri"/>
                <w:color w:val="000000"/>
              </w:rPr>
              <w:t>X</w:t>
            </w:r>
          </w:p>
        </w:tc>
        <w:tc>
          <w:tcPr>
            <w:tcW w:w="215" w:type="pct"/>
            <w:shd w:val="clear" w:color="auto" w:fill="auto"/>
            <w:vAlign w:val="bottom"/>
          </w:tcPr>
          <w:p w14:paraId="39A074B0" w14:textId="77777777" w:rsidR="007A551C" w:rsidRDefault="007A551C" w:rsidP="007A551C">
            <w:pPr>
              <w:rPr>
                <w:rFonts w:ascii="Calibri" w:hAnsi="Calibri"/>
                <w:color w:val="000000"/>
              </w:rPr>
            </w:pPr>
            <w:r>
              <w:rPr>
                <w:rFonts w:ascii="Calibri" w:hAnsi="Calibri"/>
                <w:color w:val="000000"/>
              </w:rPr>
              <w:t>X</w:t>
            </w:r>
          </w:p>
        </w:tc>
      </w:tr>
      <w:tr w:rsidR="007A551C" w:rsidRPr="00047B1F" w14:paraId="09DBFFD1" w14:textId="77777777" w:rsidTr="007A551C">
        <w:trPr>
          <w:trHeight w:val="283"/>
        </w:trPr>
        <w:tc>
          <w:tcPr>
            <w:tcW w:w="3802" w:type="pct"/>
            <w:shd w:val="clear" w:color="auto" w:fill="auto"/>
            <w:hideMark/>
          </w:tcPr>
          <w:p w14:paraId="086330CB" w14:textId="77777777" w:rsidR="007A551C" w:rsidRPr="00047B1F" w:rsidRDefault="007A551C" w:rsidP="007A551C">
            <w:pPr>
              <w:spacing w:after="0" w:line="240" w:lineRule="auto"/>
              <w:rPr>
                <w:rFonts w:ascii="Calibri" w:eastAsia="Times New Roman" w:hAnsi="Calibri" w:cs="Times New Roman"/>
                <w:color w:val="000000"/>
                <w:sz w:val="18"/>
                <w:szCs w:val="18"/>
                <w:lang w:val="es-SV" w:eastAsia="es-SV"/>
              </w:rPr>
            </w:pPr>
            <w:r w:rsidRPr="00312362">
              <w:rPr>
                <w:rFonts w:ascii="Calibri" w:eastAsia="Times New Roman" w:hAnsi="Calibri" w:cs="Times New Roman"/>
                <w:color w:val="000000"/>
                <w:sz w:val="18"/>
                <w:szCs w:val="18"/>
                <w:lang w:val="es-SV" w:eastAsia="es-SV"/>
              </w:rPr>
              <w:t>Iden</w:t>
            </w:r>
            <w:r>
              <w:rPr>
                <w:rFonts w:ascii="Calibri" w:eastAsia="Times New Roman" w:hAnsi="Calibri" w:cs="Times New Roman"/>
                <w:color w:val="000000"/>
                <w:sz w:val="18"/>
                <w:szCs w:val="18"/>
                <w:lang w:val="es-SV" w:eastAsia="es-SV"/>
              </w:rPr>
              <w:t>ti</w:t>
            </w:r>
            <w:r w:rsidRPr="00312362">
              <w:rPr>
                <w:rFonts w:ascii="Calibri" w:eastAsia="Times New Roman" w:hAnsi="Calibri" w:cs="Times New Roman"/>
                <w:color w:val="000000"/>
                <w:sz w:val="18"/>
                <w:szCs w:val="18"/>
                <w:lang w:val="es-SV" w:eastAsia="es-SV"/>
              </w:rPr>
              <w:t>ficación de cambios en normativas</w:t>
            </w:r>
            <w:r w:rsidR="00113F2A">
              <w:rPr>
                <w:rFonts w:ascii="Calibri" w:eastAsia="Times New Roman" w:hAnsi="Calibri" w:cs="Times New Roman"/>
                <w:color w:val="000000"/>
                <w:sz w:val="18"/>
                <w:szCs w:val="18"/>
                <w:lang w:val="es-SV" w:eastAsia="es-SV"/>
              </w:rPr>
              <w:t xml:space="preserve"> o políticas</w:t>
            </w:r>
            <w:r w:rsidRPr="00312362">
              <w:rPr>
                <w:rFonts w:ascii="Calibri" w:eastAsia="Times New Roman" w:hAnsi="Calibri" w:cs="Times New Roman"/>
                <w:color w:val="000000"/>
                <w:sz w:val="18"/>
                <w:szCs w:val="18"/>
                <w:lang w:val="es-SV" w:eastAsia="es-SV"/>
              </w:rPr>
              <w:t xml:space="preserve"> específicas para la implementación de modelos diferenciados de atención</w:t>
            </w:r>
            <w:r w:rsidR="00113F2A">
              <w:rPr>
                <w:rFonts w:ascii="Calibri" w:eastAsia="Times New Roman" w:hAnsi="Calibri" w:cs="Times New Roman"/>
                <w:color w:val="000000"/>
                <w:sz w:val="18"/>
                <w:szCs w:val="18"/>
                <w:lang w:val="es-SV" w:eastAsia="es-SV"/>
              </w:rPr>
              <w:t xml:space="preserve">, que </w:t>
            </w:r>
            <w:r w:rsidR="00113F2A" w:rsidRPr="00113F2A">
              <w:rPr>
                <w:rFonts w:ascii="Calibri" w:eastAsia="Times New Roman" w:hAnsi="Calibri" w:cs="Times New Roman"/>
                <w:color w:val="000000"/>
                <w:sz w:val="18"/>
                <w:szCs w:val="18"/>
                <w:lang w:val="es-SV" w:eastAsia="es-SV"/>
              </w:rPr>
              <w:t>norman la prestación de servicios de VIH</w:t>
            </w:r>
            <w:r w:rsidR="00113F2A">
              <w:rPr>
                <w:rFonts w:ascii="Calibri" w:eastAsia="Times New Roman" w:hAnsi="Calibri" w:cs="Times New Roman"/>
                <w:color w:val="000000"/>
                <w:sz w:val="18"/>
                <w:szCs w:val="18"/>
                <w:lang w:val="es-SV" w:eastAsia="es-SV"/>
              </w:rPr>
              <w:t>.</w:t>
            </w:r>
          </w:p>
        </w:tc>
        <w:tc>
          <w:tcPr>
            <w:tcW w:w="234" w:type="pct"/>
            <w:shd w:val="clear" w:color="auto" w:fill="auto"/>
            <w:vAlign w:val="bottom"/>
            <w:hideMark/>
          </w:tcPr>
          <w:p w14:paraId="60538568" w14:textId="77777777" w:rsidR="007A551C" w:rsidRDefault="007A551C" w:rsidP="007A551C">
            <w:pPr>
              <w:rPr>
                <w:rFonts w:ascii="Calibri" w:hAnsi="Calibri"/>
                <w:color w:val="000000"/>
              </w:rPr>
            </w:pPr>
          </w:p>
        </w:tc>
        <w:tc>
          <w:tcPr>
            <w:tcW w:w="214" w:type="pct"/>
            <w:shd w:val="clear" w:color="auto" w:fill="auto"/>
            <w:vAlign w:val="bottom"/>
            <w:hideMark/>
          </w:tcPr>
          <w:p w14:paraId="7F31C051" w14:textId="77777777" w:rsidR="007A551C" w:rsidRDefault="007A551C" w:rsidP="007A551C">
            <w:pPr>
              <w:rPr>
                <w:rFonts w:ascii="Calibri" w:hAnsi="Calibri"/>
                <w:color w:val="000000"/>
              </w:rPr>
            </w:pPr>
            <w:r>
              <w:rPr>
                <w:rFonts w:ascii="Calibri" w:hAnsi="Calibri"/>
                <w:color w:val="000000"/>
              </w:rPr>
              <w:t>X</w:t>
            </w:r>
          </w:p>
        </w:tc>
        <w:tc>
          <w:tcPr>
            <w:tcW w:w="267" w:type="pct"/>
            <w:shd w:val="clear" w:color="auto" w:fill="auto"/>
            <w:hideMark/>
          </w:tcPr>
          <w:p w14:paraId="32ABE5F4" w14:textId="77777777" w:rsidR="007A551C" w:rsidRPr="00047B1F" w:rsidRDefault="007A551C" w:rsidP="007A551C">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r>
              <w:rPr>
                <w:rFonts w:ascii="Calibri" w:eastAsia="Times New Roman" w:hAnsi="Calibri" w:cs="Times New Roman"/>
                <w:color w:val="000000"/>
                <w:sz w:val="18"/>
                <w:szCs w:val="18"/>
                <w:lang w:val="es-SV" w:eastAsia="es-SV"/>
              </w:rPr>
              <w:t>X</w:t>
            </w:r>
          </w:p>
        </w:tc>
        <w:tc>
          <w:tcPr>
            <w:tcW w:w="268" w:type="pct"/>
            <w:shd w:val="clear" w:color="auto" w:fill="auto"/>
            <w:hideMark/>
          </w:tcPr>
          <w:p w14:paraId="07A1854E" w14:textId="77777777" w:rsidR="007A551C" w:rsidRPr="00047B1F" w:rsidRDefault="007A551C" w:rsidP="007A551C">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c>
          <w:tcPr>
            <w:tcW w:w="215" w:type="pct"/>
            <w:shd w:val="clear" w:color="auto" w:fill="auto"/>
            <w:vAlign w:val="bottom"/>
            <w:hideMark/>
          </w:tcPr>
          <w:p w14:paraId="5A83B5A2" w14:textId="77777777" w:rsidR="007A551C" w:rsidRPr="00047B1F" w:rsidRDefault="007A551C" w:rsidP="007A551C">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r>
      <w:tr w:rsidR="007A551C" w:rsidRPr="00047B1F" w14:paraId="1A557B7F" w14:textId="77777777" w:rsidTr="007A551C">
        <w:trPr>
          <w:trHeight w:val="389"/>
        </w:trPr>
        <w:tc>
          <w:tcPr>
            <w:tcW w:w="3802" w:type="pct"/>
            <w:shd w:val="clear" w:color="auto" w:fill="auto"/>
            <w:hideMark/>
          </w:tcPr>
          <w:p w14:paraId="57F1A0FC" w14:textId="77777777" w:rsidR="007A551C" w:rsidRPr="00047B1F" w:rsidRDefault="007A551C" w:rsidP="007A551C">
            <w:pPr>
              <w:spacing w:after="0" w:line="240" w:lineRule="auto"/>
              <w:rPr>
                <w:rFonts w:ascii="Calibri" w:eastAsia="Times New Roman" w:hAnsi="Calibri" w:cs="Times New Roman"/>
                <w:color w:val="000000"/>
                <w:sz w:val="18"/>
                <w:szCs w:val="18"/>
                <w:lang w:val="es-SV" w:eastAsia="es-SV"/>
              </w:rPr>
            </w:pPr>
            <w:r w:rsidRPr="00312362">
              <w:rPr>
                <w:rFonts w:ascii="Calibri" w:eastAsia="Times New Roman" w:hAnsi="Calibri" w:cs="Times New Roman"/>
                <w:color w:val="000000"/>
                <w:sz w:val="18"/>
                <w:szCs w:val="18"/>
                <w:lang w:val="es-SV" w:eastAsia="es-SV"/>
              </w:rPr>
              <w:t>Establecimiento de la adopción de modelos diferenciados en los diferentes establecimientos de salud</w:t>
            </w:r>
            <w:r>
              <w:rPr>
                <w:rFonts w:ascii="Calibri" w:eastAsia="Times New Roman" w:hAnsi="Calibri" w:cs="Times New Roman"/>
                <w:color w:val="000000"/>
                <w:sz w:val="18"/>
                <w:szCs w:val="18"/>
                <w:lang w:val="es-SV" w:eastAsia="es-SV"/>
              </w:rPr>
              <w:t>.</w:t>
            </w:r>
          </w:p>
        </w:tc>
        <w:tc>
          <w:tcPr>
            <w:tcW w:w="234" w:type="pct"/>
            <w:shd w:val="clear" w:color="auto" w:fill="auto"/>
            <w:vAlign w:val="bottom"/>
            <w:hideMark/>
          </w:tcPr>
          <w:p w14:paraId="6BB9B5E4" w14:textId="77777777" w:rsidR="007A551C" w:rsidRDefault="007A551C" w:rsidP="007A551C">
            <w:pPr>
              <w:rPr>
                <w:rFonts w:ascii="Calibri" w:hAnsi="Calibri"/>
                <w:color w:val="000000"/>
              </w:rPr>
            </w:pPr>
          </w:p>
        </w:tc>
        <w:tc>
          <w:tcPr>
            <w:tcW w:w="214" w:type="pct"/>
            <w:shd w:val="clear" w:color="auto" w:fill="auto"/>
            <w:vAlign w:val="bottom"/>
            <w:hideMark/>
          </w:tcPr>
          <w:p w14:paraId="4E83DD92" w14:textId="77777777" w:rsidR="007A551C" w:rsidRDefault="007A551C" w:rsidP="007A551C">
            <w:pPr>
              <w:rPr>
                <w:rFonts w:ascii="Calibri" w:hAnsi="Calibri"/>
                <w:color w:val="000000"/>
              </w:rPr>
            </w:pPr>
            <w:r>
              <w:rPr>
                <w:rFonts w:ascii="Calibri" w:hAnsi="Calibri"/>
                <w:color w:val="000000"/>
              </w:rPr>
              <w:t>X</w:t>
            </w:r>
          </w:p>
        </w:tc>
        <w:tc>
          <w:tcPr>
            <w:tcW w:w="267" w:type="pct"/>
            <w:shd w:val="clear" w:color="auto" w:fill="auto"/>
            <w:hideMark/>
          </w:tcPr>
          <w:p w14:paraId="33D7F9B0" w14:textId="77777777" w:rsidR="007A551C" w:rsidRPr="00047B1F" w:rsidRDefault="007A551C" w:rsidP="007A551C">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r>
              <w:rPr>
                <w:rFonts w:ascii="Calibri" w:eastAsia="Times New Roman" w:hAnsi="Calibri" w:cs="Times New Roman"/>
                <w:color w:val="000000"/>
                <w:sz w:val="18"/>
                <w:szCs w:val="18"/>
                <w:lang w:val="es-SV" w:eastAsia="es-SV"/>
              </w:rPr>
              <w:t>X</w:t>
            </w:r>
          </w:p>
        </w:tc>
        <w:tc>
          <w:tcPr>
            <w:tcW w:w="268" w:type="pct"/>
            <w:shd w:val="clear" w:color="auto" w:fill="auto"/>
            <w:hideMark/>
          </w:tcPr>
          <w:p w14:paraId="7F92B1FF" w14:textId="77777777" w:rsidR="007A551C" w:rsidRPr="00047B1F" w:rsidRDefault="007A551C" w:rsidP="007A551C">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c>
          <w:tcPr>
            <w:tcW w:w="215" w:type="pct"/>
            <w:shd w:val="clear" w:color="auto" w:fill="auto"/>
            <w:vAlign w:val="bottom"/>
            <w:hideMark/>
          </w:tcPr>
          <w:p w14:paraId="39C37468" w14:textId="77777777" w:rsidR="007A551C" w:rsidRPr="00047B1F" w:rsidRDefault="007A551C" w:rsidP="007A551C">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r>
      <w:tr w:rsidR="007A551C" w:rsidRPr="00047B1F" w14:paraId="484BD936" w14:textId="77777777" w:rsidTr="007A551C">
        <w:trPr>
          <w:trHeight w:val="354"/>
        </w:trPr>
        <w:tc>
          <w:tcPr>
            <w:tcW w:w="3802" w:type="pct"/>
            <w:shd w:val="clear" w:color="auto" w:fill="auto"/>
          </w:tcPr>
          <w:p w14:paraId="5C6F7613" w14:textId="77777777" w:rsidR="007A551C" w:rsidRPr="00047B1F" w:rsidRDefault="007A551C" w:rsidP="007A551C">
            <w:pPr>
              <w:spacing w:after="0" w:line="240" w:lineRule="auto"/>
              <w:rPr>
                <w:rFonts w:ascii="Calibri" w:eastAsia="Times New Roman" w:hAnsi="Calibri" w:cs="Times New Roman"/>
                <w:color w:val="000000"/>
                <w:sz w:val="18"/>
                <w:szCs w:val="18"/>
                <w:lang w:val="es-SV" w:eastAsia="es-SV"/>
              </w:rPr>
            </w:pPr>
            <w:r w:rsidRPr="00312362">
              <w:rPr>
                <w:rFonts w:ascii="Calibri" w:eastAsia="Times New Roman" w:hAnsi="Calibri" w:cs="Times New Roman"/>
                <w:color w:val="000000"/>
                <w:sz w:val="18"/>
                <w:szCs w:val="18"/>
                <w:lang w:val="es-SV" w:eastAsia="es-SV"/>
              </w:rPr>
              <w:t>Evaluación de la adopción de modelos dife</w:t>
            </w:r>
            <w:r>
              <w:rPr>
                <w:rFonts w:ascii="Calibri" w:eastAsia="Times New Roman" w:hAnsi="Calibri" w:cs="Times New Roman"/>
                <w:color w:val="000000"/>
                <w:sz w:val="18"/>
                <w:szCs w:val="18"/>
                <w:lang w:val="es-SV" w:eastAsia="es-SV"/>
              </w:rPr>
              <w:t>re</w:t>
            </w:r>
            <w:r w:rsidRPr="00312362">
              <w:rPr>
                <w:rFonts w:ascii="Calibri" w:eastAsia="Times New Roman" w:hAnsi="Calibri" w:cs="Times New Roman"/>
                <w:color w:val="000000"/>
                <w:sz w:val="18"/>
                <w:szCs w:val="18"/>
                <w:lang w:val="es-SV" w:eastAsia="es-SV"/>
              </w:rPr>
              <w:t>nciados de atención a personas con VIH</w:t>
            </w:r>
            <w:r>
              <w:rPr>
                <w:rFonts w:ascii="Calibri" w:eastAsia="Times New Roman" w:hAnsi="Calibri" w:cs="Times New Roman"/>
                <w:color w:val="000000"/>
                <w:sz w:val="18"/>
                <w:szCs w:val="18"/>
                <w:lang w:val="es-SV" w:eastAsia="es-SV"/>
              </w:rPr>
              <w:t>.</w:t>
            </w:r>
          </w:p>
        </w:tc>
        <w:tc>
          <w:tcPr>
            <w:tcW w:w="234" w:type="pct"/>
            <w:shd w:val="clear" w:color="auto" w:fill="auto"/>
            <w:vAlign w:val="bottom"/>
          </w:tcPr>
          <w:p w14:paraId="3B11A6EC" w14:textId="77777777" w:rsidR="007A551C" w:rsidRDefault="007A551C" w:rsidP="007A551C">
            <w:pPr>
              <w:rPr>
                <w:rFonts w:ascii="Calibri" w:hAnsi="Calibri"/>
                <w:color w:val="000000"/>
              </w:rPr>
            </w:pPr>
          </w:p>
        </w:tc>
        <w:tc>
          <w:tcPr>
            <w:tcW w:w="214" w:type="pct"/>
            <w:shd w:val="clear" w:color="auto" w:fill="auto"/>
            <w:vAlign w:val="bottom"/>
          </w:tcPr>
          <w:p w14:paraId="2F3D746B" w14:textId="77777777" w:rsidR="007A551C" w:rsidRDefault="007A551C" w:rsidP="007A551C">
            <w:pPr>
              <w:rPr>
                <w:rFonts w:ascii="Calibri" w:hAnsi="Calibri"/>
                <w:color w:val="000000"/>
              </w:rPr>
            </w:pPr>
          </w:p>
        </w:tc>
        <w:tc>
          <w:tcPr>
            <w:tcW w:w="267" w:type="pct"/>
            <w:shd w:val="clear" w:color="auto" w:fill="auto"/>
          </w:tcPr>
          <w:p w14:paraId="63A7E7B0" w14:textId="77777777" w:rsidR="007A551C" w:rsidRPr="00047B1F" w:rsidRDefault="007A551C" w:rsidP="007A551C">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68" w:type="pct"/>
            <w:shd w:val="clear" w:color="auto" w:fill="auto"/>
          </w:tcPr>
          <w:p w14:paraId="3B703B55" w14:textId="77777777" w:rsidR="007A551C" w:rsidRPr="00047B1F" w:rsidRDefault="007A551C" w:rsidP="007A551C">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15" w:type="pct"/>
            <w:shd w:val="clear" w:color="auto" w:fill="auto"/>
            <w:vAlign w:val="bottom"/>
          </w:tcPr>
          <w:p w14:paraId="5BA0F109" w14:textId="77777777" w:rsidR="007A551C" w:rsidRPr="00047B1F" w:rsidRDefault="007A551C" w:rsidP="007A551C">
            <w:pPr>
              <w:spacing w:after="0" w:line="240" w:lineRule="auto"/>
              <w:rPr>
                <w:rFonts w:ascii="Calibri" w:eastAsia="Times New Roman" w:hAnsi="Calibri" w:cs="Times New Roman"/>
                <w:color w:val="000000"/>
                <w:sz w:val="18"/>
                <w:szCs w:val="18"/>
                <w:lang w:val="es-SV" w:eastAsia="es-SV"/>
              </w:rPr>
            </w:pPr>
          </w:p>
        </w:tc>
      </w:tr>
      <w:tr w:rsidR="007A551C" w:rsidRPr="00047B1F" w14:paraId="6BF5BCD0" w14:textId="77777777" w:rsidTr="007A551C">
        <w:trPr>
          <w:trHeight w:val="780"/>
        </w:trPr>
        <w:tc>
          <w:tcPr>
            <w:tcW w:w="3802" w:type="pct"/>
            <w:shd w:val="clear" w:color="auto" w:fill="auto"/>
          </w:tcPr>
          <w:p w14:paraId="20D8B886" w14:textId="77777777" w:rsidR="007A551C" w:rsidRPr="00312362" w:rsidRDefault="007A551C" w:rsidP="007A551C">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lastRenderedPageBreak/>
              <w:t xml:space="preserve">Conversatorio y </w:t>
            </w:r>
            <w:r w:rsidRPr="00312362">
              <w:rPr>
                <w:rFonts w:ascii="Calibri" w:eastAsia="Times New Roman" w:hAnsi="Calibri" w:cs="Times New Roman"/>
                <w:color w:val="000000"/>
                <w:sz w:val="18"/>
                <w:szCs w:val="18"/>
                <w:lang w:val="es-SV" w:eastAsia="es-SV"/>
              </w:rPr>
              <w:t xml:space="preserve">reuniones de trabajo con MINSAL para lograr cambios en al menos dos políticas que norman la prestación de servicios de VIH (por ejemplo: disminuir las visitas de pacientes estables a sus </w:t>
            </w:r>
            <w:r>
              <w:rPr>
                <w:rFonts w:ascii="Calibri" w:eastAsia="Times New Roman" w:hAnsi="Calibri" w:cs="Times New Roman"/>
                <w:color w:val="000000"/>
                <w:sz w:val="18"/>
                <w:szCs w:val="18"/>
                <w:lang w:val="es-SV" w:eastAsia="es-SV"/>
              </w:rPr>
              <w:t xml:space="preserve">consultas o controles médicos </w:t>
            </w:r>
            <w:r w:rsidRPr="00312362">
              <w:rPr>
                <w:rFonts w:ascii="Calibri" w:eastAsia="Times New Roman" w:hAnsi="Calibri" w:cs="Times New Roman"/>
                <w:color w:val="000000"/>
                <w:sz w:val="18"/>
                <w:szCs w:val="18"/>
                <w:lang w:val="es-SV" w:eastAsia="es-SV"/>
              </w:rPr>
              <w:t xml:space="preserve"> o recoger sus ARV con menos frecuencia o la auto-Prueba de VIH, o lograr que los ARV están en la lista de medicación para los tres niveles de atención).</w:t>
            </w:r>
          </w:p>
        </w:tc>
        <w:tc>
          <w:tcPr>
            <w:tcW w:w="234" w:type="pct"/>
            <w:shd w:val="clear" w:color="auto" w:fill="auto"/>
            <w:vAlign w:val="bottom"/>
          </w:tcPr>
          <w:p w14:paraId="352BA03B" w14:textId="77777777" w:rsidR="007A551C" w:rsidRDefault="007A551C" w:rsidP="007A551C">
            <w:pPr>
              <w:rPr>
                <w:rFonts w:ascii="Calibri" w:hAnsi="Calibri"/>
                <w:color w:val="000000"/>
              </w:rPr>
            </w:pPr>
            <w:r>
              <w:rPr>
                <w:rFonts w:ascii="Calibri" w:hAnsi="Calibri"/>
                <w:color w:val="000000"/>
              </w:rPr>
              <w:t>X</w:t>
            </w:r>
          </w:p>
        </w:tc>
        <w:tc>
          <w:tcPr>
            <w:tcW w:w="214" w:type="pct"/>
            <w:shd w:val="clear" w:color="auto" w:fill="auto"/>
            <w:vAlign w:val="bottom"/>
          </w:tcPr>
          <w:p w14:paraId="65AED012" w14:textId="77777777" w:rsidR="007A551C" w:rsidRDefault="007A551C" w:rsidP="007A551C">
            <w:pPr>
              <w:rPr>
                <w:rFonts w:ascii="Calibri" w:hAnsi="Calibri"/>
                <w:color w:val="000000"/>
              </w:rPr>
            </w:pPr>
          </w:p>
        </w:tc>
        <w:tc>
          <w:tcPr>
            <w:tcW w:w="267" w:type="pct"/>
            <w:shd w:val="clear" w:color="auto" w:fill="auto"/>
          </w:tcPr>
          <w:p w14:paraId="7E713E2B" w14:textId="77777777" w:rsidR="007A551C" w:rsidRPr="00047B1F" w:rsidRDefault="007A551C" w:rsidP="007A551C">
            <w:pPr>
              <w:spacing w:after="0" w:line="240" w:lineRule="auto"/>
              <w:rPr>
                <w:rFonts w:ascii="Calibri" w:eastAsia="Times New Roman" w:hAnsi="Calibri" w:cs="Times New Roman"/>
                <w:color w:val="000000"/>
                <w:sz w:val="18"/>
                <w:szCs w:val="18"/>
                <w:lang w:val="es-SV" w:eastAsia="es-SV"/>
              </w:rPr>
            </w:pPr>
          </w:p>
        </w:tc>
        <w:tc>
          <w:tcPr>
            <w:tcW w:w="268" w:type="pct"/>
            <w:shd w:val="clear" w:color="auto" w:fill="auto"/>
          </w:tcPr>
          <w:p w14:paraId="596AEC95" w14:textId="77777777" w:rsidR="007A551C" w:rsidRPr="00047B1F" w:rsidRDefault="007A551C" w:rsidP="007A551C">
            <w:pPr>
              <w:spacing w:after="0" w:line="240" w:lineRule="auto"/>
              <w:rPr>
                <w:rFonts w:ascii="Calibri" w:eastAsia="Times New Roman" w:hAnsi="Calibri" w:cs="Times New Roman"/>
                <w:color w:val="000000"/>
                <w:sz w:val="18"/>
                <w:szCs w:val="18"/>
                <w:lang w:val="es-SV" w:eastAsia="es-SV"/>
              </w:rPr>
            </w:pPr>
          </w:p>
        </w:tc>
        <w:tc>
          <w:tcPr>
            <w:tcW w:w="215" w:type="pct"/>
            <w:shd w:val="clear" w:color="auto" w:fill="auto"/>
            <w:vAlign w:val="bottom"/>
          </w:tcPr>
          <w:p w14:paraId="7602FECC" w14:textId="77777777" w:rsidR="007A551C" w:rsidRPr="00047B1F" w:rsidRDefault="007A551C" w:rsidP="007A551C">
            <w:pPr>
              <w:spacing w:after="0" w:line="240" w:lineRule="auto"/>
              <w:rPr>
                <w:rFonts w:ascii="Calibri" w:eastAsia="Times New Roman" w:hAnsi="Calibri" w:cs="Times New Roman"/>
                <w:color w:val="000000"/>
                <w:sz w:val="18"/>
                <w:szCs w:val="18"/>
                <w:lang w:val="es-SV" w:eastAsia="es-SV"/>
              </w:rPr>
            </w:pPr>
          </w:p>
        </w:tc>
      </w:tr>
      <w:tr w:rsidR="00113F2A" w:rsidRPr="00047B1F" w14:paraId="3E619880" w14:textId="77777777" w:rsidTr="00641607">
        <w:trPr>
          <w:trHeight w:val="420"/>
        </w:trPr>
        <w:tc>
          <w:tcPr>
            <w:tcW w:w="3802" w:type="pct"/>
            <w:shd w:val="clear" w:color="auto" w:fill="auto"/>
          </w:tcPr>
          <w:p w14:paraId="4D595632" w14:textId="77777777" w:rsidR="00113F2A" w:rsidRDefault="00113F2A" w:rsidP="00113F2A">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 xml:space="preserve">Sistematización de experiencias exitosas en la adopción de modelos diferenciados de atención </w:t>
            </w:r>
          </w:p>
        </w:tc>
        <w:tc>
          <w:tcPr>
            <w:tcW w:w="234" w:type="pct"/>
            <w:shd w:val="clear" w:color="auto" w:fill="auto"/>
            <w:vAlign w:val="bottom"/>
          </w:tcPr>
          <w:p w14:paraId="774CA5E3" w14:textId="77777777" w:rsidR="00113F2A" w:rsidRDefault="00113F2A" w:rsidP="00113F2A">
            <w:pPr>
              <w:rPr>
                <w:rFonts w:ascii="Calibri" w:hAnsi="Calibri"/>
                <w:color w:val="000000"/>
              </w:rPr>
            </w:pPr>
          </w:p>
        </w:tc>
        <w:tc>
          <w:tcPr>
            <w:tcW w:w="214" w:type="pct"/>
            <w:shd w:val="clear" w:color="auto" w:fill="auto"/>
            <w:vAlign w:val="bottom"/>
          </w:tcPr>
          <w:p w14:paraId="5284DA9E" w14:textId="77777777" w:rsidR="00113F2A" w:rsidRDefault="00113F2A" w:rsidP="00113F2A">
            <w:pPr>
              <w:rPr>
                <w:rFonts w:ascii="Calibri" w:hAnsi="Calibri"/>
                <w:color w:val="000000"/>
              </w:rPr>
            </w:pPr>
            <w:r>
              <w:rPr>
                <w:rFonts w:ascii="Calibri" w:hAnsi="Calibri"/>
                <w:color w:val="000000"/>
              </w:rPr>
              <w:t>X</w:t>
            </w:r>
          </w:p>
        </w:tc>
        <w:tc>
          <w:tcPr>
            <w:tcW w:w="267" w:type="pct"/>
            <w:shd w:val="clear" w:color="auto" w:fill="auto"/>
            <w:vAlign w:val="bottom"/>
          </w:tcPr>
          <w:p w14:paraId="4DC3C1A1" w14:textId="77777777" w:rsidR="00113F2A" w:rsidRDefault="00113F2A" w:rsidP="00113F2A">
            <w:pPr>
              <w:rPr>
                <w:rFonts w:ascii="Calibri" w:hAnsi="Calibri"/>
                <w:color w:val="000000"/>
              </w:rPr>
            </w:pPr>
            <w:r>
              <w:rPr>
                <w:rFonts w:ascii="Calibri" w:hAnsi="Calibri"/>
                <w:color w:val="000000"/>
              </w:rPr>
              <w:t>X</w:t>
            </w:r>
          </w:p>
        </w:tc>
        <w:tc>
          <w:tcPr>
            <w:tcW w:w="268" w:type="pct"/>
            <w:shd w:val="clear" w:color="auto" w:fill="auto"/>
            <w:vAlign w:val="bottom"/>
          </w:tcPr>
          <w:p w14:paraId="69E81C58" w14:textId="77777777" w:rsidR="00113F2A" w:rsidRDefault="00113F2A" w:rsidP="00113F2A">
            <w:pPr>
              <w:rPr>
                <w:rFonts w:ascii="Calibri" w:hAnsi="Calibri"/>
                <w:color w:val="000000"/>
              </w:rPr>
            </w:pPr>
            <w:r>
              <w:rPr>
                <w:rFonts w:ascii="Calibri" w:hAnsi="Calibri"/>
                <w:color w:val="000000"/>
              </w:rPr>
              <w:t>X</w:t>
            </w:r>
          </w:p>
        </w:tc>
        <w:tc>
          <w:tcPr>
            <w:tcW w:w="215" w:type="pct"/>
            <w:shd w:val="clear" w:color="auto" w:fill="auto"/>
            <w:vAlign w:val="bottom"/>
          </w:tcPr>
          <w:p w14:paraId="08945A87" w14:textId="77777777" w:rsidR="00113F2A" w:rsidRDefault="00113F2A" w:rsidP="00113F2A">
            <w:pPr>
              <w:rPr>
                <w:rFonts w:ascii="Calibri" w:hAnsi="Calibri"/>
                <w:color w:val="000000"/>
              </w:rPr>
            </w:pPr>
            <w:r>
              <w:rPr>
                <w:rFonts w:ascii="Calibri" w:hAnsi="Calibri"/>
                <w:color w:val="000000"/>
              </w:rPr>
              <w:t>X</w:t>
            </w:r>
          </w:p>
        </w:tc>
      </w:tr>
    </w:tbl>
    <w:p w14:paraId="41244DD4" w14:textId="77777777" w:rsidR="00312362" w:rsidRDefault="00312362"/>
    <w:tbl>
      <w:tblPr>
        <w:tblW w:w="5000" w:type="pct"/>
        <w:tblCellMar>
          <w:left w:w="70" w:type="dxa"/>
          <w:right w:w="70" w:type="dxa"/>
        </w:tblCellMar>
        <w:tblLook w:val="04A0" w:firstRow="1" w:lastRow="0" w:firstColumn="1" w:lastColumn="0" w:noHBand="0" w:noVBand="1"/>
      </w:tblPr>
      <w:tblGrid>
        <w:gridCol w:w="3062"/>
        <w:gridCol w:w="2596"/>
        <w:gridCol w:w="1840"/>
        <w:gridCol w:w="1840"/>
        <w:gridCol w:w="1824"/>
        <w:gridCol w:w="1832"/>
      </w:tblGrid>
      <w:tr w:rsidR="00032AB4" w:rsidRPr="0077324A" w14:paraId="2426CD23" w14:textId="77777777" w:rsidTr="001B56B3">
        <w:trPr>
          <w:trHeight w:val="703"/>
        </w:trPr>
        <w:tc>
          <w:tcPr>
            <w:tcW w:w="1178"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8CA8400" w14:textId="77777777" w:rsidR="00032AB4" w:rsidRPr="0077324A" w:rsidRDefault="00032AB4" w:rsidP="00032AB4">
            <w:pP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 xml:space="preserve">Líneas de acción de la estrategia </w:t>
            </w:r>
          </w:p>
        </w:tc>
        <w:tc>
          <w:tcPr>
            <w:tcW w:w="999"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C36C080" w14:textId="77777777" w:rsidR="00032AB4" w:rsidRPr="00032AB4" w:rsidRDefault="00032AB4" w:rsidP="00032AB4">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Situación actual</w:t>
            </w:r>
          </w:p>
          <w:p w14:paraId="5B83D9CC" w14:textId="77777777" w:rsidR="00032AB4" w:rsidRPr="00032AB4" w:rsidRDefault="00032AB4" w:rsidP="00312362">
            <w:pPr>
              <w:rPr>
                <w:rFonts w:ascii="Calibri" w:eastAsia="Times New Roman" w:hAnsi="Calibri" w:cs="Times New Roman"/>
                <w:color w:val="000000"/>
                <w:sz w:val="18"/>
                <w:szCs w:val="18"/>
                <w:lang w:val="es-SV" w:eastAsia="es-SV"/>
              </w:rPr>
            </w:pPr>
          </w:p>
        </w:tc>
        <w:tc>
          <w:tcPr>
            <w:tcW w:w="708"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474524" w14:textId="77777777" w:rsidR="00032AB4" w:rsidRPr="00032AB4" w:rsidRDefault="00032AB4" w:rsidP="00032AB4">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 xml:space="preserve">Oportunidades </w:t>
            </w:r>
          </w:p>
          <w:p w14:paraId="053474B6" w14:textId="77777777" w:rsidR="00032AB4" w:rsidRPr="00032AB4" w:rsidRDefault="00032AB4" w:rsidP="00032AB4">
            <w:pPr>
              <w:spacing w:after="0" w:line="240" w:lineRule="auto"/>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 </w:t>
            </w:r>
          </w:p>
        </w:tc>
        <w:tc>
          <w:tcPr>
            <w:tcW w:w="708"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86E1CB2" w14:textId="77777777" w:rsidR="00032AB4" w:rsidRPr="00032AB4" w:rsidRDefault="00032AB4" w:rsidP="00032AB4">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Desafíos</w:t>
            </w:r>
          </w:p>
        </w:tc>
        <w:tc>
          <w:tcPr>
            <w:tcW w:w="702"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4FA371" w14:textId="77777777" w:rsidR="00032AB4" w:rsidRPr="00032AB4" w:rsidRDefault="00032AB4" w:rsidP="00032AB4">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 xml:space="preserve"> Meta (en base a brechas y prioridades) </w:t>
            </w:r>
          </w:p>
        </w:tc>
        <w:tc>
          <w:tcPr>
            <w:tcW w:w="705"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613E0A87" w14:textId="77777777" w:rsidR="00032AB4" w:rsidRPr="00032AB4" w:rsidRDefault="00032AB4" w:rsidP="00032AB4">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Responsables de actividades</w:t>
            </w:r>
          </w:p>
        </w:tc>
      </w:tr>
      <w:tr w:rsidR="00047B1F" w:rsidRPr="00047B1F" w14:paraId="0A1054BB" w14:textId="77777777" w:rsidTr="00D3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5"/>
        </w:trPr>
        <w:tc>
          <w:tcPr>
            <w:tcW w:w="1178" w:type="pct"/>
            <w:shd w:val="clear" w:color="auto" w:fill="auto"/>
            <w:hideMark/>
          </w:tcPr>
          <w:p w14:paraId="7F98875C" w14:textId="77777777" w:rsidR="00047B1F" w:rsidRPr="00047B1F" w:rsidRDefault="00047B1F" w:rsidP="00047B1F">
            <w:pPr>
              <w:spacing w:after="0" w:line="240" w:lineRule="auto"/>
              <w:rPr>
                <w:rFonts w:ascii="Calibri" w:eastAsia="Times New Roman" w:hAnsi="Calibri" w:cs="Times New Roman"/>
                <w:b/>
                <w:bCs/>
                <w:color w:val="000000"/>
                <w:sz w:val="18"/>
                <w:szCs w:val="18"/>
                <w:lang w:val="es-SV" w:eastAsia="es-SV"/>
              </w:rPr>
            </w:pPr>
            <w:r w:rsidRPr="00047B1F">
              <w:rPr>
                <w:rFonts w:ascii="Calibri" w:eastAsia="Times New Roman" w:hAnsi="Calibri" w:cs="Times New Roman"/>
                <w:b/>
                <w:bCs/>
                <w:color w:val="000000"/>
                <w:sz w:val="18"/>
                <w:szCs w:val="18"/>
                <w:lang w:val="es-SV" w:eastAsia="es-SV"/>
              </w:rPr>
              <w:t xml:space="preserve">5.Reducción de costos y optimización de recursos  en la compra de medicamentos, insumos y reactivos, mediante el uso de mecanismos fortalecidos que ofrecen economías de escala, incluyendo negociación conjunta de precios COMISCA; compras a través del fondo estratégico OPS u  otros </w:t>
            </w:r>
          </w:p>
        </w:tc>
        <w:tc>
          <w:tcPr>
            <w:tcW w:w="999" w:type="pct"/>
            <w:shd w:val="clear" w:color="auto" w:fill="auto"/>
            <w:hideMark/>
          </w:tcPr>
          <w:p w14:paraId="198DD7D9"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Actualmente el MINSAL está comprando medicamentos antirretrovirales bajo el mecanismo del Fondo Estratégico de OPS y los insumos y reactivos de laboratorio se compran a través del proceso de compra del MINSAL, bajo las directrices de la LACAP.</w:t>
            </w:r>
          </w:p>
        </w:tc>
        <w:tc>
          <w:tcPr>
            <w:tcW w:w="708" w:type="pct"/>
            <w:shd w:val="clear" w:color="auto" w:fill="auto"/>
            <w:hideMark/>
          </w:tcPr>
          <w:p w14:paraId="719E6A62"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Existen otros mecanismos de compra como la negociación conjunta de COMISCA, la que está siendo utilizada para la compra de otros medicamentos que podría disminuir costos.</w:t>
            </w:r>
          </w:p>
        </w:tc>
        <w:tc>
          <w:tcPr>
            <w:tcW w:w="708" w:type="pct"/>
            <w:shd w:val="clear" w:color="auto" w:fill="auto"/>
            <w:hideMark/>
          </w:tcPr>
          <w:p w14:paraId="65642789"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Tener información sobre la</w:t>
            </w:r>
            <w:r w:rsidR="009947D6">
              <w:rPr>
                <w:rFonts w:ascii="Calibri" w:eastAsia="Times New Roman" w:hAnsi="Calibri" w:cs="Times New Roman"/>
                <w:color w:val="000000"/>
                <w:sz w:val="18"/>
                <w:szCs w:val="18"/>
                <w:lang w:val="es-SV" w:eastAsia="es-SV"/>
              </w:rPr>
              <w:t xml:space="preserve">s ventajas y desventajas de los </w:t>
            </w:r>
            <w:r w:rsidRPr="00047B1F">
              <w:rPr>
                <w:rFonts w:ascii="Calibri" w:eastAsia="Times New Roman" w:hAnsi="Calibri" w:cs="Times New Roman"/>
                <w:color w:val="000000"/>
                <w:sz w:val="18"/>
                <w:szCs w:val="18"/>
                <w:lang w:val="es-SV" w:eastAsia="es-SV"/>
              </w:rPr>
              <w:t>diferentes mecanismos de compra de medicamentos, calculando los precios y los impuestos a pagar.</w:t>
            </w:r>
          </w:p>
        </w:tc>
        <w:tc>
          <w:tcPr>
            <w:tcW w:w="702" w:type="pct"/>
            <w:shd w:val="clear" w:color="auto" w:fill="auto"/>
            <w:hideMark/>
          </w:tcPr>
          <w:p w14:paraId="4E4DAF60" w14:textId="77777777" w:rsidR="00047B1F" w:rsidRPr="00047B1F" w:rsidRDefault="009947D6" w:rsidP="00047B1F">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 xml:space="preserve">Reducción de </w:t>
            </w:r>
            <w:r w:rsidR="00047B1F" w:rsidRPr="00047B1F">
              <w:rPr>
                <w:rFonts w:ascii="Calibri" w:eastAsia="Times New Roman" w:hAnsi="Calibri" w:cs="Times New Roman"/>
                <w:color w:val="000000"/>
                <w:sz w:val="18"/>
                <w:szCs w:val="18"/>
                <w:lang w:val="es-SV" w:eastAsia="es-SV"/>
              </w:rPr>
              <w:t xml:space="preserve"> costos de medicamentos e insumos a través de la elección del mecanismo de compra que proporcione los mejores precios.</w:t>
            </w:r>
          </w:p>
        </w:tc>
        <w:tc>
          <w:tcPr>
            <w:tcW w:w="705" w:type="pct"/>
            <w:shd w:val="clear" w:color="auto" w:fill="auto"/>
            <w:vAlign w:val="bottom"/>
            <w:hideMark/>
          </w:tcPr>
          <w:p w14:paraId="154DD257" w14:textId="77777777" w:rsid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Programa Nacional de ITS y VIH /Sida, Sociedad Civil agencias de cooperación</w:t>
            </w:r>
          </w:p>
          <w:p w14:paraId="658B0CA0" w14:textId="77777777" w:rsidR="009947D6" w:rsidRDefault="009947D6" w:rsidP="00047B1F">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ISSS, SECOMISCA, OPS/OMS</w:t>
            </w:r>
          </w:p>
          <w:p w14:paraId="227038BC" w14:textId="77777777" w:rsidR="009947D6" w:rsidRDefault="009947D6" w:rsidP="00047B1F">
            <w:pPr>
              <w:spacing w:after="0" w:line="240" w:lineRule="auto"/>
              <w:rPr>
                <w:rFonts w:ascii="Calibri" w:eastAsia="Times New Roman" w:hAnsi="Calibri" w:cs="Times New Roman"/>
                <w:color w:val="000000"/>
                <w:sz w:val="18"/>
                <w:szCs w:val="18"/>
                <w:lang w:val="es-SV" w:eastAsia="es-SV"/>
              </w:rPr>
            </w:pPr>
          </w:p>
          <w:p w14:paraId="463D3945" w14:textId="77777777" w:rsidR="009947D6" w:rsidRDefault="009947D6" w:rsidP="00047B1F">
            <w:pPr>
              <w:spacing w:after="0" w:line="240" w:lineRule="auto"/>
              <w:rPr>
                <w:rFonts w:ascii="Calibri" w:eastAsia="Times New Roman" w:hAnsi="Calibri" w:cs="Times New Roman"/>
                <w:color w:val="000000"/>
                <w:sz w:val="18"/>
                <w:szCs w:val="18"/>
                <w:lang w:val="es-SV" w:eastAsia="es-SV"/>
              </w:rPr>
            </w:pPr>
          </w:p>
          <w:p w14:paraId="35CAF604" w14:textId="77777777" w:rsidR="009947D6" w:rsidRDefault="009947D6" w:rsidP="00047B1F">
            <w:pPr>
              <w:spacing w:after="0" w:line="240" w:lineRule="auto"/>
              <w:rPr>
                <w:rFonts w:ascii="Calibri" w:eastAsia="Times New Roman" w:hAnsi="Calibri" w:cs="Times New Roman"/>
                <w:color w:val="000000"/>
                <w:sz w:val="18"/>
                <w:szCs w:val="18"/>
                <w:lang w:val="es-SV" w:eastAsia="es-SV"/>
              </w:rPr>
            </w:pPr>
          </w:p>
          <w:p w14:paraId="464CCB26" w14:textId="77777777" w:rsidR="009947D6" w:rsidRDefault="009947D6" w:rsidP="00047B1F">
            <w:pPr>
              <w:spacing w:after="0" w:line="240" w:lineRule="auto"/>
              <w:rPr>
                <w:rFonts w:ascii="Calibri" w:eastAsia="Times New Roman" w:hAnsi="Calibri" w:cs="Times New Roman"/>
                <w:color w:val="000000"/>
                <w:sz w:val="18"/>
                <w:szCs w:val="18"/>
                <w:lang w:val="es-SV" w:eastAsia="es-SV"/>
              </w:rPr>
            </w:pPr>
          </w:p>
          <w:p w14:paraId="0B1A4687" w14:textId="77777777" w:rsidR="009947D6" w:rsidRPr="00047B1F" w:rsidRDefault="009947D6" w:rsidP="00047B1F">
            <w:pPr>
              <w:spacing w:after="0" w:line="240" w:lineRule="auto"/>
              <w:rPr>
                <w:rFonts w:ascii="Calibri" w:eastAsia="Times New Roman" w:hAnsi="Calibri" w:cs="Times New Roman"/>
                <w:color w:val="000000"/>
                <w:sz w:val="18"/>
                <w:szCs w:val="18"/>
                <w:lang w:val="es-SV" w:eastAsia="es-SV"/>
              </w:rPr>
            </w:pPr>
          </w:p>
        </w:tc>
      </w:tr>
    </w:tbl>
    <w:p w14:paraId="2F8F3971" w14:textId="77777777" w:rsidR="001B56B3" w:rsidRDefault="001B56B3"/>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17"/>
        <w:gridCol w:w="748"/>
        <w:gridCol w:w="550"/>
        <w:gridCol w:w="615"/>
        <w:gridCol w:w="566"/>
        <w:gridCol w:w="566"/>
        <w:gridCol w:w="16"/>
      </w:tblGrid>
      <w:tr w:rsidR="00EC5B63" w:rsidRPr="00047B1F" w14:paraId="77655D1B" w14:textId="77777777" w:rsidTr="001B56B3">
        <w:trPr>
          <w:trHeight w:val="328"/>
        </w:trPr>
        <w:tc>
          <w:tcPr>
            <w:tcW w:w="5000" w:type="pct"/>
            <w:gridSpan w:val="7"/>
            <w:shd w:val="clear" w:color="auto" w:fill="auto"/>
          </w:tcPr>
          <w:p w14:paraId="249B5DAC" w14:textId="77777777" w:rsidR="00EC5B63" w:rsidRPr="00EC5B63" w:rsidRDefault="00AE5337"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 xml:space="preserve">Acciones / </w:t>
            </w:r>
            <w:r w:rsidRPr="00EE1739">
              <w:rPr>
                <w:rFonts w:ascii="Calibri" w:eastAsia="Times New Roman" w:hAnsi="Calibri" w:cs="Times New Roman"/>
                <w:b/>
                <w:color w:val="000000"/>
                <w:sz w:val="18"/>
                <w:szCs w:val="18"/>
                <w:lang w:val="es-SV" w:eastAsia="es-SV"/>
              </w:rPr>
              <w:t>Periodo de ejecución</w:t>
            </w:r>
          </w:p>
        </w:tc>
      </w:tr>
      <w:tr w:rsidR="001B56B3" w:rsidRPr="00047B1F" w14:paraId="578CA11A" w14:textId="77777777" w:rsidTr="001B56B3">
        <w:trPr>
          <w:gridAfter w:val="1"/>
          <w:wAfter w:w="6" w:type="pct"/>
          <w:trHeight w:val="404"/>
        </w:trPr>
        <w:tc>
          <w:tcPr>
            <w:tcW w:w="3821" w:type="pct"/>
            <w:shd w:val="clear" w:color="auto" w:fill="auto"/>
          </w:tcPr>
          <w:p w14:paraId="06B1DBE8" w14:textId="77777777" w:rsidR="00EC5B63" w:rsidRPr="00EC5B63" w:rsidRDefault="00EC5B63" w:rsidP="00EC5B63">
            <w:pPr>
              <w:spacing w:after="0" w:line="240" w:lineRule="auto"/>
              <w:jc w:val="center"/>
              <w:rPr>
                <w:rFonts w:ascii="Calibri" w:eastAsia="Times New Roman" w:hAnsi="Calibri" w:cs="Times New Roman"/>
                <w:b/>
                <w:color w:val="000000"/>
                <w:sz w:val="18"/>
                <w:szCs w:val="18"/>
                <w:lang w:val="es-SV" w:eastAsia="es-SV"/>
              </w:rPr>
            </w:pPr>
          </w:p>
        </w:tc>
        <w:tc>
          <w:tcPr>
            <w:tcW w:w="288" w:type="pct"/>
            <w:shd w:val="clear" w:color="auto" w:fill="auto"/>
          </w:tcPr>
          <w:p w14:paraId="704E19F0" w14:textId="77777777" w:rsidR="00EC5B63" w:rsidRPr="00EC5B63" w:rsidRDefault="00EC5B63"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2019</w:t>
            </w:r>
          </w:p>
        </w:tc>
        <w:tc>
          <w:tcPr>
            <w:tcW w:w="212" w:type="pct"/>
            <w:shd w:val="clear" w:color="auto" w:fill="auto"/>
          </w:tcPr>
          <w:p w14:paraId="7F45F10A" w14:textId="77777777" w:rsidR="00EC5B63" w:rsidRPr="00EC5B63" w:rsidRDefault="00EC5B63"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2020</w:t>
            </w:r>
          </w:p>
        </w:tc>
        <w:tc>
          <w:tcPr>
            <w:tcW w:w="237" w:type="pct"/>
            <w:shd w:val="clear" w:color="auto" w:fill="auto"/>
          </w:tcPr>
          <w:p w14:paraId="393CF95B" w14:textId="77777777" w:rsidR="00EC5B63" w:rsidRPr="00EC5B63" w:rsidRDefault="00EC5B63"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2021</w:t>
            </w:r>
          </w:p>
        </w:tc>
        <w:tc>
          <w:tcPr>
            <w:tcW w:w="218" w:type="pct"/>
            <w:shd w:val="clear" w:color="auto" w:fill="auto"/>
          </w:tcPr>
          <w:p w14:paraId="7336E11C" w14:textId="77777777" w:rsidR="00EC5B63" w:rsidRPr="00EC5B63" w:rsidRDefault="00EC5B63"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2022</w:t>
            </w:r>
          </w:p>
        </w:tc>
        <w:tc>
          <w:tcPr>
            <w:tcW w:w="218" w:type="pct"/>
            <w:shd w:val="clear" w:color="auto" w:fill="auto"/>
          </w:tcPr>
          <w:p w14:paraId="1B66F333" w14:textId="77777777" w:rsidR="00EC5B63" w:rsidRPr="00EC5B63" w:rsidRDefault="00EC5B63"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2023</w:t>
            </w:r>
          </w:p>
        </w:tc>
      </w:tr>
      <w:tr w:rsidR="001B56B3" w:rsidRPr="00047B1F" w14:paraId="4CC17169" w14:textId="77777777" w:rsidTr="001B56B3">
        <w:trPr>
          <w:gridAfter w:val="1"/>
          <w:wAfter w:w="6" w:type="pct"/>
          <w:trHeight w:val="625"/>
        </w:trPr>
        <w:tc>
          <w:tcPr>
            <w:tcW w:w="3821" w:type="pct"/>
            <w:shd w:val="clear" w:color="auto" w:fill="auto"/>
            <w:hideMark/>
          </w:tcPr>
          <w:p w14:paraId="490D376A" w14:textId="77777777" w:rsidR="00D839D6" w:rsidRPr="00047B1F" w:rsidRDefault="00312362" w:rsidP="00D839D6">
            <w:pPr>
              <w:spacing w:after="0" w:line="240" w:lineRule="auto"/>
              <w:rPr>
                <w:rFonts w:ascii="Calibri" w:eastAsia="Times New Roman" w:hAnsi="Calibri" w:cs="Times New Roman"/>
                <w:color w:val="000000"/>
                <w:sz w:val="18"/>
                <w:szCs w:val="18"/>
                <w:lang w:val="es-SV" w:eastAsia="es-SV"/>
              </w:rPr>
            </w:pPr>
            <w:r w:rsidRPr="00312362">
              <w:rPr>
                <w:rFonts w:ascii="Calibri" w:eastAsia="Times New Roman" w:hAnsi="Calibri" w:cs="Times New Roman"/>
                <w:color w:val="000000"/>
                <w:sz w:val="18"/>
                <w:szCs w:val="18"/>
                <w:lang w:val="es-SV" w:eastAsia="es-SV"/>
              </w:rPr>
              <w:t xml:space="preserve">Elaboración de un análisis de información comparativa de costos de medicamentos y las ventajas y desventajas de los </w:t>
            </w:r>
            <w:r w:rsidR="008E1E3F">
              <w:rPr>
                <w:rFonts w:ascii="Calibri" w:eastAsia="Times New Roman" w:hAnsi="Calibri" w:cs="Times New Roman"/>
                <w:color w:val="000000"/>
                <w:sz w:val="18"/>
                <w:szCs w:val="18"/>
                <w:lang w:val="es-SV" w:eastAsia="es-SV"/>
              </w:rPr>
              <w:t xml:space="preserve">diferentes mecanismos de compra, que </w:t>
            </w:r>
            <w:r w:rsidR="006B6BEE">
              <w:rPr>
                <w:rFonts w:ascii="Calibri" w:eastAsia="Times New Roman" w:hAnsi="Calibri" w:cs="Times New Roman"/>
                <w:color w:val="000000"/>
                <w:sz w:val="18"/>
                <w:szCs w:val="18"/>
                <w:lang w:val="es-SV" w:eastAsia="es-SV"/>
              </w:rPr>
              <w:t>p</w:t>
            </w:r>
            <w:r w:rsidR="008E1E3F" w:rsidRPr="008E1E3F">
              <w:rPr>
                <w:rFonts w:ascii="Calibri" w:eastAsia="Times New Roman" w:hAnsi="Calibri" w:cs="Times New Roman"/>
                <w:color w:val="000000"/>
                <w:sz w:val="18"/>
                <w:szCs w:val="18"/>
                <w:lang w:val="es-SV" w:eastAsia="es-SV"/>
              </w:rPr>
              <w:t>roporciona un panorama integral de los diferentes mecanismos de adquisición y refuerza el conocimiento para aplicarlos adecuadamente</w:t>
            </w:r>
            <w:r w:rsidR="006B6BEE">
              <w:rPr>
                <w:rFonts w:ascii="Calibri" w:eastAsia="Times New Roman" w:hAnsi="Calibri" w:cs="Times New Roman"/>
                <w:color w:val="000000"/>
                <w:sz w:val="18"/>
                <w:szCs w:val="18"/>
                <w:lang w:val="es-SV" w:eastAsia="es-SV"/>
              </w:rPr>
              <w:t xml:space="preserve">, </w:t>
            </w:r>
            <w:r w:rsidR="006B6BEE" w:rsidRPr="00641607">
              <w:rPr>
                <w:rFonts w:ascii="Calibri" w:eastAsia="Times New Roman" w:hAnsi="Calibri" w:cs="Times New Roman"/>
                <w:color w:val="000000"/>
                <w:sz w:val="18"/>
                <w:szCs w:val="18"/>
                <w:lang w:val="es-SV" w:eastAsia="es-SV"/>
              </w:rPr>
              <w:t>hacerlos más eficientes, promoviendo también la estandarización de los mismos.</w:t>
            </w:r>
            <w:r w:rsidR="006B6BEE" w:rsidRPr="00641607">
              <w:rPr>
                <w:rFonts w:ascii="Calibri" w:eastAsia="Times New Roman" w:hAnsi="Calibri" w:cs="Times New Roman"/>
                <w:color w:val="000000"/>
                <w:sz w:val="18"/>
                <w:szCs w:val="18"/>
                <w:lang w:val="es-SV" w:eastAsia="es-SV"/>
              </w:rPr>
              <w:tab/>
            </w:r>
          </w:p>
        </w:tc>
        <w:tc>
          <w:tcPr>
            <w:tcW w:w="288" w:type="pct"/>
            <w:shd w:val="clear" w:color="auto" w:fill="auto"/>
            <w:vAlign w:val="bottom"/>
            <w:hideMark/>
          </w:tcPr>
          <w:p w14:paraId="1B13B69A" w14:textId="77777777" w:rsidR="00D839D6" w:rsidRDefault="00641607" w:rsidP="00D839D6">
            <w:pPr>
              <w:jc w:val="center"/>
              <w:rPr>
                <w:rFonts w:ascii="Calibri" w:hAnsi="Calibri"/>
                <w:color w:val="000000"/>
              </w:rPr>
            </w:pPr>
            <w:r>
              <w:rPr>
                <w:rFonts w:ascii="Calibri" w:hAnsi="Calibri"/>
                <w:color w:val="000000"/>
              </w:rPr>
              <w:t>X</w:t>
            </w:r>
          </w:p>
        </w:tc>
        <w:tc>
          <w:tcPr>
            <w:tcW w:w="212" w:type="pct"/>
            <w:shd w:val="clear" w:color="auto" w:fill="auto"/>
            <w:vAlign w:val="bottom"/>
            <w:hideMark/>
          </w:tcPr>
          <w:p w14:paraId="5E50E44C" w14:textId="77777777" w:rsidR="00D839D6" w:rsidRDefault="00D839D6" w:rsidP="00D839D6">
            <w:pPr>
              <w:jc w:val="center"/>
              <w:rPr>
                <w:rFonts w:ascii="Calibri" w:hAnsi="Calibri"/>
                <w:color w:val="000000"/>
              </w:rPr>
            </w:pPr>
          </w:p>
        </w:tc>
        <w:tc>
          <w:tcPr>
            <w:tcW w:w="237" w:type="pct"/>
            <w:shd w:val="clear" w:color="auto" w:fill="auto"/>
            <w:vAlign w:val="bottom"/>
            <w:hideMark/>
          </w:tcPr>
          <w:p w14:paraId="605313D8" w14:textId="77777777" w:rsidR="00D839D6" w:rsidRDefault="00D839D6" w:rsidP="00D839D6">
            <w:pPr>
              <w:jc w:val="center"/>
              <w:rPr>
                <w:rFonts w:ascii="Calibri" w:hAnsi="Calibri"/>
                <w:color w:val="000000"/>
              </w:rPr>
            </w:pPr>
          </w:p>
        </w:tc>
        <w:tc>
          <w:tcPr>
            <w:tcW w:w="218" w:type="pct"/>
            <w:shd w:val="clear" w:color="auto" w:fill="auto"/>
            <w:vAlign w:val="bottom"/>
            <w:hideMark/>
          </w:tcPr>
          <w:p w14:paraId="6E2D364F" w14:textId="77777777" w:rsidR="00D839D6" w:rsidRDefault="00D839D6" w:rsidP="00D839D6">
            <w:pPr>
              <w:jc w:val="center"/>
              <w:rPr>
                <w:rFonts w:ascii="Calibri" w:hAnsi="Calibri"/>
                <w:color w:val="000000"/>
              </w:rPr>
            </w:pPr>
          </w:p>
        </w:tc>
        <w:tc>
          <w:tcPr>
            <w:tcW w:w="218" w:type="pct"/>
            <w:shd w:val="clear" w:color="auto" w:fill="auto"/>
            <w:vAlign w:val="bottom"/>
            <w:hideMark/>
          </w:tcPr>
          <w:p w14:paraId="578963AB" w14:textId="77777777" w:rsidR="00D839D6" w:rsidRDefault="00D839D6" w:rsidP="00D839D6">
            <w:pPr>
              <w:jc w:val="center"/>
              <w:rPr>
                <w:rFonts w:ascii="Calibri" w:hAnsi="Calibri"/>
                <w:color w:val="000000"/>
              </w:rPr>
            </w:pPr>
          </w:p>
        </w:tc>
      </w:tr>
      <w:tr w:rsidR="001B56B3" w:rsidRPr="00047B1F" w14:paraId="7B086932" w14:textId="77777777" w:rsidTr="001B56B3">
        <w:trPr>
          <w:gridAfter w:val="1"/>
          <w:wAfter w:w="6" w:type="pct"/>
          <w:trHeight w:val="562"/>
        </w:trPr>
        <w:tc>
          <w:tcPr>
            <w:tcW w:w="3821" w:type="pct"/>
            <w:shd w:val="clear" w:color="auto" w:fill="auto"/>
            <w:hideMark/>
          </w:tcPr>
          <w:p w14:paraId="34289E44" w14:textId="77777777" w:rsidR="00D839D6" w:rsidRPr="00047B1F" w:rsidRDefault="0092778F" w:rsidP="0092778F">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 xml:space="preserve">Talleres de análisis </w:t>
            </w:r>
            <w:r w:rsidRPr="00312362">
              <w:rPr>
                <w:rFonts w:ascii="Calibri" w:eastAsia="Times New Roman" w:hAnsi="Calibri" w:cs="Times New Roman"/>
                <w:color w:val="000000"/>
                <w:sz w:val="18"/>
                <w:szCs w:val="18"/>
                <w:lang w:val="es-SV" w:eastAsia="es-SV"/>
              </w:rPr>
              <w:t>de los diferentes mecanismos de compra para lograr costos unitarios más bajos que reduzcan la fragmentación de las adquisiciones conjuntas, la combinación de recursos, etc.</w:t>
            </w:r>
            <w:r>
              <w:rPr>
                <w:rFonts w:ascii="Calibri" w:eastAsia="Times New Roman" w:hAnsi="Calibri" w:cs="Times New Roman"/>
                <w:color w:val="000000"/>
                <w:sz w:val="18"/>
                <w:szCs w:val="18"/>
                <w:lang w:val="es-SV" w:eastAsia="es-SV"/>
              </w:rPr>
              <w:t xml:space="preserve"> y presentación a </w:t>
            </w:r>
            <w:r w:rsidR="00312362" w:rsidRPr="00312362">
              <w:rPr>
                <w:rFonts w:ascii="Calibri" w:eastAsia="Times New Roman" w:hAnsi="Calibri" w:cs="Times New Roman"/>
                <w:color w:val="000000"/>
                <w:sz w:val="18"/>
                <w:szCs w:val="18"/>
                <w:lang w:val="es-SV" w:eastAsia="es-SV"/>
              </w:rPr>
              <w:t xml:space="preserve"> los diferentes </w:t>
            </w:r>
            <w:r>
              <w:rPr>
                <w:rFonts w:ascii="Calibri" w:eastAsia="Times New Roman" w:hAnsi="Calibri" w:cs="Times New Roman"/>
                <w:color w:val="000000"/>
                <w:sz w:val="18"/>
                <w:szCs w:val="18"/>
                <w:lang w:val="es-SV" w:eastAsia="es-SV"/>
              </w:rPr>
              <w:t xml:space="preserve">tomadores de decisiones para </w:t>
            </w:r>
            <w:r w:rsidR="00312362" w:rsidRPr="00312362">
              <w:rPr>
                <w:rFonts w:ascii="Calibri" w:eastAsia="Times New Roman" w:hAnsi="Calibri" w:cs="Times New Roman"/>
                <w:color w:val="000000"/>
                <w:sz w:val="18"/>
                <w:szCs w:val="18"/>
                <w:lang w:val="es-SV" w:eastAsia="es-SV"/>
              </w:rPr>
              <w:t xml:space="preserve"> la selección del que presente mejores oportunidades de bajar costos y tiempos de entrega.</w:t>
            </w:r>
          </w:p>
        </w:tc>
        <w:tc>
          <w:tcPr>
            <w:tcW w:w="288" w:type="pct"/>
            <w:shd w:val="clear" w:color="auto" w:fill="auto"/>
            <w:vAlign w:val="bottom"/>
            <w:hideMark/>
          </w:tcPr>
          <w:p w14:paraId="154C575F" w14:textId="77777777" w:rsidR="00D839D6" w:rsidRDefault="00641607" w:rsidP="00D839D6">
            <w:pPr>
              <w:jc w:val="center"/>
              <w:rPr>
                <w:rFonts w:ascii="Calibri" w:hAnsi="Calibri"/>
                <w:color w:val="000000"/>
              </w:rPr>
            </w:pPr>
            <w:r>
              <w:rPr>
                <w:rFonts w:ascii="Calibri" w:hAnsi="Calibri"/>
                <w:color w:val="000000"/>
              </w:rPr>
              <w:t>X</w:t>
            </w:r>
          </w:p>
        </w:tc>
        <w:tc>
          <w:tcPr>
            <w:tcW w:w="212" w:type="pct"/>
            <w:shd w:val="clear" w:color="auto" w:fill="auto"/>
            <w:vAlign w:val="bottom"/>
            <w:hideMark/>
          </w:tcPr>
          <w:p w14:paraId="2CC0819F" w14:textId="77777777" w:rsidR="00D839D6" w:rsidRDefault="00641607" w:rsidP="00D839D6">
            <w:pPr>
              <w:jc w:val="center"/>
              <w:rPr>
                <w:rFonts w:ascii="Calibri" w:hAnsi="Calibri"/>
                <w:color w:val="000000"/>
              </w:rPr>
            </w:pPr>
            <w:r>
              <w:rPr>
                <w:rFonts w:ascii="Calibri" w:hAnsi="Calibri"/>
                <w:color w:val="000000"/>
              </w:rPr>
              <w:t>X</w:t>
            </w:r>
          </w:p>
        </w:tc>
        <w:tc>
          <w:tcPr>
            <w:tcW w:w="237" w:type="pct"/>
            <w:shd w:val="clear" w:color="auto" w:fill="auto"/>
            <w:vAlign w:val="bottom"/>
            <w:hideMark/>
          </w:tcPr>
          <w:p w14:paraId="70398DBF" w14:textId="77777777" w:rsidR="00D839D6" w:rsidRDefault="00D839D6" w:rsidP="00D839D6">
            <w:pPr>
              <w:jc w:val="center"/>
              <w:rPr>
                <w:rFonts w:ascii="Calibri" w:hAnsi="Calibri"/>
                <w:color w:val="000000"/>
              </w:rPr>
            </w:pPr>
          </w:p>
        </w:tc>
        <w:tc>
          <w:tcPr>
            <w:tcW w:w="218" w:type="pct"/>
            <w:shd w:val="clear" w:color="auto" w:fill="auto"/>
            <w:vAlign w:val="bottom"/>
            <w:hideMark/>
          </w:tcPr>
          <w:p w14:paraId="6AFFC22F" w14:textId="77777777" w:rsidR="00D839D6" w:rsidRDefault="00D839D6" w:rsidP="00D839D6">
            <w:pPr>
              <w:jc w:val="center"/>
              <w:rPr>
                <w:rFonts w:ascii="Calibri" w:hAnsi="Calibri"/>
                <w:color w:val="000000"/>
              </w:rPr>
            </w:pPr>
          </w:p>
        </w:tc>
        <w:tc>
          <w:tcPr>
            <w:tcW w:w="218" w:type="pct"/>
            <w:shd w:val="clear" w:color="auto" w:fill="auto"/>
            <w:vAlign w:val="bottom"/>
            <w:hideMark/>
          </w:tcPr>
          <w:p w14:paraId="70C97131" w14:textId="77777777" w:rsidR="00D839D6" w:rsidRDefault="00D839D6" w:rsidP="00D839D6">
            <w:pPr>
              <w:jc w:val="center"/>
              <w:rPr>
                <w:rFonts w:ascii="Calibri" w:hAnsi="Calibri"/>
                <w:color w:val="000000"/>
              </w:rPr>
            </w:pPr>
          </w:p>
        </w:tc>
      </w:tr>
      <w:tr w:rsidR="00641607" w:rsidRPr="00047B1F" w14:paraId="61349C3E" w14:textId="77777777" w:rsidTr="00641607">
        <w:trPr>
          <w:gridAfter w:val="1"/>
          <w:wAfter w:w="6" w:type="pct"/>
          <w:trHeight w:val="313"/>
        </w:trPr>
        <w:tc>
          <w:tcPr>
            <w:tcW w:w="3821" w:type="pct"/>
            <w:shd w:val="clear" w:color="auto" w:fill="auto"/>
          </w:tcPr>
          <w:p w14:paraId="0CB8A1DF" w14:textId="77777777" w:rsidR="00641607" w:rsidRPr="008E1E3F" w:rsidRDefault="00641607" w:rsidP="00641607">
            <w:pPr>
              <w:spacing w:after="0" w:line="240" w:lineRule="auto"/>
              <w:rPr>
                <w:rFonts w:ascii="Calibri" w:eastAsia="Times New Roman" w:hAnsi="Calibri" w:cs="Times New Roman"/>
                <w:color w:val="000000"/>
                <w:sz w:val="18"/>
                <w:szCs w:val="18"/>
                <w:lang w:val="es-SV" w:eastAsia="es-SV"/>
              </w:rPr>
            </w:pPr>
            <w:r w:rsidRPr="00641607">
              <w:rPr>
                <w:rFonts w:ascii="Calibri" w:eastAsia="Times New Roman" w:hAnsi="Calibri" w:cs="Times New Roman"/>
                <w:color w:val="000000"/>
                <w:sz w:val="18"/>
                <w:szCs w:val="18"/>
                <w:lang w:val="es-SV" w:eastAsia="es-SV"/>
              </w:rPr>
              <w:t>Implementación de procesos estandarizados para las compras de medicamentos y reactivos</w:t>
            </w:r>
          </w:p>
        </w:tc>
        <w:tc>
          <w:tcPr>
            <w:tcW w:w="288" w:type="pct"/>
            <w:shd w:val="clear" w:color="auto" w:fill="auto"/>
            <w:vAlign w:val="bottom"/>
          </w:tcPr>
          <w:p w14:paraId="2226A17C" w14:textId="77777777" w:rsidR="00641607" w:rsidRPr="00641607" w:rsidRDefault="00641607" w:rsidP="00641607">
            <w:pPr>
              <w:jc w:val="center"/>
              <w:rPr>
                <w:rFonts w:ascii="Calibri" w:hAnsi="Calibri"/>
                <w:color w:val="000000"/>
                <w:lang w:val="es-SV"/>
              </w:rPr>
            </w:pPr>
          </w:p>
        </w:tc>
        <w:tc>
          <w:tcPr>
            <w:tcW w:w="212" w:type="pct"/>
            <w:shd w:val="clear" w:color="auto" w:fill="auto"/>
            <w:vAlign w:val="bottom"/>
          </w:tcPr>
          <w:p w14:paraId="3F0DD1BC" w14:textId="77777777" w:rsidR="00641607" w:rsidRDefault="00641607" w:rsidP="00641607">
            <w:pPr>
              <w:jc w:val="center"/>
              <w:rPr>
                <w:rFonts w:ascii="Calibri" w:hAnsi="Calibri"/>
                <w:color w:val="000000"/>
              </w:rPr>
            </w:pPr>
            <w:r>
              <w:rPr>
                <w:rFonts w:ascii="Calibri" w:hAnsi="Calibri"/>
                <w:color w:val="000000"/>
              </w:rPr>
              <w:t>X</w:t>
            </w:r>
          </w:p>
        </w:tc>
        <w:tc>
          <w:tcPr>
            <w:tcW w:w="237" w:type="pct"/>
            <w:shd w:val="clear" w:color="auto" w:fill="auto"/>
            <w:vAlign w:val="bottom"/>
          </w:tcPr>
          <w:p w14:paraId="10340246" w14:textId="77777777" w:rsidR="00641607" w:rsidRDefault="00641607" w:rsidP="00641607">
            <w:pPr>
              <w:jc w:val="center"/>
              <w:rPr>
                <w:rFonts w:ascii="Calibri" w:hAnsi="Calibri"/>
                <w:color w:val="000000"/>
              </w:rPr>
            </w:pPr>
            <w:r>
              <w:rPr>
                <w:rFonts w:ascii="Calibri" w:hAnsi="Calibri"/>
                <w:color w:val="000000"/>
              </w:rPr>
              <w:t>X</w:t>
            </w:r>
          </w:p>
        </w:tc>
        <w:tc>
          <w:tcPr>
            <w:tcW w:w="218" w:type="pct"/>
            <w:shd w:val="clear" w:color="auto" w:fill="auto"/>
            <w:vAlign w:val="bottom"/>
          </w:tcPr>
          <w:p w14:paraId="3647FD44" w14:textId="77777777" w:rsidR="00641607" w:rsidRDefault="00641607" w:rsidP="00641607">
            <w:pPr>
              <w:jc w:val="center"/>
              <w:rPr>
                <w:rFonts w:ascii="Calibri" w:hAnsi="Calibri"/>
                <w:color w:val="000000"/>
              </w:rPr>
            </w:pPr>
            <w:r>
              <w:rPr>
                <w:rFonts w:ascii="Calibri" w:hAnsi="Calibri"/>
                <w:color w:val="000000"/>
              </w:rPr>
              <w:t>X</w:t>
            </w:r>
          </w:p>
        </w:tc>
        <w:tc>
          <w:tcPr>
            <w:tcW w:w="218" w:type="pct"/>
            <w:shd w:val="clear" w:color="auto" w:fill="auto"/>
            <w:vAlign w:val="bottom"/>
          </w:tcPr>
          <w:p w14:paraId="02CBD846" w14:textId="77777777" w:rsidR="00641607" w:rsidRDefault="00641607" w:rsidP="00641607">
            <w:pPr>
              <w:jc w:val="center"/>
              <w:rPr>
                <w:rFonts w:ascii="Calibri" w:hAnsi="Calibri"/>
                <w:color w:val="000000"/>
              </w:rPr>
            </w:pPr>
            <w:r>
              <w:rPr>
                <w:rFonts w:ascii="Calibri" w:hAnsi="Calibri"/>
                <w:color w:val="000000"/>
              </w:rPr>
              <w:t>X</w:t>
            </w:r>
          </w:p>
        </w:tc>
      </w:tr>
      <w:tr w:rsidR="00641607" w:rsidRPr="00047B1F" w14:paraId="74AAB4B5" w14:textId="77777777" w:rsidTr="00641607">
        <w:trPr>
          <w:gridAfter w:val="1"/>
          <w:wAfter w:w="6" w:type="pct"/>
          <w:trHeight w:val="136"/>
        </w:trPr>
        <w:tc>
          <w:tcPr>
            <w:tcW w:w="3821" w:type="pct"/>
            <w:shd w:val="clear" w:color="auto" w:fill="auto"/>
          </w:tcPr>
          <w:p w14:paraId="3A5AD3D0" w14:textId="77777777" w:rsidR="00641607" w:rsidRDefault="00641607" w:rsidP="00641607">
            <w:pPr>
              <w:spacing w:after="0" w:line="240" w:lineRule="auto"/>
              <w:rPr>
                <w:rFonts w:ascii="Calibri" w:eastAsia="Times New Roman" w:hAnsi="Calibri" w:cs="Times New Roman"/>
                <w:color w:val="000000"/>
                <w:sz w:val="18"/>
                <w:szCs w:val="18"/>
                <w:lang w:val="es-SV" w:eastAsia="es-SV"/>
              </w:rPr>
            </w:pPr>
            <w:r w:rsidRPr="008E1E3F">
              <w:rPr>
                <w:rFonts w:ascii="Calibri" w:eastAsia="Times New Roman" w:hAnsi="Calibri" w:cs="Times New Roman"/>
                <w:color w:val="000000"/>
                <w:sz w:val="18"/>
                <w:szCs w:val="18"/>
                <w:lang w:val="es-SV" w:eastAsia="es-SV"/>
              </w:rPr>
              <w:t>Fortalecimiento de capacidades para el manejo de procesos alternativos de negociación conjunta con SE-COMISCA</w:t>
            </w:r>
          </w:p>
        </w:tc>
        <w:tc>
          <w:tcPr>
            <w:tcW w:w="288" w:type="pct"/>
            <w:shd w:val="clear" w:color="auto" w:fill="auto"/>
            <w:vAlign w:val="bottom"/>
          </w:tcPr>
          <w:p w14:paraId="497CA283" w14:textId="77777777" w:rsidR="00641607" w:rsidRDefault="00641607" w:rsidP="00641607">
            <w:pPr>
              <w:jc w:val="center"/>
              <w:rPr>
                <w:rFonts w:ascii="Calibri" w:hAnsi="Calibri"/>
                <w:color w:val="000000"/>
              </w:rPr>
            </w:pPr>
          </w:p>
        </w:tc>
        <w:tc>
          <w:tcPr>
            <w:tcW w:w="212" w:type="pct"/>
            <w:shd w:val="clear" w:color="auto" w:fill="auto"/>
            <w:vAlign w:val="bottom"/>
          </w:tcPr>
          <w:p w14:paraId="4D734E29" w14:textId="77777777" w:rsidR="00641607" w:rsidRDefault="00641607" w:rsidP="00641607">
            <w:pPr>
              <w:jc w:val="center"/>
              <w:rPr>
                <w:rFonts w:ascii="Calibri" w:hAnsi="Calibri"/>
                <w:color w:val="000000"/>
              </w:rPr>
            </w:pPr>
            <w:r>
              <w:rPr>
                <w:rFonts w:ascii="Calibri" w:hAnsi="Calibri"/>
                <w:color w:val="000000"/>
              </w:rPr>
              <w:t>X</w:t>
            </w:r>
          </w:p>
        </w:tc>
        <w:tc>
          <w:tcPr>
            <w:tcW w:w="237" w:type="pct"/>
            <w:shd w:val="clear" w:color="auto" w:fill="auto"/>
            <w:vAlign w:val="bottom"/>
          </w:tcPr>
          <w:p w14:paraId="5B8A5B2D" w14:textId="77777777" w:rsidR="00641607" w:rsidRDefault="00641607" w:rsidP="00641607">
            <w:pPr>
              <w:jc w:val="center"/>
              <w:rPr>
                <w:rFonts w:ascii="Calibri" w:hAnsi="Calibri"/>
                <w:color w:val="000000"/>
              </w:rPr>
            </w:pPr>
            <w:r>
              <w:rPr>
                <w:rFonts w:ascii="Calibri" w:hAnsi="Calibri"/>
                <w:color w:val="000000"/>
              </w:rPr>
              <w:t>X</w:t>
            </w:r>
          </w:p>
        </w:tc>
        <w:tc>
          <w:tcPr>
            <w:tcW w:w="218" w:type="pct"/>
            <w:shd w:val="clear" w:color="auto" w:fill="auto"/>
            <w:vAlign w:val="bottom"/>
          </w:tcPr>
          <w:p w14:paraId="65D8B6D8" w14:textId="77777777" w:rsidR="00641607" w:rsidRDefault="00641607" w:rsidP="00641607">
            <w:pPr>
              <w:jc w:val="center"/>
              <w:rPr>
                <w:rFonts w:ascii="Calibri" w:hAnsi="Calibri"/>
                <w:color w:val="000000"/>
              </w:rPr>
            </w:pPr>
            <w:r>
              <w:rPr>
                <w:rFonts w:ascii="Calibri" w:hAnsi="Calibri"/>
                <w:color w:val="000000"/>
              </w:rPr>
              <w:t>X</w:t>
            </w:r>
          </w:p>
        </w:tc>
        <w:tc>
          <w:tcPr>
            <w:tcW w:w="218" w:type="pct"/>
            <w:shd w:val="clear" w:color="auto" w:fill="auto"/>
            <w:vAlign w:val="bottom"/>
          </w:tcPr>
          <w:p w14:paraId="45EB7315" w14:textId="77777777" w:rsidR="00641607" w:rsidRDefault="00641607" w:rsidP="00641607">
            <w:pPr>
              <w:jc w:val="center"/>
              <w:rPr>
                <w:rFonts w:ascii="Calibri" w:hAnsi="Calibri"/>
                <w:color w:val="000000"/>
              </w:rPr>
            </w:pPr>
          </w:p>
        </w:tc>
      </w:tr>
      <w:tr w:rsidR="001B56B3" w:rsidRPr="00047B1F" w14:paraId="5E14A961" w14:textId="77777777" w:rsidTr="001B56B3">
        <w:trPr>
          <w:gridAfter w:val="1"/>
          <w:wAfter w:w="6" w:type="pct"/>
          <w:trHeight w:val="402"/>
        </w:trPr>
        <w:tc>
          <w:tcPr>
            <w:tcW w:w="3821" w:type="pct"/>
            <w:shd w:val="clear" w:color="auto" w:fill="auto"/>
            <w:hideMark/>
          </w:tcPr>
          <w:p w14:paraId="53E379EA" w14:textId="77777777" w:rsidR="00D839D6" w:rsidRPr="00047B1F" w:rsidRDefault="0092778F" w:rsidP="00D839D6">
            <w:pPr>
              <w:spacing w:after="0" w:line="240" w:lineRule="auto"/>
              <w:rPr>
                <w:rFonts w:ascii="Calibri" w:eastAsia="Times New Roman" w:hAnsi="Calibri" w:cs="Times New Roman"/>
                <w:color w:val="000000"/>
                <w:sz w:val="18"/>
                <w:szCs w:val="18"/>
                <w:lang w:val="es-SV" w:eastAsia="es-SV"/>
              </w:rPr>
            </w:pPr>
            <w:r w:rsidRPr="008E1E3F">
              <w:rPr>
                <w:rFonts w:ascii="Calibri" w:eastAsia="Times New Roman" w:hAnsi="Calibri" w:cs="Times New Roman"/>
                <w:color w:val="000000"/>
                <w:sz w:val="18"/>
                <w:szCs w:val="18"/>
                <w:lang w:val="es-SV" w:eastAsia="es-SV"/>
              </w:rPr>
              <w:lastRenderedPageBreak/>
              <w:t>Aplicación</w:t>
            </w:r>
            <w:r w:rsidR="00312362" w:rsidRPr="00312362">
              <w:rPr>
                <w:rFonts w:ascii="Calibri" w:eastAsia="Times New Roman" w:hAnsi="Calibri" w:cs="Times New Roman"/>
                <w:color w:val="000000"/>
                <w:sz w:val="18"/>
                <w:szCs w:val="18"/>
                <w:lang w:val="es-SV" w:eastAsia="es-SV"/>
              </w:rPr>
              <w:t xml:space="preserve"> del mecanismo de compra apropiado para bajar los costos de los medicamentos e insumos en VIH</w:t>
            </w:r>
            <w:r w:rsidR="008E1E3F">
              <w:rPr>
                <w:rFonts w:ascii="Calibri" w:eastAsia="Times New Roman" w:hAnsi="Calibri" w:cs="Times New Roman"/>
                <w:color w:val="000000"/>
                <w:sz w:val="18"/>
                <w:szCs w:val="18"/>
                <w:lang w:val="es-SV" w:eastAsia="es-SV"/>
              </w:rPr>
              <w:t xml:space="preserve"> y </w:t>
            </w:r>
            <w:r w:rsidR="008E1E3F" w:rsidRPr="008E1E3F">
              <w:rPr>
                <w:rFonts w:ascii="Calibri" w:eastAsia="Times New Roman" w:hAnsi="Calibri" w:cs="Times New Roman"/>
                <w:color w:val="000000"/>
                <w:sz w:val="18"/>
                <w:szCs w:val="18"/>
                <w:lang w:val="es-SV" w:eastAsia="es-SV"/>
              </w:rPr>
              <w:t>lograr costos unitarios más bajos que reduzcan la fragmentación de las adquisiciones conjuntas, la combinación de recursos, etc.</w:t>
            </w:r>
            <w:r w:rsidR="008E1E3F" w:rsidRPr="008E1E3F">
              <w:rPr>
                <w:rFonts w:ascii="Calibri" w:eastAsia="Times New Roman" w:hAnsi="Calibri" w:cs="Times New Roman"/>
                <w:color w:val="000000"/>
                <w:sz w:val="18"/>
                <w:szCs w:val="18"/>
                <w:lang w:val="es-SV" w:eastAsia="es-SV"/>
              </w:rPr>
              <w:tab/>
            </w:r>
            <w:r w:rsidR="008E1E3F" w:rsidRPr="008E1E3F">
              <w:rPr>
                <w:rFonts w:ascii="Calibri" w:eastAsia="Times New Roman" w:hAnsi="Calibri" w:cs="Times New Roman"/>
                <w:color w:val="000000"/>
                <w:sz w:val="18"/>
                <w:szCs w:val="18"/>
                <w:lang w:val="es-SV" w:eastAsia="es-SV"/>
              </w:rPr>
              <w:tab/>
            </w:r>
          </w:p>
        </w:tc>
        <w:tc>
          <w:tcPr>
            <w:tcW w:w="288" w:type="pct"/>
            <w:shd w:val="clear" w:color="auto" w:fill="auto"/>
            <w:vAlign w:val="bottom"/>
            <w:hideMark/>
          </w:tcPr>
          <w:p w14:paraId="58C8F114" w14:textId="77777777" w:rsidR="00D839D6" w:rsidRDefault="00641607" w:rsidP="00D839D6">
            <w:pPr>
              <w:jc w:val="center"/>
              <w:rPr>
                <w:rFonts w:ascii="Calibri" w:hAnsi="Calibri"/>
                <w:color w:val="000000"/>
              </w:rPr>
            </w:pPr>
            <w:r>
              <w:rPr>
                <w:rFonts w:ascii="Calibri" w:hAnsi="Calibri"/>
                <w:color w:val="000000"/>
              </w:rPr>
              <w:t>X</w:t>
            </w:r>
          </w:p>
        </w:tc>
        <w:tc>
          <w:tcPr>
            <w:tcW w:w="212" w:type="pct"/>
            <w:shd w:val="clear" w:color="auto" w:fill="auto"/>
            <w:vAlign w:val="bottom"/>
            <w:hideMark/>
          </w:tcPr>
          <w:p w14:paraId="2FD57BC3" w14:textId="77777777" w:rsidR="00D839D6" w:rsidRDefault="00641607" w:rsidP="00D839D6">
            <w:pPr>
              <w:jc w:val="center"/>
              <w:rPr>
                <w:rFonts w:ascii="Calibri" w:hAnsi="Calibri"/>
                <w:color w:val="000000"/>
              </w:rPr>
            </w:pPr>
            <w:r>
              <w:rPr>
                <w:rFonts w:ascii="Calibri" w:hAnsi="Calibri"/>
                <w:color w:val="000000"/>
              </w:rPr>
              <w:t>X</w:t>
            </w:r>
          </w:p>
        </w:tc>
        <w:tc>
          <w:tcPr>
            <w:tcW w:w="237" w:type="pct"/>
            <w:shd w:val="clear" w:color="auto" w:fill="auto"/>
            <w:vAlign w:val="bottom"/>
            <w:hideMark/>
          </w:tcPr>
          <w:p w14:paraId="2BF9A61B" w14:textId="77777777" w:rsidR="00D839D6" w:rsidRDefault="00641607" w:rsidP="00D839D6">
            <w:pPr>
              <w:jc w:val="center"/>
              <w:rPr>
                <w:rFonts w:ascii="Calibri" w:hAnsi="Calibri"/>
                <w:color w:val="000000"/>
              </w:rPr>
            </w:pPr>
            <w:r>
              <w:rPr>
                <w:rFonts w:ascii="Calibri" w:hAnsi="Calibri"/>
                <w:color w:val="000000"/>
              </w:rPr>
              <w:t>X</w:t>
            </w:r>
          </w:p>
        </w:tc>
        <w:tc>
          <w:tcPr>
            <w:tcW w:w="218" w:type="pct"/>
            <w:shd w:val="clear" w:color="auto" w:fill="auto"/>
            <w:vAlign w:val="bottom"/>
            <w:hideMark/>
          </w:tcPr>
          <w:p w14:paraId="2366317A" w14:textId="77777777" w:rsidR="00D839D6" w:rsidRDefault="00641607" w:rsidP="00D839D6">
            <w:pPr>
              <w:jc w:val="center"/>
              <w:rPr>
                <w:rFonts w:ascii="Calibri" w:hAnsi="Calibri"/>
                <w:color w:val="000000"/>
              </w:rPr>
            </w:pPr>
            <w:r>
              <w:rPr>
                <w:rFonts w:ascii="Calibri" w:hAnsi="Calibri"/>
                <w:color w:val="000000"/>
              </w:rPr>
              <w:t>X</w:t>
            </w:r>
          </w:p>
        </w:tc>
        <w:tc>
          <w:tcPr>
            <w:tcW w:w="218" w:type="pct"/>
            <w:shd w:val="clear" w:color="auto" w:fill="auto"/>
            <w:vAlign w:val="bottom"/>
            <w:hideMark/>
          </w:tcPr>
          <w:p w14:paraId="2284DCBB" w14:textId="77777777" w:rsidR="00D839D6" w:rsidRDefault="00641607" w:rsidP="00D839D6">
            <w:pPr>
              <w:jc w:val="center"/>
              <w:rPr>
                <w:rFonts w:ascii="Calibri" w:hAnsi="Calibri"/>
                <w:color w:val="000000"/>
              </w:rPr>
            </w:pPr>
            <w:r>
              <w:rPr>
                <w:rFonts w:ascii="Calibri" w:hAnsi="Calibri"/>
                <w:color w:val="000000"/>
              </w:rPr>
              <w:t>X</w:t>
            </w:r>
          </w:p>
        </w:tc>
      </w:tr>
    </w:tbl>
    <w:p w14:paraId="59B2D7F6" w14:textId="77777777" w:rsidR="00EC5B63" w:rsidRDefault="00EC5B63"/>
    <w:p w14:paraId="3D13DD85" w14:textId="77777777" w:rsidR="00032AB4" w:rsidRDefault="00032AB4"/>
    <w:tbl>
      <w:tblPr>
        <w:tblW w:w="5000" w:type="pct"/>
        <w:tblCellMar>
          <w:left w:w="70" w:type="dxa"/>
          <w:right w:w="70" w:type="dxa"/>
        </w:tblCellMar>
        <w:tblLook w:val="04A0" w:firstRow="1" w:lastRow="0" w:firstColumn="1" w:lastColumn="0" w:noHBand="0" w:noVBand="1"/>
      </w:tblPr>
      <w:tblGrid>
        <w:gridCol w:w="3062"/>
        <w:gridCol w:w="2596"/>
        <w:gridCol w:w="1840"/>
        <w:gridCol w:w="1835"/>
        <w:gridCol w:w="1824"/>
        <w:gridCol w:w="1837"/>
      </w:tblGrid>
      <w:tr w:rsidR="00032AB4" w:rsidRPr="0077324A" w14:paraId="6AFFD88D" w14:textId="77777777" w:rsidTr="003A2DD7">
        <w:trPr>
          <w:trHeight w:val="703"/>
        </w:trPr>
        <w:tc>
          <w:tcPr>
            <w:tcW w:w="1178"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E261966" w14:textId="77777777" w:rsidR="00032AB4" w:rsidRPr="0077324A" w:rsidRDefault="00032AB4" w:rsidP="00032AB4">
            <w:pP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 xml:space="preserve">Líneas de acción de la estrategia </w:t>
            </w:r>
          </w:p>
        </w:tc>
        <w:tc>
          <w:tcPr>
            <w:tcW w:w="999"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6A92EFA" w14:textId="77777777" w:rsidR="00032AB4" w:rsidRPr="00032AB4" w:rsidRDefault="00032AB4" w:rsidP="00032AB4">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Situación actual</w:t>
            </w:r>
          </w:p>
          <w:p w14:paraId="337C0D41" w14:textId="77777777" w:rsidR="00032AB4" w:rsidRPr="00032AB4" w:rsidRDefault="00032AB4" w:rsidP="00312362">
            <w:pPr>
              <w:rPr>
                <w:rFonts w:ascii="Calibri" w:eastAsia="Times New Roman" w:hAnsi="Calibri" w:cs="Times New Roman"/>
                <w:color w:val="000000"/>
                <w:sz w:val="18"/>
                <w:szCs w:val="18"/>
                <w:lang w:val="es-SV" w:eastAsia="es-SV"/>
              </w:rPr>
            </w:pPr>
          </w:p>
        </w:tc>
        <w:tc>
          <w:tcPr>
            <w:tcW w:w="708"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91547B0" w14:textId="77777777" w:rsidR="00032AB4" w:rsidRPr="00032AB4" w:rsidRDefault="00032AB4" w:rsidP="00032AB4">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 xml:space="preserve">Oportunidades </w:t>
            </w:r>
          </w:p>
          <w:p w14:paraId="006BF2F3" w14:textId="77777777" w:rsidR="00032AB4" w:rsidRPr="00032AB4" w:rsidRDefault="00032AB4" w:rsidP="00032AB4">
            <w:pPr>
              <w:spacing w:after="0" w:line="240" w:lineRule="auto"/>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 </w:t>
            </w:r>
          </w:p>
        </w:tc>
        <w:tc>
          <w:tcPr>
            <w:tcW w:w="706"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853F6BF" w14:textId="77777777" w:rsidR="00032AB4" w:rsidRPr="00032AB4" w:rsidRDefault="00032AB4" w:rsidP="00032AB4">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Desafíos</w:t>
            </w:r>
          </w:p>
        </w:tc>
        <w:tc>
          <w:tcPr>
            <w:tcW w:w="702"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82DC624" w14:textId="77777777" w:rsidR="00032AB4" w:rsidRPr="00032AB4" w:rsidRDefault="00032AB4" w:rsidP="00032AB4">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 xml:space="preserve"> Meta (en base a brechas y prioridades) </w:t>
            </w:r>
          </w:p>
        </w:tc>
        <w:tc>
          <w:tcPr>
            <w:tcW w:w="70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6F1746B1" w14:textId="77777777" w:rsidR="00032AB4" w:rsidRPr="00032AB4" w:rsidRDefault="00032AB4" w:rsidP="00032AB4">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Responsables de actividades</w:t>
            </w:r>
          </w:p>
        </w:tc>
      </w:tr>
      <w:tr w:rsidR="00047B1F" w:rsidRPr="00047B1F" w14:paraId="3AC66CAE" w14:textId="77777777" w:rsidTr="00D3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0"/>
        </w:trPr>
        <w:tc>
          <w:tcPr>
            <w:tcW w:w="1178" w:type="pct"/>
            <w:shd w:val="clear" w:color="auto" w:fill="auto"/>
            <w:hideMark/>
          </w:tcPr>
          <w:p w14:paraId="74239AEC" w14:textId="77777777" w:rsidR="00047B1F" w:rsidRPr="00047B1F" w:rsidRDefault="00047B1F" w:rsidP="00047B1F">
            <w:pPr>
              <w:spacing w:after="0" w:line="240" w:lineRule="auto"/>
              <w:rPr>
                <w:rFonts w:ascii="Calibri" w:eastAsia="Times New Roman" w:hAnsi="Calibri" w:cs="Times New Roman"/>
                <w:b/>
                <w:bCs/>
                <w:color w:val="000000"/>
                <w:sz w:val="18"/>
                <w:szCs w:val="18"/>
                <w:lang w:val="es-SV" w:eastAsia="es-SV"/>
              </w:rPr>
            </w:pPr>
            <w:r w:rsidRPr="00047B1F">
              <w:rPr>
                <w:rFonts w:ascii="Calibri" w:eastAsia="Times New Roman" w:hAnsi="Calibri" w:cs="Times New Roman"/>
                <w:b/>
                <w:bCs/>
                <w:color w:val="000000"/>
                <w:sz w:val="18"/>
                <w:szCs w:val="18"/>
                <w:lang w:val="es-SV" w:eastAsia="es-SV"/>
              </w:rPr>
              <w:t>6.Reducción de costos y optimización de recursos  en la compra de medicamentos, insumos y reactivos, mediante el uso de mecanismos y herramientas existentes que  eliminan barreras  en el proceso de adquisición y  están acordes con el marco legal existente, incluyendo pero no limitado a  temas relacionados con  impuestos a medicamentos, flexibilidades, entre otros</w:t>
            </w:r>
          </w:p>
        </w:tc>
        <w:tc>
          <w:tcPr>
            <w:tcW w:w="999" w:type="pct"/>
            <w:shd w:val="clear" w:color="auto" w:fill="auto"/>
            <w:hideMark/>
          </w:tcPr>
          <w:p w14:paraId="14FB39C3"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xml:space="preserve">El Viceministerio de Salud junto con el comité de propiedad intelectual (conformado por MINEC, MINED, CNR, MINSAL, SC, DC y DNM) han elaborado una propuesto de modificación de la Ley de Propiedad Intelectual, la que ha sido presentada a CAPRES. </w:t>
            </w:r>
          </w:p>
        </w:tc>
        <w:tc>
          <w:tcPr>
            <w:tcW w:w="708" w:type="pct"/>
            <w:shd w:val="clear" w:color="auto" w:fill="auto"/>
            <w:hideMark/>
          </w:tcPr>
          <w:p w14:paraId="04E3A238"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Se</w:t>
            </w:r>
            <w:r w:rsidR="003A2DD7">
              <w:rPr>
                <w:rFonts w:ascii="Calibri" w:eastAsia="Times New Roman" w:hAnsi="Calibri" w:cs="Times New Roman"/>
                <w:color w:val="000000"/>
                <w:sz w:val="18"/>
                <w:szCs w:val="18"/>
                <w:lang w:val="es-SV" w:eastAsia="es-SV"/>
              </w:rPr>
              <w:t xml:space="preserve"> ha realizado un estudio que pro</w:t>
            </w:r>
            <w:r w:rsidRPr="00047B1F">
              <w:rPr>
                <w:rFonts w:ascii="Calibri" w:eastAsia="Times New Roman" w:hAnsi="Calibri" w:cs="Times New Roman"/>
                <w:color w:val="000000"/>
                <w:sz w:val="18"/>
                <w:szCs w:val="18"/>
                <w:lang w:val="es-SV" w:eastAsia="es-SV"/>
              </w:rPr>
              <w:t>porciona el análisis para solicitar la modificación de la Ley de Patentes y la utilización de las flexibilidades de los ADPIC. Existe una propuesta presentada a CAPRES para la modificación de la Ley de Patentes</w:t>
            </w:r>
          </w:p>
        </w:tc>
        <w:tc>
          <w:tcPr>
            <w:tcW w:w="706" w:type="pct"/>
            <w:shd w:val="clear" w:color="auto" w:fill="auto"/>
            <w:hideMark/>
          </w:tcPr>
          <w:p w14:paraId="2BD2F08C"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La participación de la sociedad civil en el proceso de análisis de la reforma de la Ley de Patentes y en la presentación a la Asamblea Legislativa y su proceso de abogacía posterior.</w:t>
            </w:r>
          </w:p>
        </w:tc>
        <w:tc>
          <w:tcPr>
            <w:tcW w:w="702" w:type="pct"/>
            <w:shd w:val="clear" w:color="auto" w:fill="auto"/>
            <w:hideMark/>
          </w:tcPr>
          <w:p w14:paraId="5662F929"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Utilizar las flexibi</w:t>
            </w:r>
            <w:r w:rsidR="00E975E7">
              <w:rPr>
                <w:rFonts w:ascii="Calibri" w:eastAsia="Times New Roman" w:hAnsi="Calibri" w:cs="Times New Roman"/>
                <w:color w:val="000000"/>
                <w:sz w:val="18"/>
                <w:szCs w:val="18"/>
                <w:lang w:val="es-SV" w:eastAsia="es-SV"/>
              </w:rPr>
              <w:t>lidades de los ADPIC y modificación de</w:t>
            </w:r>
            <w:r w:rsidRPr="00047B1F">
              <w:rPr>
                <w:rFonts w:ascii="Calibri" w:eastAsia="Times New Roman" w:hAnsi="Calibri" w:cs="Times New Roman"/>
                <w:color w:val="000000"/>
                <w:sz w:val="18"/>
                <w:szCs w:val="18"/>
                <w:lang w:val="es-SV" w:eastAsia="es-SV"/>
              </w:rPr>
              <w:t xml:space="preserve"> la Ley de Patentes para adquirir medicamentos a mejores precios.</w:t>
            </w:r>
          </w:p>
        </w:tc>
        <w:tc>
          <w:tcPr>
            <w:tcW w:w="707" w:type="pct"/>
            <w:shd w:val="clear" w:color="auto" w:fill="auto"/>
            <w:vAlign w:val="bottom"/>
            <w:hideMark/>
          </w:tcPr>
          <w:p w14:paraId="2DFD6C9E" w14:textId="77777777" w:rsidR="00E975E7" w:rsidRDefault="00E975E7" w:rsidP="00047B1F">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 xml:space="preserve">CONAVIH con participación de </w:t>
            </w:r>
          </w:p>
          <w:p w14:paraId="6E3CB141" w14:textId="77777777" w:rsid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MINEC, MINED, CNR, MINSAL, SC, DC y DNM, Sociedad Civil, organismos internacionales</w:t>
            </w:r>
          </w:p>
          <w:p w14:paraId="2968EBDF" w14:textId="77777777" w:rsidR="00E975E7" w:rsidRDefault="00E975E7" w:rsidP="00047B1F">
            <w:pPr>
              <w:spacing w:after="0" w:line="240" w:lineRule="auto"/>
              <w:rPr>
                <w:rFonts w:ascii="Calibri" w:eastAsia="Times New Roman" w:hAnsi="Calibri" w:cs="Times New Roman"/>
                <w:color w:val="000000"/>
                <w:sz w:val="18"/>
                <w:szCs w:val="18"/>
                <w:lang w:val="es-SV" w:eastAsia="es-SV"/>
              </w:rPr>
            </w:pPr>
          </w:p>
          <w:p w14:paraId="392D9B29" w14:textId="77777777" w:rsidR="00E975E7" w:rsidRDefault="00E975E7" w:rsidP="00047B1F">
            <w:pPr>
              <w:spacing w:after="0" w:line="240" w:lineRule="auto"/>
              <w:rPr>
                <w:rFonts w:ascii="Calibri" w:eastAsia="Times New Roman" w:hAnsi="Calibri" w:cs="Times New Roman"/>
                <w:color w:val="000000"/>
                <w:sz w:val="18"/>
                <w:szCs w:val="18"/>
                <w:lang w:val="es-SV" w:eastAsia="es-SV"/>
              </w:rPr>
            </w:pPr>
          </w:p>
          <w:p w14:paraId="25A642DF" w14:textId="77777777" w:rsidR="00E975E7" w:rsidRDefault="00E975E7" w:rsidP="00047B1F">
            <w:pPr>
              <w:spacing w:after="0" w:line="240" w:lineRule="auto"/>
              <w:rPr>
                <w:rFonts w:ascii="Calibri" w:eastAsia="Times New Roman" w:hAnsi="Calibri" w:cs="Times New Roman"/>
                <w:color w:val="000000"/>
                <w:sz w:val="18"/>
                <w:szCs w:val="18"/>
                <w:lang w:val="es-SV" w:eastAsia="es-SV"/>
              </w:rPr>
            </w:pPr>
          </w:p>
          <w:p w14:paraId="766029B8" w14:textId="77777777" w:rsidR="00E975E7" w:rsidRDefault="00E975E7" w:rsidP="00047B1F">
            <w:pPr>
              <w:spacing w:after="0" w:line="240" w:lineRule="auto"/>
              <w:rPr>
                <w:rFonts w:ascii="Calibri" w:eastAsia="Times New Roman" w:hAnsi="Calibri" w:cs="Times New Roman"/>
                <w:color w:val="000000"/>
                <w:sz w:val="18"/>
                <w:szCs w:val="18"/>
                <w:lang w:val="es-SV" w:eastAsia="es-SV"/>
              </w:rPr>
            </w:pPr>
          </w:p>
          <w:p w14:paraId="622D6756" w14:textId="77777777" w:rsidR="00E975E7" w:rsidRDefault="00E975E7" w:rsidP="00047B1F">
            <w:pPr>
              <w:spacing w:after="0" w:line="240" w:lineRule="auto"/>
              <w:rPr>
                <w:rFonts w:ascii="Calibri" w:eastAsia="Times New Roman" w:hAnsi="Calibri" w:cs="Times New Roman"/>
                <w:color w:val="000000"/>
                <w:sz w:val="18"/>
                <w:szCs w:val="18"/>
                <w:lang w:val="es-SV" w:eastAsia="es-SV"/>
              </w:rPr>
            </w:pPr>
          </w:p>
          <w:p w14:paraId="02E232E0" w14:textId="77777777" w:rsidR="00E975E7" w:rsidRPr="00047B1F" w:rsidRDefault="00E975E7" w:rsidP="00047B1F">
            <w:pPr>
              <w:spacing w:after="0" w:line="240" w:lineRule="auto"/>
              <w:rPr>
                <w:rFonts w:ascii="Calibri" w:eastAsia="Times New Roman" w:hAnsi="Calibri" w:cs="Times New Roman"/>
                <w:color w:val="000000"/>
                <w:sz w:val="18"/>
                <w:szCs w:val="18"/>
                <w:lang w:val="es-SV" w:eastAsia="es-SV"/>
              </w:rPr>
            </w:pPr>
          </w:p>
        </w:tc>
      </w:tr>
    </w:tbl>
    <w:p w14:paraId="6944169E" w14:textId="77777777" w:rsidR="003A2DD7" w:rsidRDefault="003A2DD7"/>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75"/>
        <w:gridCol w:w="619"/>
        <w:gridCol w:w="568"/>
        <w:gridCol w:w="710"/>
        <w:gridCol w:w="710"/>
        <w:gridCol w:w="565"/>
        <w:gridCol w:w="13"/>
      </w:tblGrid>
      <w:tr w:rsidR="00EC5B63" w:rsidRPr="00047B1F" w14:paraId="3C231846" w14:textId="77777777" w:rsidTr="003A2DD7">
        <w:trPr>
          <w:trHeight w:val="310"/>
        </w:trPr>
        <w:tc>
          <w:tcPr>
            <w:tcW w:w="5000" w:type="pct"/>
            <w:gridSpan w:val="7"/>
            <w:shd w:val="clear" w:color="auto" w:fill="auto"/>
          </w:tcPr>
          <w:p w14:paraId="7424A035" w14:textId="77777777" w:rsidR="00EC5B63" w:rsidRPr="00EC5B63" w:rsidRDefault="00AE5337"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 xml:space="preserve">Acciones / </w:t>
            </w:r>
            <w:r w:rsidRPr="00EE1739">
              <w:rPr>
                <w:rFonts w:ascii="Calibri" w:eastAsia="Times New Roman" w:hAnsi="Calibri" w:cs="Times New Roman"/>
                <w:b/>
                <w:color w:val="000000"/>
                <w:sz w:val="18"/>
                <w:szCs w:val="18"/>
                <w:lang w:val="es-SV" w:eastAsia="es-SV"/>
              </w:rPr>
              <w:t>Periodo de ejecución</w:t>
            </w:r>
          </w:p>
        </w:tc>
      </w:tr>
      <w:tr w:rsidR="00EC5B63" w:rsidRPr="00047B1F" w14:paraId="3ABBFF85" w14:textId="77777777" w:rsidTr="003A2DD7">
        <w:trPr>
          <w:gridAfter w:val="1"/>
          <w:wAfter w:w="5" w:type="pct"/>
          <w:trHeight w:val="285"/>
        </w:trPr>
        <w:tc>
          <w:tcPr>
            <w:tcW w:w="3771" w:type="pct"/>
            <w:shd w:val="clear" w:color="auto" w:fill="auto"/>
          </w:tcPr>
          <w:p w14:paraId="29671B8F" w14:textId="77777777" w:rsidR="00EC5B63" w:rsidRPr="00EC5B63" w:rsidRDefault="00EC5B63" w:rsidP="00EC5B63">
            <w:pPr>
              <w:spacing w:after="0" w:line="240" w:lineRule="auto"/>
              <w:jc w:val="center"/>
              <w:rPr>
                <w:rFonts w:ascii="Calibri" w:eastAsia="Times New Roman" w:hAnsi="Calibri" w:cs="Times New Roman"/>
                <w:b/>
                <w:color w:val="000000"/>
                <w:sz w:val="18"/>
                <w:szCs w:val="18"/>
                <w:lang w:val="es-SV" w:eastAsia="es-SV"/>
              </w:rPr>
            </w:pPr>
          </w:p>
        </w:tc>
        <w:tc>
          <w:tcPr>
            <w:tcW w:w="239" w:type="pct"/>
            <w:shd w:val="clear" w:color="auto" w:fill="auto"/>
          </w:tcPr>
          <w:p w14:paraId="73990687" w14:textId="77777777" w:rsidR="00EC5B63" w:rsidRPr="00EC5B63" w:rsidRDefault="00EC5B63"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2019</w:t>
            </w:r>
          </w:p>
        </w:tc>
        <w:tc>
          <w:tcPr>
            <w:tcW w:w="219" w:type="pct"/>
            <w:shd w:val="clear" w:color="auto" w:fill="auto"/>
          </w:tcPr>
          <w:p w14:paraId="509C511E" w14:textId="77777777" w:rsidR="00EC5B63" w:rsidRPr="00EC5B63" w:rsidRDefault="00EC5B63"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2020</w:t>
            </w:r>
          </w:p>
        </w:tc>
        <w:tc>
          <w:tcPr>
            <w:tcW w:w="274" w:type="pct"/>
            <w:shd w:val="clear" w:color="auto" w:fill="auto"/>
          </w:tcPr>
          <w:p w14:paraId="17E0D147" w14:textId="77777777" w:rsidR="00EC5B63" w:rsidRPr="00EC5B63" w:rsidRDefault="00EC5B63"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2021</w:t>
            </w:r>
          </w:p>
        </w:tc>
        <w:tc>
          <w:tcPr>
            <w:tcW w:w="274" w:type="pct"/>
            <w:shd w:val="clear" w:color="auto" w:fill="auto"/>
          </w:tcPr>
          <w:p w14:paraId="26C9616B" w14:textId="77777777" w:rsidR="00EC5B63" w:rsidRPr="00EC5B63" w:rsidRDefault="00EC5B63"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2022</w:t>
            </w:r>
          </w:p>
        </w:tc>
        <w:tc>
          <w:tcPr>
            <w:tcW w:w="218" w:type="pct"/>
            <w:shd w:val="clear" w:color="auto" w:fill="auto"/>
          </w:tcPr>
          <w:p w14:paraId="16AB0A6F" w14:textId="77777777" w:rsidR="00EC5B63" w:rsidRPr="00EC5B63" w:rsidRDefault="00EC5B63" w:rsidP="00EC5B63">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2023</w:t>
            </w:r>
          </w:p>
        </w:tc>
      </w:tr>
      <w:tr w:rsidR="00D839D6" w:rsidRPr="00047B1F" w14:paraId="2263FFAD" w14:textId="77777777" w:rsidTr="003A2DD7">
        <w:trPr>
          <w:gridAfter w:val="1"/>
          <w:wAfter w:w="5" w:type="pct"/>
          <w:trHeight w:val="547"/>
        </w:trPr>
        <w:tc>
          <w:tcPr>
            <w:tcW w:w="3771" w:type="pct"/>
            <w:shd w:val="clear" w:color="auto" w:fill="auto"/>
            <w:hideMark/>
          </w:tcPr>
          <w:p w14:paraId="594657D3" w14:textId="77777777" w:rsidR="00D839D6" w:rsidRPr="00047B1F" w:rsidRDefault="00D839D6" w:rsidP="00D839D6">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Dar seguimiento al</w:t>
            </w:r>
            <w:r w:rsidR="003A2DD7">
              <w:rPr>
                <w:rFonts w:ascii="Calibri" w:eastAsia="Times New Roman" w:hAnsi="Calibri" w:cs="Times New Roman"/>
                <w:color w:val="000000"/>
                <w:sz w:val="18"/>
                <w:szCs w:val="18"/>
                <w:lang w:val="es-SV" w:eastAsia="es-SV"/>
              </w:rPr>
              <w:t xml:space="preserve"> proceso de aprobación de las mo</w:t>
            </w:r>
            <w:r w:rsidR="003A2DD7" w:rsidRPr="00047B1F">
              <w:rPr>
                <w:rFonts w:ascii="Calibri" w:eastAsia="Times New Roman" w:hAnsi="Calibri" w:cs="Times New Roman"/>
                <w:color w:val="000000"/>
                <w:sz w:val="18"/>
                <w:szCs w:val="18"/>
                <w:lang w:val="es-SV" w:eastAsia="es-SV"/>
              </w:rPr>
              <w:t>dificaciones</w:t>
            </w:r>
            <w:r w:rsidRPr="00047B1F">
              <w:rPr>
                <w:rFonts w:ascii="Calibri" w:eastAsia="Times New Roman" w:hAnsi="Calibri" w:cs="Times New Roman"/>
                <w:color w:val="000000"/>
                <w:sz w:val="18"/>
                <w:szCs w:val="18"/>
                <w:lang w:val="es-SV" w:eastAsia="es-SV"/>
              </w:rPr>
              <w:t xml:space="preserve"> de la Ley de Patentes en CAPRES</w:t>
            </w:r>
          </w:p>
        </w:tc>
        <w:tc>
          <w:tcPr>
            <w:tcW w:w="239" w:type="pct"/>
            <w:shd w:val="clear" w:color="auto" w:fill="auto"/>
            <w:vAlign w:val="bottom"/>
            <w:hideMark/>
          </w:tcPr>
          <w:p w14:paraId="7AA41091" w14:textId="77777777" w:rsidR="00D839D6" w:rsidRDefault="00E975E7" w:rsidP="00E975E7">
            <w:pPr>
              <w:jc w:val="center"/>
              <w:rPr>
                <w:rFonts w:ascii="Calibri" w:hAnsi="Calibri"/>
                <w:color w:val="000000"/>
              </w:rPr>
            </w:pPr>
            <w:r>
              <w:rPr>
                <w:rFonts w:ascii="Calibri" w:hAnsi="Calibri"/>
                <w:color w:val="000000"/>
              </w:rPr>
              <w:t>X</w:t>
            </w:r>
          </w:p>
        </w:tc>
        <w:tc>
          <w:tcPr>
            <w:tcW w:w="219" w:type="pct"/>
            <w:shd w:val="clear" w:color="auto" w:fill="auto"/>
            <w:vAlign w:val="bottom"/>
            <w:hideMark/>
          </w:tcPr>
          <w:p w14:paraId="031C7F7E" w14:textId="77777777" w:rsidR="00D839D6" w:rsidRDefault="00E975E7" w:rsidP="00E975E7">
            <w:pPr>
              <w:jc w:val="center"/>
              <w:rPr>
                <w:rFonts w:ascii="Calibri" w:hAnsi="Calibri"/>
                <w:color w:val="000000"/>
              </w:rPr>
            </w:pPr>
            <w:r>
              <w:rPr>
                <w:rFonts w:ascii="Calibri" w:hAnsi="Calibri"/>
                <w:color w:val="000000"/>
              </w:rPr>
              <w:t>X</w:t>
            </w:r>
          </w:p>
        </w:tc>
        <w:tc>
          <w:tcPr>
            <w:tcW w:w="274" w:type="pct"/>
            <w:shd w:val="clear" w:color="auto" w:fill="auto"/>
            <w:hideMark/>
          </w:tcPr>
          <w:p w14:paraId="7753BF24" w14:textId="77777777" w:rsidR="00D839D6" w:rsidRPr="00047B1F" w:rsidRDefault="00D839D6" w:rsidP="00E975E7">
            <w:pPr>
              <w:spacing w:after="0" w:line="240" w:lineRule="auto"/>
              <w:jc w:val="center"/>
              <w:rPr>
                <w:rFonts w:ascii="Calibri" w:eastAsia="Times New Roman" w:hAnsi="Calibri" w:cs="Times New Roman"/>
                <w:color w:val="000000"/>
                <w:sz w:val="18"/>
                <w:szCs w:val="18"/>
                <w:lang w:val="es-SV" w:eastAsia="es-SV"/>
              </w:rPr>
            </w:pPr>
          </w:p>
        </w:tc>
        <w:tc>
          <w:tcPr>
            <w:tcW w:w="274" w:type="pct"/>
            <w:shd w:val="clear" w:color="auto" w:fill="auto"/>
            <w:hideMark/>
          </w:tcPr>
          <w:p w14:paraId="62D8B506" w14:textId="77777777" w:rsidR="00D839D6" w:rsidRPr="00047B1F" w:rsidRDefault="00D839D6" w:rsidP="00D839D6">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c>
          <w:tcPr>
            <w:tcW w:w="218" w:type="pct"/>
            <w:shd w:val="clear" w:color="auto" w:fill="auto"/>
            <w:vAlign w:val="bottom"/>
            <w:hideMark/>
          </w:tcPr>
          <w:p w14:paraId="2EA59C25" w14:textId="77777777" w:rsidR="00D839D6" w:rsidRPr="00047B1F" w:rsidRDefault="00D839D6" w:rsidP="00D839D6">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r>
      <w:tr w:rsidR="00D839D6" w:rsidRPr="00047B1F" w14:paraId="5F5BA1FD" w14:textId="77777777" w:rsidTr="003A2DD7">
        <w:trPr>
          <w:gridAfter w:val="1"/>
          <w:wAfter w:w="5" w:type="pct"/>
          <w:trHeight w:val="413"/>
        </w:trPr>
        <w:tc>
          <w:tcPr>
            <w:tcW w:w="3771" w:type="pct"/>
            <w:shd w:val="clear" w:color="auto" w:fill="auto"/>
            <w:hideMark/>
          </w:tcPr>
          <w:p w14:paraId="71544738" w14:textId="77777777" w:rsidR="00D839D6" w:rsidRPr="00047B1F" w:rsidRDefault="00D839D6" w:rsidP="00D839D6">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xml:space="preserve">Hacer un estudio de la propuesta de </w:t>
            </w:r>
            <w:r w:rsidR="003A2DD7" w:rsidRPr="00047B1F">
              <w:rPr>
                <w:rFonts w:ascii="Calibri" w:eastAsia="Times New Roman" w:hAnsi="Calibri" w:cs="Times New Roman"/>
                <w:color w:val="000000"/>
                <w:sz w:val="18"/>
                <w:szCs w:val="18"/>
                <w:lang w:val="es-SV" w:eastAsia="es-SV"/>
              </w:rPr>
              <w:t>modificación</w:t>
            </w:r>
            <w:r w:rsidRPr="00047B1F">
              <w:rPr>
                <w:rFonts w:ascii="Calibri" w:eastAsia="Times New Roman" w:hAnsi="Calibri" w:cs="Times New Roman"/>
                <w:color w:val="000000"/>
                <w:sz w:val="18"/>
                <w:szCs w:val="18"/>
                <w:lang w:val="es-SV" w:eastAsia="es-SV"/>
              </w:rPr>
              <w:t xml:space="preserve"> de dicha Ley, con un comité </w:t>
            </w:r>
            <w:r w:rsidR="003A2DD7" w:rsidRPr="00047B1F">
              <w:rPr>
                <w:rFonts w:ascii="Calibri" w:eastAsia="Times New Roman" w:hAnsi="Calibri" w:cs="Times New Roman"/>
                <w:color w:val="000000"/>
                <w:sz w:val="18"/>
                <w:szCs w:val="18"/>
                <w:lang w:val="es-SV" w:eastAsia="es-SV"/>
              </w:rPr>
              <w:t>ampliado</w:t>
            </w:r>
          </w:p>
        </w:tc>
        <w:tc>
          <w:tcPr>
            <w:tcW w:w="239" w:type="pct"/>
            <w:shd w:val="clear" w:color="auto" w:fill="auto"/>
            <w:vAlign w:val="bottom"/>
            <w:hideMark/>
          </w:tcPr>
          <w:p w14:paraId="493D1219" w14:textId="77777777" w:rsidR="00D839D6" w:rsidRDefault="00D839D6" w:rsidP="00E975E7">
            <w:pPr>
              <w:jc w:val="center"/>
              <w:rPr>
                <w:rFonts w:ascii="Calibri" w:hAnsi="Calibri"/>
                <w:color w:val="000000"/>
              </w:rPr>
            </w:pPr>
          </w:p>
        </w:tc>
        <w:tc>
          <w:tcPr>
            <w:tcW w:w="219" w:type="pct"/>
            <w:shd w:val="clear" w:color="auto" w:fill="auto"/>
            <w:vAlign w:val="bottom"/>
            <w:hideMark/>
          </w:tcPr>
          <w:p w14:paraId="46EC3282" w14:textId="77777777" w:rsidR="00D839D6" w:rsidRDefault="00E975E7" w:rsidP="00E975E7">
            <w:pPr>
              <w:jc w:val="center"/>
              <w:rPr>
                <w:rFonts w:ascii="Calibri" w:hAnsi="Calibri"/>
                <w:color w:val="000000"/>
              </w:rPr>
            </w:pPr>
            <w:r>
              <w:rPr>
                <w:rFonts w:ascii="Calibri" w:hAnsi="Calibri"/>
                <w:color w:val="000000"/>
              </w:rPr>
              <w:t>X</w:t>
            </w:r>
          </w:p>
        </w:tc>
        <w:tc>
          <w:tcPr>
            <w:tcW w:w="274" w:type="pct"/>
            <w:shd w:val="clear" w:color="auto" w:fill="auto"/>
            <w:hideMark/>
          </w:tcPr>
          <w:p w14:paraId="6E5A6E81" w14:textId="77777777" w:rsidR="00D839D6" w:rsidRPr="00047B1F" w:rsidRDefault="00D839D6" w:rsidP="00E975E7">
            <w:pPr>
              <w:spacing w:after="0" w:line="240" w:lineRule="auto"/>
              <w:jc w:val="center"/>
              <w:rPr>
                <w:rFonts w:ascii="Calibri" w:eastAsia="Times New Roman" w:hAnsi="Calibri" w:cs="Times New Roman"/>
                <w:color w:val="000000"/>
                <w:sz w:val="18"/>
                <w:szCs w:val="18"/>
                <w:lang w:val="es-SV" w:eastAsia="es-SV"/>
              </w:rPr>
            </w:pPr>
          </w:p>
        </w:tc>
        <w:tc>
          <w:tcPr>
            <w:tcW w:w="274" w:type="pct"/>
            <w:shd w:val="clear" w:color="auto" w:fill="auto"/>
            <w:hideMark/>
          </w:tcPr>
          <w:p w14:paraId="1E4E3D6E" w14:textId="77777777" w:rsidR="00D839D6" w:rsidRPr="00047B1F" w:rsidRDefault="00D839D6" w:rsidP="00D839D6">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c>
          <w:tcPr>
            <w:tcW w:w="218" w:type="pct"/>
            <w:shd w:val="clear" w:color="auto" w:fill="auto"/>
            <w:vAlign w:val="bottom"/>
            <w:hideMark/>
          </w:tcPr>
          <w:p w14:paraId="3A977476" w14:textId="77777777" w:rsidR="00D839D6" w:rsidRPr="00047B1F" w:rsidRDefault="00D839D6" w:rsidP="00D839D6">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r>
      <w:tr w:rsidR="00D839D6" w:rsidRPr="00047B1F" w14:paraId="607F9B40" w14:textId="77777777" w:rsidTr="003A2DD7">
        <w:trPr>
          <w:gridAfter w:val="1"/>
          <w:wAfter w:w="5" w:type="pct"/>
          <w:trHeight w:val="413"/>
        </w:trPr>
        <w:tc>
          <w:tcPr>
            <w:tcW w:w="3771" w:type="pct"/>
            <w:shd w:val="clear" w:color="auto" w:fill="auto"/>
            <w:hideMark/>
          </w:tcPr>
          <w:p w14:paraId="59625FEB" w14:textId="77777777" w:rsidR="00D839D6" w:rsidRPr="00047B1F" w:rsidRDefault="00D839D6" w:rsidP="00D839D6">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xml:space="preserve">Dar seguimiento a la aprobación de la propuesta de Reforma de Ley de Patentes en la Asamblea Legislativa </w:t>
            </w:r>
          </w:p>
        </w:tc>
        <w:tc>
          <w:tcPr>
            <w:tcW w:w="239" w:type="pct"/>
            <w:shd w:val="clear" w:color="auto" w:fill="auto"/>
            <w:vAlign w:val="bottom"/>
            <w:hideMark/>
          </w:tcPr>
          <w:p w14:paraId="2E06A1A0" w14:textId="77777777" w:rsidR="00D839D6" w:rsidRDefault="00E975E7" w:rsidP="00E975E7">
            <w:pPr>
              <w:jc w:val="center"/>
              <w:rPr>
                <w:rFonts w:ascii="Calibri" w:hAnsi="Calibri"/>
                <w:color w:val="000000"/>
              </w:rPr>
            </w:pPr>
            <w:r>
              <w:rPr>
                <w:rFonts w:ascii="Calibri" w:hAnsi="Calibri"/>
                <w:color w:val="000000"/>
              </w:rPr>
              <w:t>X</w:t>
            </w:r>
          </w:p>
        </w:tc>
        <w:tc>
          <w:tcPr>
            <w:tcW w:w="219" w:type="pct"/>
            <w:shd w:val="clear" w:color="auto" w:fill="auto"/>
            <w:vAlign w:val="bottom"/>
            <w:hideMark/>
          </w:tcPr>
          <w:p w14:paraId="4F733624" w14:textId="77777777" w:rsidR="00D839D6" w:rsidRDefault="00E975E7" w:rsidP="00E975E7">
            <w:pPr>
              <w:jc w:val="center"/>
              <w:rPr>
                <w:rFonts w:ascii="Calibri" w:hAnsi="Calibri"/>
                <w:color w:val="000000"/>
              </w:rPr>
            </w:pPr>
            <w:r>
              <w:rPr>
                <w:rFonts w:ascii="Calibri" w:hAnsi="Calibri"/>
                <w:color w:val="000000"/>
              </w:rPr>
              <w:t>X</w:t>
            </w:r>
          </w:p>
        </w:tc>
        <w:tc>
          <w:tcPr>
            <w:tcW w:w="274" w:type="pct"/>
            <w:shd w:val="clear" w:color="auto" w:fill="auto"/>
            <w:hideMark/>
          </w:tcPr>
          <w:p w14:paraId="11F0D3B4" w14:textId="77777777" w:rsidR="00D839D6" w:rsidRPr="00047B1F" w:rsidRDefault="00E975E7" w:rsidP="00E975E7">
            <w:pPr>
              <w:spacing w:after="0" w:line="240" w:lineRule="auto"/>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74" w:type="pct"/>
            <w:shd w:val="clear" w:color="auto" w:fill="auto"/>
            <w:hideMark/>
          </w:tcPr>
          <w:p w14:paraId="5EF664F3" w14:textId="77777777" w:rsidR="00D839D6" w:rsidRPr="00047B1F" w:rsidRDefault="00D839D6" w:rsidP="00D839D6">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c>
          <w:tcPr>
            <w:tcW w:w="218" w:type="pct"/>
            <w:shd w:val="clear" w:color="auto" w:fill="auto"/>
            <w:vAlign w:val="bottom"/>
            <w:hideMark/>
          </w:tcPr>
          <w:p w14:paraId="2D8B9FD6" w14:textId="77777777" w:rsidR="00D839D6" w:rsidRPr="00047B1F" w:rsidRDefault="00D839D6" w:rsidP="00D839D6">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r>
      <w:tr w:rsidR="00312362" w:rsidRPr="00047B1F" w14:paraId="2CFD348B" w14:textId="77777777" w:rsidTr="003A2DD7">
        <w:trPr>
          <w:gridAfter w:val="1"/>
          <w:wAfter w:w="5" w:type="pct"/>
          <w:trHeight w:val="378"/>
        </w:trPr>
        <w:tc>
          <w:tcPr>
            <w:tcW w:w="3771" w:type="pct"/>
            <w:shd w:val="clear" w:color="auto" w:fill="auto"/>
          </w:tcPr>
          <w:p w14:paraId="1A73BD2B" w14:textId="77777777" w:rsidR="00312362" w:rsidRPr="00047B1F" w:rsidRDefault="00312362" w:rsidP="00D839D6">
            <w:pPr>
              <w:spacing w:after="0" w:line="240" w:lineRule="auto"/>
              <w:rPr>
                <w:rFonts w:ascii="Calibri" w:eastAsia="Times New Roman" w:hAnsi="Calibri" w:cs="Times New Roman"/>
                <w:color w:val="000000"/>
                <w:sz w:val="18"/>
                <w:szCs w:val="18"/>
                <w:lang w:val="es-SV" w:eastAsia="es-SV"/>
              </w:rPr>
            </w:pPr>
            <w:r w:rsidRPr="00312362">
              <w:rPr>
                <w:rFonts w:ascii="Calibri" w:eastAsia="Times New Roman" w:hAnsi="Calibri" w:cs="Times New Roman"/>
                <w:color w:val="000000"/>
                <w:sz w:val="18"/>
                <w:szCs w:val="18"/>
                <w:lang w:val="es-SV" w:eastAsia="es-SV"/>
              </w:rPr>
              <w:t xml:space="preserve">Análisis de la propuesta de </w:t>
            </w:r>
            <w:r w:rsidR="003A2DD7" w:rsidRPr="00312362">
              <w:rPr>
                <w:rFonts w:ascii="Calibri" w:eastAsia="Times New Roman" w:hAnsi="Calibri" w:cs="Times New Roman"/>
                <w:color w:val="000000"/>
                <w:sz w:val="18"/>
                <w:szCs w:val="18"/>
                <w:lang w:val="es-SV" w:eastAsia="es-SV"/>
              </w:rPr>
              <w:t>modificación</w:t>
            </w:r>
            <w:r w:rsidRPr="00312362">
              <w:rPr>
                <w:rFonts w:ascii="Calibri" w:eastAsia="Times New Roman" w:hAnsi="Calibri" w:cs="Times New Roman"/>
                <w:color w:val="000000"/>
                <w:sz w:val="18"/>
                <w:szCs w:val="18"/>
                <w:lang w:val="es-SV" w:eastAsia="es-SV"/>
              </w:rPr>
              <w:t xml:space="preserve"> de la Ley del IVA</w:t>
            </w:r>
            <w:r w:rsidR="00E975E7">
              <w:rPr>
                <w:rFonts w:ascii="Calibri" w:eastAsia="Times New Roman" w:hAnsi="Calibri" w:cs="Times New Roman"/>
                <w:color w:val="000000"/>
                <w:sz w:val="18"/>
                <w:szCs w:val="18"/>
                <w:lang w:val="es-SV" w:eastAsia="es-SV"/>
              </w:rPr>
              <w:t xml:space="preserve"> y Ley de Almacenaje</w:t>
            </w:r>
          </w:p>
        </w:tc>
        <w:tc>
          <w:tcPr>
            <w:tcW w:w="239" w:type="pct"/>
            <w:shd w:val="clear" w:color="auto" w:fill="auto"/>
            <w:vAlign w:val="bottom"/>
          </w:tcPr>
          <w:p w14:paraId="652CE912" w14:textId="77777777" w:rsidR="00312362" w:rsidRDefault="00E975E7" w:rsidP="00E975E7">
            <w:pPr>
              <w:jc w:val="center"/>
              <w:rPr>
                <w:rFonts w:ascii="Calibri" w:hAnsi="Calibri"/>
                <w:color w:val="000000"/>
              </w:rPr>
            </w:pPr>
            <w:r>
              <w:rPr>
                <w:rFonts w:ascii="Calibri" w:hAnsi="Calibri"/>
                <w:color w:val="000000"/>
              </w:rPr>
              <w:t>X</w:t>
            </w:r>
          </w:p>
        </w:tc>
        <w:tc>
          <w:tcPr>
            <w:tcW w:w="219" w:type="pct"/>
            <w:shd w:val="clear" w:color="auto" w:fill="auto"/>
            <w:vAlign w:val="bottom"/>
          </w:tcPr>
          <w:p w14:paraId="06F63833" w14:textId="77777777" w:rsidR="00312362" w:rsidRDefault="00E975E7" w:rsidP="00E975E7">
            <w:pPr>
              <w:jc w:val="center"/>
              <w:rPr>
                <w:rFonts w:ascii="Calibri" w:hAnsi="Calibri"/>
                <w:color w:val="000000"/>
              </w:rPr>
            </w:pPr>
            <w:r>
              <w:rPr>
                <w:rFonts w:ascii="Calibri" w:hAnsi="Calibri"/>
                <w:color w:val="000000"/>
              </w:rPr>
              <w:t>X</w:t>
            </w:r>
          </w:p>
        </w:tc>
        <w:tc>
          <w:tcPr>
            <w:tcW w:w="274" w:type="pct"/>
            <w:shd w:val="clear" w:color="auto" w:fill="auto"/>
          </w:tcPr>
          <w:p w14:paraId="2ED6BC25" w14:textId="77777777" w:rsidR="00312362" w:rsidRPr="00047B1F" w:rsidRDefault="00E975E7" w:rsidP="00E975E7">
            <w:pPr>
              <w:spacing w:after="0" w:line="240" w:lineRule="auto"/>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74" w:type="pct"/>
            <w:shd w:val="clear" w:color="auto" w:fill="auto"/>
          </w:tcPr>
          <w:p w14:paraId="7EFC9315" w14:textId="77777777" w:rsidR="00312362" w:rsidRPr="00047B1F" w:rsidRDefault="00312362" w:rsidP="00D839D6">
            <w:pPr>
              <w:spacing w:after="0" w:line="240" w:lineRule="auto"/>
              <w:rPr>
                <w:rFonts w:ascii="Calibri" w:eastAsia="Times New Roman" w:hAnsi="Calibri" w:cs="Times New Roman"/>
                <w:color w:val="000000"/>
                <w:sz w:val="18"/>
                <w:szCs w:val="18"/>
                <w:lang w:val="es-SV" w:eastAsia="es-SV"/>
              </w:rPr>
            </w:pPr>
          </w:p>
        </w:tc>
        <w:tc>
          <w:tcPr>
            <w:tcW w:w="218" w:type="pct"/>
            <w:shd w:val="clear" w:color="auto" w:fill="auto"/>
            <w:vAlign w:val="bottom"/>
          </w:tcPr>
          <w:p w14:paraId="3AA37CF2" w14:textId="77777777" w:rsidR="00312362" w:rsidRPr="00047B1F" w:rsidRDefault="00312362" w:rsidP="00D839D6">
            <w:pPr>
              <w:spacing w:after="0" w:line="240" w:lineRule="auto"/>
              <w:rPr>
                <w:rFonts w:ascii="Calibri" w:eastAsia="Times New Roman" w:hAnsi="Calibri" w:cs="Times New Roman"/>
                <w:color w:val="000000"/>
                <w:sz w:val="18"/>
                <w:szCs w:val="18"/>
                <w:lang w:val="es-SV" w:eastAsia="es-SV"/>
              </w:rPr>
            </w:pPr>
          </w:p>
        </w:tc>
      </w:tr>
      <w:tr w:rsidR="00312362" w:rsidRPr="00047B1F" w14:paraId="2CE86E2B" w14:textId="77777777" w:rsidTr="003A2DD7">
        <w:trPr>
          <w:gridAfter w:val="1"/>
          <w:wAfter w:w="5" w:type="pct"/>
          <w:trHeight w:val="639"/>
        </w:trPr>
        <w:tc>
          <w:tcPr>
            <w:tcW w:w="3771" w:type="pct"/>
            <w:shd w:val="clear" w:color="auto" w:fill="auto"/>
          </w:tcPr>
          <w:p w14:paraId="08D5902A" w14:textId="77777777" w:rsidR="00312362" w:rsidRPr="00047B1F" w:rsidRDefault="00312362" w:rsidP="00D839D6">
            <w:pPr>
              <w:spacing w:after="0" w:line="240" w:lineRule="auto"/>
              <w:rPr>
                <w:rFonts w:ascii="Calibri" w:eastAsia="Times New Roman" w:hAnsi="Calibri" w:cs="Times New Roman"/>
                <w:color w:val="000000"/>
                <w:sz w:val="18"/>
                <w:szCs w:val="18"/>
                <w:lang w:val="es-SV" w:eastAsia="es-SV"/>
              </w:rPr>
            </w:pPr>
            <w:r w:rsidRPr="00312362">
              <w:rPr>
                <w:rFonts w:ascii="Calibri" w:eastAsia="Times New Roman" w:hAnsi="Calibri" w:cs="Times New Roman"/>
                <w:color w:val="000000"/>
                <w:sz w:val="18"/>
                <w:szCs w:val="18"/>
                <w:lang w:val="es-SV" w:eastAsia="es-SV"/>
              </w:rPr>
              <w:lastRenderedPageBreak/>
              <w:t xml:space="preserve">Promover la presentación de la propuesta de Reforma de la Ley del IVA  a la </w:t>
            </w:r>
            <w:r w:rsidR="003A2DD7" w:rsidRPr="00312362">
              <w:rPr>
                <w:rFonts w:ascii="Calibri" w:eastAsia="Times New Roman" w:hAnsi="Calibri" w:cs="Times New Roman"/>
                <w:color w:val="000000"/>
                <w:sz w:val="18"/>
                <w:szCs w:val="18"/>
                <w:lang w:val="es-SV" w:eastAsia="es-SV"/>
              </w:rPr>
              <w:t>Asamblea</w:t>
            </w:r>
            <w:r w:rsidRPr="00312362">
              <w:rPr>
                <w:rFonts w:ascii="Calibri" w:eastAsia="Times New Roman" w:hAnsi="Calibri" w:cs="Times New Roman"/>
                <w:color w:val="000000"/>
                <w:sz w:val="18"/>
                <w:szCs w:val="18"/>
                <w:lang w:val="es-SV" w:eastAsia="es-SV"/>
              </w:rPr>
              <w:t xml:space="preserve"> Legislativa y hacer cabildeo para su aprobación</w:t>
            </w:r>
          </w:p>
        </w:tc>
        <w:tc>
          <w:tcPr>
            <w:tcW w:w="239" w:type="pct"/>
            <w:shd w:val="clear" w:color="auto" w:fill="auto"/>
            <w:vAlign w:val="bottom"/>
          </w:tcPr>
          <w:p w14:paraId="040862AB" w14:textId="77777777" w:rsidR="00312362" w:rsidRDefault="00E975E7" w:rsidP="00E975E7">
            <w:pPr>
              <w:jc w:val="center"/>
              <w:rPr>
                <w:rFonts w:ascii="Calibri" w:hAnsi="Calibri"/>
                <w:color w:val="000000"/>
              </w:rPr>
            </w:pPr>
            <w:r>
              <w:rPr>
                <w:rFonts w:ascii="Calibri" w:hAnsi="Calibri"/>
                <w:color w:val="000000"/>
              </w:rPr>
              <w:t>X</w:t>
            </w:r>
          </w:p>
        </w:tc>
        <w:tc>
          <w:tcPr>
            <w:tcW w:w="219" w:type="pct"/>
            <w:shd w:val="clear" w:color="auto" w:fill="auto"/>
            <w:vAlign w:val="bottom"/>
          </w:tcPr>
          <w:p w14:paraId="50BDF191" w14:textId="77777777" w:rsidR="00312362" w:rsidRDefault="00E975E7" w:rsidP="00E975E7">
            <w:pPr>
              <w:jc w:val="center"/>
              <w:rPr>
                <w:rFonts w:ascii="Calibri" w:hAnsi="Calibri"/>
                <w:color w:val="000000"/>
              </w:rPr>
            </w:pPr>
            <w:r>
              <w:rPr>
                <w:rFonts w:ascii="Calibri" w:hAnsi="Calibri"/>
                <w:color w:val="000000"/>
              </w:rPr>
              <w:t>X</w:t>
            </w:r>
          </w:p>
        </w:tc>
        <w:tc>
          <w:tcPr>
            <w:tcW w:w="274" w:type="pct"/>
            <w:shd w:val="clear" w:color="auto" w:fill="auto"/>
          </w:tcPr>
          <w:p w14:paraId="21E93167" w14:textId="77777777" w:rsidR="00312362" w:rsidRPr="00047B1F" w:rsidRDefault="00312362" w:rsidP="00E975E7">
            <w:pPr>
              <w:spacing w:after="0" w:line="240" w:lineRule="auto"/>
              <w:jc w:val="center"/>
              <w:rPr>
                <w:rFonts w:ascii="Calibri" w:eastAsia="Times New Roman" w:hAnsi="Calibri" w:cs="Times New Roman"/>
                <w:color w:val="000000"/>
                <w:sz w:val="18"/>
                <w:szCs w:val="18"/>
                <w:lang w:val="es-SV" w:eastAsia="es-SV"/>
              </w:rPr>
            </w:pPr>
          </w:p>
        </w:tc>
        <w:tc>
          <w:tcPr>
            <w:tcW w:w="274" w:type="pct"/>
            <w:shd w:val="clear" w:color="auto" w:fill="auto"/>
          </w:tcPr>
          <w:p w14:paraId="0A18FB36" w14:textId="77777777" w:rsidR="00312362" w:rsidRPr="00047B1F" w:rsidRDefault="00312362" w:rsidP="00D839D6">
            <w:pPr>
              <w:spacing w:after="0" w:line="240" w:lineRule="auto"/>
              <w:rPr>
                <w:rFonts w:ascii="Calibri" w:eastAsia="Times New Roman" w:hAnsi="Calibri" w:cs="Times New Roman"/>
                <w:color w:val="000000"/>
                <w:sz w:val="18"/>
                <w:szCs w:val="18"/>
                <w:lang w:val="es-SV" w:eastAsia="es-SV"/>
              </w:rPr>
            </w:pPr>
          </w:p>
        </w:tc>
        <w:tc>
          <w:tcPr>
            <w:tcW w:w="218" w:type="pct"/>
            <w:shd w:val="clear" w:color="auto" w:fill="auto"/>
            <w:vAlign w:val="bottom"/>
          </w:tcPr>
          <w:p w14:paraId="7B6A0255" w14:textId="77777777" w:rsidR="00312362" w:rsidRPr="00047B1F" w:rsidRDefault="00312362" w:rsidP="00D839D6">
            <w:pPr>
              <w:spacing w:after="0" w:line="240" w:lineRule="auto"/>
              <w:rPr>
                <w:rFonts w:ascii="Calibri" w:eastAsia="Times New Roman" w:hAnsi="Calibri" w:cs="Times New Roman"/>
                <w:color w:val="000000"/>
                <w:sz w:val="18"/>
                <w:szCs w:val="18"/>
                <w:lang w:val="es-SV" w:eastAsia="es-SV"/>
              </w:rPr>
            </w:pPr>
          </w:p>
        </w:tc>
      </w:tr>
      <w:tr w:rsidR="00641607" w:rsidRPr="00047B1F" w14:paraId="32C68DCD" w14:textId="77777777" w:rsidTr="003A2DD7">
        <w:trPr>
          <w:gridAfter w:val="1"/>
          <w:wAfter w:w="5" w:type="pct"/>
          <w:trHeight w:val="639"/>
        </w:trPr>
        <w:tc>
          <w:tcPr>
            <w:tcW w:w="3771" w:type="pct"/>
            <w:shd w:val="clear" w:color="auto" w:fill="auto"/>
          </w:tcPr>
          <w:p w14:paraId="6BD721B0" w14:textId="77777777" w:rsidR="00641607" w:rsidRPr="00312362" w:rsidRDefault="00641607" w:rsidP="00641607">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 xml:space="preserve">Presentar la propuesta </w:t>
            </w:r>
            <w:r w:rsidRPr="00047B1F">
              <w:rPr>
                <w:rFonts w:ascii="Calibri" w:eastAsia="Times New Roman" w:hAnsi="Calibri" w:cs="Times New Roman"/>
                <w:color w:val="000000"/>
                <w:sz w:val="18"/>
                <w:szCs w:val="18"/>
                <w:lang w:val="es-SV" w:eastAsia="es-SV"/>
              </w:rPr>
              <w:t>Reforma a la Asamblea Legislativa y hacer cabildeo para su aprobación</w:t>
            </w:r>
          </w:p>
        </w:tc>
        <w:tc>
          <w:tcPr>
            <w:tcW w:w="239" w:type="pct"/>
            <w:shd w:val="clear" w:color="auto" w:fill="auto"/>
            <w:vAlign w:val="bottom"/>
          </w:tcPr>
          <w:p w14:paraId="37345460" w14:textId="77777777" w:rsidR="00641607" w:rsidRDefault="00641607" w:rsidP="00641607">
            <w:pPr>
              <w:jc w:val="center"/>
              <w:rPr>
                <w:rFonts w:ascii="Calibri" w:hAnsi="Calibri"/>
                <w:color w:val="000000"/>
              </w:rPr>
            </w:pPr>
            <w:r>
              <w:rPr>
                <w:rFonts w:ascii="Calibri" w:hAnsi="Calibri"/>
                <w:color w:val="000000"/>
              </w:rPr>
              <w:t>X</w:t>
            </w:r>
          </w:p>
        </w:tc>
        <w:tc>
          <w:tcPr>
            <w:tcW w:w="219" w:type="pct"/>
            <w:shd w:val="clear" w:color="auto" w:fill="auto"/>
            <w:vAlign w:val="bottom"/>
          </w:tcPr>
          <w:p w14:paraId="6D95AF07" w14:textId="77777777" w:rsidR="00641607" w:rsidRDefault="00641607" w:rsidP="00641607">
            <w:pPr>
              <w:jc w:val="center"/>
              <w:rPr>
                <w:rFonts w:ascii="Calibri" w:hAnsi="Calibri"/>
                <w:color w:val="000000"/>
              </w:rPr>
            </w:pPr>
            <w:r>
              <w:rPr>
                <w:rFonts w:ascii="Calibri" w:hAnsi="Calibri"/>
                <w:color w:val="000000"/>
              </w:rPr>
              <w:t>X</w:t>
            </w:r>
          </w:p>
        </w:tc>
        <w:tc>
          <w:tcPr>
            <w:tcW w:w="274" w:type="pct"/>
            <w:shd w:val="clear" w:color="auto" w:fill="auto"/>
          </w:tcPr>
          <w:p w14:paraId="22689CAD" w14:textId="77777777" w:rsidR="00641607" w:rsidRPr="00047B1F" w:rsidRDefault="00641607" w:rsidP="00641607">
            <w:pPr>
              <w:spacing w:after="0" w:line="240" w:lineRule="auto"/>
              <w:jc w:val="center"/>
              <w:rPr>
                <w:rFonts w:ascii="Calibri" w:eastAsia="Times New Roman" w:hAnsi="Calibri" w:cs="Times New Roman"/>
                <w:color w:val="000000"/>
                <w:sz w:val="18"/>
                <w:szCs w:val="18"/>
                <w:lang w:val="es-SV" w:eastAsia="es-SV"/>
              </w:rPr>
            </w:pPr>
          </w:p>
        </w:tc>
        <w:tc>
          <w:tcPr>
            <w:tcW w:w="274" w:type="pct"/>
            <w:shd w:val="clear" w:color="auto" w:fill="auto"/>
          </w:tcPr>
          <w:p w14:paraId="224F5983" w14:textId="77777777" w:rsidR="00641607" w:rsidRPr="00047B1F" w:rsidRDefault="00641607" w:rsidP="00641607">
            <w:pPr>
              <w:spacing w:after="0" w:line="240" w:lineRule="auto"/>
              <w:rPr>
                <w:rFonts w:ascii="Calibri" w:eastAsia="Times New Roman" w:hAnsi="Calibri" w:cs="Times New Roman"/>
                <w:color w:val="000000"/>
                <w:sz w:val="18"/>
                <w:szCs w:val="18"/>
                <w:lang w:val="es-SV" w:eastAsia="es-SV"/>
              </w:rPr>
            </w:pPr>
          </w:p>
        </w:tc>
        <w:tc>
          <w:tcPr>
            <w:tcW w:w="218" w:type="pct"/>
            <w:shd w:val="clear" w:color="auto" w:fill="auto"/>
            <w:vAlign w:val="bottom"/>
          </w:tcPr>
          <w:p w14:paraId="5929C710" w14:textId="77777777" w:rsidR="00641607" w:rsidRPr="00047B1F" w:rsidRDefault="00641607" w:rsidP="00641607">
            <w:pPr>
              <w:spacing w:after="0" w:line="240" w:lineRule="auto"/>
              <w:rPr>
                <w:rFonts w:ascii="Calibri" w:eastAsia="Times New Roman" w:hAnsi="Calibri" w:cs="Times New Roman"/>
                <w:color w:val="000000"/>
                <w:sz w:val="18"/>
                <w:szCs w:val="18"/>
                <w:lang w:val="es-SV" w:eastAsia="es-SV"/>
              </w:rPr>
            </w:pPr>
          </w:p>
        </w:tc>
      </w:tr>
      <w:tr w:rsidR="00312362" w:rsidRPr="00047B1F" w14:paraId="2C1574E0" w14:textId="77777777" w:rsidTr="003A2DD7">
        <w:trPr>
          <w:gridAfter w:val="1"/>
          <w:wAfter w:w="5" w:type="pct"/>
          <w:trHeight w:val="420"/>
        </w:trPr>
        <w:tc>
          <w:tcPr>
            <w:tcW w:w="3771" w:type="pct"/>
            <w:shd w:val="clear" w:color="auto" w:fill="auto"/>
          </w:tcPr>
          <w:p w14:paraId="063AB4E9" w14:textId="77777777" w:rsidR="00312362" w:rsidRPr="00047B1F" w:rsidRDefault="00312362" w:rsidP="00D839D6">
            <w:pPr>
              <w:spacing w:after="0" w:line="240" w:lineRule="auto"/>
              <w:rPr>
                <w:rFonts w:ascii="Calibri" w:eastAsia="Times New Roman" w:hAnsi="Calibri" w:cs="Times New Roman"/>
                <w:color w:val="000000"/>
                <w:sz w:val="18"/>
                <w:szCs w:val="18"/>
                <w:lang w:val="es-SV" w:eastAsia="es-SV"/>
              </w:rPr>
            </w:pPr>
            <w:r w:rsidRPr="00312362">
              <w:rPr>
                <w:rFonts w:ascii="Calibri" w:eastAsia="Times New Roman" w:hAnsi="Calibri" w:cs="Times New Roman"/>
                <w:color w:val="000000"/>
                <w:sz w:val="18"/>
                <w:szCs w:val="18"/>
                <w:lang w:val="es-SV" w:eastAsia="es-SV"/>
              </w:rPr>
              <w:t>Cabildeo para la aprobación de la Ley del IVA en la Asamblea Legislativa</w:t>
            </w:r>
          </w:p>
        </w:tc>
        <w:tc>
          <w:tcPr>
            <w:tcW w:w="239" w:type="pct"/>
            <w:shd w:val="clear" w:color="auto" w:fill="auto"/>
            <w:vAlign w:val="bottom"/>
          </w:tcPr>
          <w:p w14:paraId="153B1468" w14:textId="77777777" w:rsidR="00312362" w:rsidRDefault="00E975E7" w:rsidP="00E975E7">
            <w:pPr>
              <w:jc w:val="center"/>
              <w:rPr>
                <w:rFonts w:ascii="Calibri" w:hAnsi="Calibri"/>
                <w:color w:val="000000"/>
              </w:rPr>
            </w:pPr>
            <w:r>
              <w:rPr>
                <w:rFonts w:ascii="Calibri" w:hAnsi="Calibri"/>
                <w:color w:val="000000"/>
              </w:rPr>
              <w:t>X</w:t>
            </w:r>
          </w:p>
        </w:tc>
        <w:tc>
          <w:tcPr>
            <w:tcW w:w="219" w:type="pct"/>
            <w:shd w:val="clear" w:color="auto" w:fill="auto"/>
            <w:vAlign w:val="bottom"/>
          </w:tcPr>
          <w:p w14:paraId="168A9162" w14:textId="77777777" w:rsidR="00312362" w:rsidRDefault="00E975E7" w:rsidP="00E975E7">
            <w:pPr>
              <w:jc w:val="center"/>
              <w:rPr>
                <w:rFonts w:ascii="Calibri" w:hAnsi="Calibri"/>
                <w:color w:val="000000"/>
              </w:rPr>
            </w:pPr>
            <w:r>
              <w:rPr>
                <w:rFonts w:ascii="Calibri" w:hAnsi="Calibri"/>
                <w:color w:val="000000"/>
              </w:rPr>
              <w:t>X</w:t>
            </w:r>
          </w:p>
        </w:tc>
        <w:tc>
          <w:tcPr>
            <w:tcW w:w="274" w:type="pct"/>
            <w:shd w:val="clear" w:color="auto" w:fill="auto"/>
          </w:tcPr>
          <w:p w14:paraId="5CF80789" w14:textId="77777777" w:rsidR="00312362" w:rsidRPr="00047B1F" w:rsidRDefault="00E975E7" w:rsidP="00E975E7">
            <w:pPr>
              <w:spacing w:after="0" w:line="240" w:lineRule="auto"/>
              <w:jc w:val="center"/>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X</w:t>
            </w:r>
          </w:p>
        </w:tc>
        <w:tc>
          <w:tcPr>
            <w:tcW w:w="274" w:type="pct"/>
            <w:shd w:val="clear" w:color="auto" w:fill="auto"/>
          </w:tcPr>
          <w:p w14:paraId="3245EFAF" w14:textId="77777777" w:rsidR="00312362" w:rsidRPr="00047B1F" w:rsidRDefault="00312362" w:rsidP="00D839D6">
            <w:pPr>
              <w:spacing w:after="0" w:line="240" w:lineRule="auto"/>
              <w:rPr>
                <w:rFonts w:ascii="Calibri" w:eastAsia="Times New Roman" w:hAnsi="Calibri" w:cs="Times New Roman"/>
                <w:color w:val="000000"/>
                <w:sz w:val="18"/>
                <w:szCs w:val="18"/>
                <w:lang w:val="es-SV" w:eastAsia="es-SV"/>
              </w:rPr>
            </w:pPr>
          </w:p>
        </w:tc>
        <w:tc>
          <w:tcPr>
            <w:tcW w:w="218" w:type="pct"/>
            <w:shd w:val="clear" w:color="auto" w:fill="auto"/>
            <w:vAlign w:val="bottom"/>
          </w:tcPr>
          <w:p w14:paraId="4008C90B" w14:textId="77777777" w:rsidR="00312362" w:rsidRPr="00047B1F" w:rsidRDefault="00312362" w:rsidP="00D839D6">
            <w:pPr>
              <w:spacing w:after="0" w:line="240" w:lineRule="auto"/>
              <w:rPr>
                <w:rFonts w:ascii="Calibri" w:eastAsia="Times New Roman" w:hAnsi="Calibri" w:cs="Times New Roman"/>
                <w:color w:val="000000"/>
                <w:sz w:val="18"/>
                <w:szCs w:val="18"/>
                <w:lang w:val="es-SV" w:eastAsia="es-SV"/>
              </w:rPr>
            </w:pPr>
          </w:p>
        </w:tc>
      </w:tr>
    </w:tbl>
    <w:p w14:paraId="4E3192F6" w14:textId="77777777" w:rsidR="00032AB4" w:rsidRDefault="00032AB4"/>
    <w:p w14:paraId="5EDFBC2F" w14:textId="77777777" w:rsidR="004F3984" w:rsidRDefault="004F3984"/>
    <w:p w14:paraId="48434897" w14:textId="77777777" w:rsidR="004F3984" w:rsidRDefault="002E37AF" w:rsidP="008131CF">
      <w:pPr>
        <w:pStyle w:val="Ttulo3"/>
      </w:pPr>
      <w:bookmarkStart w:id="26" w:name="_Toc15275142"/>
      <w:r w:rsidRPr="008D5BA7">
        <w:t>3.5.3</w:t>
      </w:r>
      <w:r w:rsidR="004F3984" w:rsidRPr="008D5BA7">
        <w:t xml:space="preserve"> </w:t>
      </w:r>
      <w:r w:rsidRPr="008D5BA7">
        <w:t>Ámbito político</w:t>
      </w:r>
      <w:r w:rsidR="0054218B">
        <w:t>-</w:t>
      </w:r>
      <w:r w:rsidRPr="008D5BA7">
        <w:t>normativo</w:t>
      </w:r>
      <w:bookmarkEnd w:id="26"/>
    </w:p>
    <w:p w14:paraId="5844A9D0" w14:textId="77777777" w:rsidR="002E37AF" w:rsidRPr="002E37AF" w:rsidRDefault="002E37AF" w:rsidP="002E37AF"/>
    <w:tbl>
      <w:tblPr>
        <w:tblW w:w="5000" w:type="pct"/>
        <w:tblCellMar>
          <w:left w:w="70" w:type="dxa"/>
          <w:right w:w="70" w:type="dxa"/>
        </w:tblCellMar>
        <w:tblLook w:val="04A0" w:firstRow="1" w:lastRow="0" w:firstColumn="1" w:lastColumn="0" w:noHBand="0" w:noVBand="1"/>
      </w:tblPr>
      <w:tblGrid>
        <w:gridCol w:w="3062"/>
        <w:gridCol w:w="2596"/>
        <w:gridCol w:w="1840"/>
        <w:gridCol w:w="1835"/>
        <w:gridCol w:w="1824"/>
        <w:gridCol w:w="1837"/>
      </w:tblGrid>
      <w:tr w:rsidR="00032AB4" w:rsidRPr="0077324A" w14:paraId="7BF256E6" w14:textId="77777777" w:rsidTr="003A2DD7">
        <w:trPr>
          <w:trHeight w:val="561"/>
        </w:trPr>
        <w:tc>
          <w:tcPr>
            <w:tcW w:w="1178"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D336C0C" w14:textId="77777777" w:rsidR="00032AB4" w:rsidRPr="003A2DD7" w:rsidRDefault="00032AB4" w:rsidP="00032AB4">
            <w:pPr>
              <w:rPr>
                <w:rFonts w:ascii="Calibri" w:eastAsia="Times New Roman" w:hAnsi="Calibri" w:cs="Times New Roman"/>
                <w:b/>
                <w:bCs/>
                <w:color w:val="000000"/>
                <w:sz w:val="16"/>
                <w:szCs w:val="16"/>
                <w:lang w:val="es-SV" w:eastAsia="es-SV"/>
              </w:rPr>
            </w:pPr>
            <w:r w:rsidRPr="003A2DD7">
              <w:rPr>
                <w:rFonts w:ascii="Calibri" w:eastAsia="Times New Roman" w:hAnsi="Calibri" w:cs="Times New Roman"/>
                <w:b/>
                <w:bCs/>
                <w:color w:val="000000"/>
                <w:sz w:val="16"/>
                <w:szCs w:val="16"/>
                <w:lang w:val="es-SV" w:eastAsia="es-SV"/>
              </w:rPr>
              <w:t xml:space="preserve">Líneas de acción de la estrategia </w:t>
            </w:r>
          </w:p>
        </w:tc>
        <w:tc>
          <w:tcPr>
            <w:tcW w:w="999"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8C5003F" w14:textId="77777777" w:rsidR="00032AB4" w:rsidRPr="003A2DD7" w:rsidRDefault="00032AB4" w:rsidP="00032AB4">
            <w:pPr>
              <w:rPr>
                <w:rFonts w:ascii="Calibri" w:eastAsia="Times New Roman" w:hAnsi="Calibri" w:cs="Times New Roman"/>
                <w:b/>
                <w:color w:val="000000"/>
                <w:sz w:val="18"/>
                <w:szCs w:val="18"/>
                <w:lang w:val="es-SV" w:eastAsia="es-SV"/>
              </w:rPr>
            </w:pPr>
            <w:r w:rsidRPr="003A2DD7">
              <w:rPr>
                <w:rFonts w:ascii="Calibri" w:eastAsia="Times New Roman" w:hAnsi="Calibri" w:cs="Times New Roman"/>
                <w:b/>
                <w:color w:val="000000"/>
                <w:sz w:val="18"/>
                <w:szCs w:val="18"/>
                <w:lang w:val="es-SV" w:eastAsia="es-SV"/>
              </w:rPr>
              <w:t>Situación actual</w:t>
            </w:r>
          </w:p>
          <w:p w14:paraId="58A73C57" w14:textId="77777777" w:rsidR="00032AB4" w:rsidRPr="003A2DD7" w:rsidRDefault="00032AB4" w:rsidP="00312362">
            <w:pPr>
              <w:rPr>
                <w:rFonts w:ascii="Calibri" w:eastAsia="Times New Roman" w:hAnsi="Calibri" w:cs="Times New Roman"/>
                <w:b/>
                <w:color w:val="000000"/>
                <w:sz w:val="18"/>
                <w:szCs w:val="18"/>
                <w:lang w:val="es-SV" w:eastAsia="es-SV"/>
              </w:rPr>
            </w:pPr>
          </w:p>
        </w:tc>
        <w:tc>
          <w:tcPr>
            <w:tcW w:w="708"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2C2AC13" w14:textId="77777777" w:rsidR="00032AB4" w:rsidRPr="003A2DD7" w:rsidRDefault="00032AB4" w:rsidP="00032AB4">
            <w:pPr>
              <w:rPr>
                <w:rFonts w:ascii="Calibri" w:eastAsia="Times New Roman" w:hAnsi="Calibri" w:cs="Times New Roman"/>
                <w:b/>
                <w:color w:val="000000"/>
                <w:sz w:val="18"/>
                <w:szCs w:val="18"/>
                <w:lang w:val="es-SV" w:eastAsia="es-SV"/>
              </w:rPr>
            </w:pPr>
            <w:r w:rsidRPr="003A2DD7">
              <w:rPr>
                <w:rFonts w:ascii="Calibri" w:eastAsia="Times New Roman" w:hAnsi="Calibri" w:cs="Times New Roman"/>
                <w:b/>
                <w:color w:val="000000"/>
                <w:sz w:val="18"/>
                <w:szCs w:val="18"/>
                <w:lang w:val="es-SV" w:eastAsia="es-SV"/>
              </w:rPr>
              <w:t xml:space="preserve">Oportunidades </w:t>
            </w:r>
          </w:p>
          <w:p w14:paraId="21501FE8" w14:textId="77777777" w:rsidR="00032AB4" w:rsidRPr="003A2DD7" w:rsidRDefault="00032AB4" w:rsidP="00032AB4">
            <w:pPr>
              <w:spacing w:after="0" w:line="240" w:lineRule="auto"/>
              <w:rPr>
                <w:rFonts w:ascii="Calibri" w:eastAsia="Times New Roman" w:hAnsi="Calibri" w:cs="Times New Roman"/>
                <w:b/>
                <w:color w:val="000000"/>
                <w:sz w:val="18"/>
                <w:szCs w:val="18"/>
                <w:lang w:val="es-SV" w:eastAsia="es-SV"/>
              </w:rPr>
            </w:pPr>
            <w:r w:rsidRPr="003A2DD7">
              <w:rPr>
                <w:rFonts w:ascii="Calibri" w:eastAsia="Times New Roman" w:hAnsi="Calibri" w:cs="Times New Roman"/>
                <w:b/>
                <w:color w:val="000000"/>
                <w:sz w:val="18"/>
                <w:szCs w:val="18"/>
                <w:lang w:val="es-SV" w:eastAsia="es-SV"/>
              </w:rPr>
              <w:t> </w:t>
            </w:r>
          </w:p>
        </w:tc>
        <w:tc>
          <w:tcPr>
            <w:tcW w:w="706"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9E4DA4E" w14:textId="77777777" w:rsidR="00032AB4" w:rsidRPr="003A2DD7" w:rsidRDefault="00032AB4" w:rsidP="00032AB4">
            <w:pPr>
              <w:rPr>
                <w:rFonts w:ascii="Calibri" w:eastAsia="Times New Roman" w:hAnsi="Calibri" w:cs="Times New Roman"/>
                <w:b/>
                <w:color w:val="000000"/>
                <w:sz w:val="18"/>
                <w:szCs w:val="18"/>
                <w:lang w:val="es-SV" w:eastAsia="es-SV"/>
              </w:rPr>
            </w:pPr>
            <w:r w:rsidRPr="003A2DD7">
              <w:rPr>
                <w:rFonts w:ascii="Calibri" w:eastAsia="Times New Roman" w:hAnsi="Calibri" w:cs="Times New Roman"/>
                <w:b/>
                <w:color w:val="000000"/>
                <w:sz w:val="18"/>
                <w:szCs w:val="18"/>
                <w:lang w:val="es-SV" w:eastAsia="es-SV"/>
              </w:rPr>
              <w:t>Desafíos</w:t>
            </w:r>
          </w:p>
        </w:tc>
        <w:tc>
          <w:tcPr>
            <w:tcW w:w="702"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B979FB3" w14:textId="77777777" w:rsidR="00032AB4" w:rsidRPr="003A2DD7" w:rsidRDefault="00032AB4" w:rsidP="00032AB4">
            <w:pPr>
              <w:rPr>
                <w:rFonts w:ascii="Calibri" w:eastAsia="Times New Roman" w:hAnsi="Calibri" w:cs="Times New Roman"/>
                <w:b/>
                <w:color w:val="000000"/>
                <w:sz w:val="18"/>
                <w:szCs w:val="18"/>
                <w:lang w:val="es-SV" w:eastAsia="es-SV"/>
              </w:rPr>
            </w:pPr>
            <w:r w:rsidRPr="003A2DD7">
              <w:rPr>
                <w:rFonts w:ascii="Calibri" w:eastAsia="Times New Roman" w:hAnsi="Calibri" w:cs="Times New Roman"/>
                <w:b/>
                <w:color w:val="000000"/>
                <w:sz w:val="18"/>
                <w:szCs w:val="18"/>
                <w:lang w:val="es-SV" w:eastAsia="es-SV"/>
              </w:rPr>
              <w:t xml:space="preserve"> Meta (en base a brechas y prioridades) </w:t>
            </w:r>
          </w:p>
        </w:tc>
        <w:tc>
          <w:tcPr>
            <w:tcW w:w="70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02D68D2B" w14:textId="77777777" w:rsidR="00032AB4" w:rsidRPr="003A2DD7" w:rsidRDefault="00032AB4" w:rsidP="00032AB4">
            <w:pPr>
              <w:rPr>
                <w:rFonts w:ascii="Calibri" w:eastAsia="Times New Roman" w:hAnsi="Calibri" w:cs="Times New Roman"/>
                <w:b/>
                <w:color w:val="000000"/>
                <w:sz w:val="18"/>
                <w:szCs w:val="18"/>
                <w:lang w:val="es-SV" w:eastAsia="es-SV"/>
              </w:rPr>
            </w:pPr>
            <w:r w:rsidRPr="003A2DD7">
              <w:rPr>
                <w:rFonts w:ascii="Calibri" w:eastAsia="Times New Roman" w:hAnsi="Calibri" w:cs="Times New Roman"/>
                <w:b/>
                <w:color w:val="000000"/>
                <w:sz w:val="18"/>
                <w:szCs w:val="18"/>
                <w:lang w:val="es-SV" w:eastAsia="es-SV"/>
              </w:rPr>
              <w:t>Responsables de actividades</w:t>
            </w:r>
          </w:p>
        </w:tc>
      </w:tr>
      <w:tr w:rsidR="00047B1F" w:rsidRPr="00047B1F" w14:paraId="0A892338" w14:textId="77777777" w:rsidTr="00D3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5"/>
        </w:trPr>
        <w:tc>
          <w:tcPr>
            <w:tcW w:w="1178" w:type="pct"/>
            <w:shd w:val="clear" w:color="auto" w:fill="auto"/>
            <w:hideMark/>
          </w:tcPr>
          <w:p w14:paraId="1AFCC32D" w14:textId="77777777" w:rsidR="00047B1F" w:rsidRPr="00D325CA" w:rsidRDefault="00047B1F" w:rsidP="00047B1F">
            <w:pPr>
              <w:spacing w:after="0" w:line="240" w:lineRule="auto"/>
              <w:rPr>
                <w:rFonts w:ascii="Calibri" w:eastAsia="Times New Roman" w:hAnsi="Calibri" w:cs="Times New Roman"/>
                <w:b/>
                <w:bCs/>
                <w:color w:val="000000"/>
                <w:sz w:val="16"/>
                <w:szCs w:val="16"/>
                <w:lang w:val="es-SV" w:eastAsia="es-SV"/>
              </w:rPr>
            </w:pPr>
            <w:r w:rsidRPr="00D325CA">
              <w:rPr>
                <w:rFonts w:ascii="Calibri" w:eastAsia="Times New Roman" w:hAnsi="Calibri" w:cs="Times New Roman"/>
                <w:b/>
                <w:bCs/>
                <w:color w:val="000000"/>
                <w:sz w:val="16"/>
                <w:szCs w:val="16"/>
                <w:lang w:val="es-SV" w:eastAsia="es-SV"/>
              </w:rPr>
              <w:t xml:space="preserve">7. Reducción del estigma y </w:t>
            </w:r>
            <w:r w:rsidR="00E975E7" w:rsidRPr="00D325CA">
              <w:rPr>
                <w:rFonts w:ascii="Calibri" w:eastAsia="Times New Roman" w:hAnsi="Calibri" w:cs="Times New Roman"/>
                <w:b/>
                <w:bCs/>
                <w:color w:val="000000"/>
                <w:sz w:val="16"/>
                <w:szCs w:val="16"/>
                <w:lang w:val="es-SV" w:eastAsia="es-SV"/>
              </w:rPr>
              <w:t>discriminación</w:t>
            </w:r>
            <w:r w:rsidRPr="00D325CA">
              <w:rPr>
                <w:rFonts w:ascii="Calibri" w:eastAsia="Times New Roman" w:hAnsi="Calibri" w:cs="Times New Roman"/>
                <w:b/>
                <w:bCs/>
                <w:color w:val="000000"/>
                <w:sz w:val="16"/>
                <w:szCs w:val="16"/>
                <w:lang w:val="es-SV" w:eastAsia="es-SV"/>
              </w:rPr>
              <w:t xml:space="preserve"> hacia poblaciones clave mediante el fortalecimiento del marco protector de políticas y su implementación, con el fin de eliminar barreras para que las poblaciones clave busquen y accedan a servicios oportunos y efectivos de prevención y atención en VIH</w:t>
            </w:r>
          </w:p>
        </w:tc>
        <w:tc>
          <w:tcPr>
            <w:tcW w:w="999" w:type="pct"/>
            <w:shd w:val="clear" w:color="auto" w:fill="auto"/>
            <w:hideMark/>
          </w:tcPr>
          <w:p w14:paraId="6DD84513" w14:textId="77777777" w:rsidR="00047B1F" w:rsidRPr="00047B1F" w:rsidRDefault="00E975E7" w:rsidP="00047B1F">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Alto grad</w:t>
            </w:r>
            <w:r w:rsidR="00047B1F" w:rsidRPr="00047B1F">
              <w:rPr>
                <w:rFonts w:ascii="Calibri" w:eastAsia="Times New Roman" w:hAnsi="Calibri" w:cs="Times New Roman"/>
                <w:color w:val="000000"/>
                <w:sz w:val="18"/>
                <w:szCs w:val="18"/>
                <w:lang w:val="es-SV" w:eastAsia="es-SV"/>
              </w:rPr>
              <w:t>o de estigma y discrimina</w:t>
            </w:r>
            <w:r w:rsidR="004E2BD2">
              <w:rPr>
                <w:rFonts w:ascii="Calibri" w:eastAsia="Times New Roman" w:hAnsi="Calibri" w:cs="Times New Roman"/>
                <w:color w:val="000000"/>
                <w:sz w:val="18"/>
                <w:szCs w:val="18"/>
                <w:lang w:val="es-SV" w:eastAsia="es-SV"/>
              </w:rPr>
              <w:t xml:space="preserve">ción dirigida a población clave. </w:t>
            </w:r>
            <w:r w:rsidR="004E2BD2">
              <w:rPr>
                <w:rStyle w:val="Refdenotaalpie"/>
                <w:rFonts w:ascii="Calibri" w:eastAsia="Times New Roman" w:hAnsi="Calibri" w:cs="Times New Roman"/>
                <w:color w:val="000000"/>
                <w:sz w:val="18"/>
                <w:szCs w:val="18"/>
                <w:lang w:val="es-SV" w:eastAsia="es-SV"/>
              </w:rPr>
              <w:footnoteReference w:id="2"/>
            </w:r>
          </w:p>
        </w:tc>
        <w:tc>
          <w:tcPr>
            <w:tcW w:w="708" w:type="pct"/>
            <w:shd w:val="clear" w:color="auto" w:fill="auto"/>
            <w:hideMark/>
          </w:tcPr>
          <w:p w14:paraId="1CDEDECB"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r w:rsidR="004E2BD2">
              <w:rPr>
                <w:rFonts w:ascii="Calibri" w:eastAsia="Times New Roman" w:hAnsi="Calibri" w:cs="Times New Roman"/>
                <w:color w:val="000000"/>
                <w:sz w:val="18"/>
                <w:szCs w:val="18"/>
                <w:lang w:val="es-SV" w:eastAsia="es-SV"/>
              </w:rPr>
              <w:t>Existen normativas, lineamientos de atención para poblaciones clave como: Los Lineamientos LGBTI del MINSAL, Guía de Atención de Personas con VIH, Decreto Ejecutivo 56, entre otros.</w:t>
            </w:r>
          </w:p>
        </w:tc>
        <w:tc>
          <w:tcPr>
            <w:tcW w:w="706" w:type="pct"/>
            <w:shd w:val="clear" w:color="auto" w:fill="auto"/>
            <w:hideMark/>
          </w:tcPr>
          <w:p w14:paraId="2D15D303" w14:textId="77777777" w:rsidR="00047B1F" w:rsidRPr="00047B1F" w:rsidRDefault="004E2BD2" w:rsidP="00047B1F">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Aplicación de las normativas  existentes por el personal de salud y servidores públicos.</w:t>
            </w:r>
          </w:p>
        </w:tc>
        <w:tc>
          <w:tcPr>
            <w:tcW w:w="702" w:type="pct"/>
            <w:shd w:val="clear" w:color="auto" w:fill="auto"/>
            <w:hideMark/>
          </w:tcPr>
          <w:p w14:paraId="394CD595" w14:textId="77777777" w:rsidR="00047B1F" w:rsidRPr="00047B1F" w:rsidRDefault="00991317" w:rsidP="00D81195">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Índice de Estigma y Discriminaci</w:t>
            </w:r>
            <w:r w:rsidR="009D63CF">
              <w:rPr>
                <w:rFonts w:ascii="Calibri" w:eastAsia="Times New Roman" w:hAnsi="Calibri" w:cs="Times New Roman"/>
                <w:color w:val="000000"/>
                <w:sz w:val="18"/>
                <w:szCs w:val="18"/>
                <w:lang w:val="es-SV" w:eastAsia="es-SV"/>
              </w:rPr>
              <w:t>ón del personal p</w:t>
            </w:r>
            <w:r w:rsidR="00D81195">
              <w:rPr>
                <w:rFonts w:ascii="Calibri" w:eastAsia="Times New Roman" w:hAnsi="Calibri" w:cs="Times New Roman"/>
                <w:color w:val="000000"/>
                <w:sz w:val="18"/>
                <w:szCs w:val="18"/>
                <w:lang w:val="es-SV" w:eastAsia="es-SV"/>
              </w:rPr>
              <w:t>úblico por encima del 90%.</w:t>
            </w:r>
          </w:p>
        </w:tc>
        <w:tc>
          <w:tcPr>
            <w:tcW w:w="707" w:type="pct"/>
            <w:shd w:val="clear" w:color="auto" w:fill="auto"/>
            <w:vAlign w:val="bottom"/>
            <w:hideMark/>
          </w:tcPr>
          <w:p w14:paraId="53AA9782" w14:textId="77777777" w:rsidR="00E975E7" w:rsidRDefault="004E2BD2" w:rsidP="00E975E7">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 xml:space="preserve">PDDH, SIS, </w:t>
            </w:r>
            <w:r w:rsidR="00E975E7">
              <w:rPr>
                <w:rFonts w:ascii="Calibri" w:eastAsia="Times New Roman" w:hAnsi="Calibri" w:cs="Times New Roman"/>
                <w:color w:val="000000"/>
                <w:sz w:val="18"/>
                <w:szCs w:val="18"/>
                <w:lang w:val="es-SV" w:eastAsia="es-SV"/>
              </w:rPr>
              <w:t>REDCA</w:t>
            </w:r>
            <w:r w:rsidR="00E975E7" w:rsidRPr="00047B1F">
              <w:rPr>
                <w:rFonts w:ascii="Calibri" w:eastAsia="Times New Roman" w:hAnsi="Calibri" w:cs="Times New Roman"/>
                <w:color w:val="000000"/>
                <w:sz w:val="18"/>
                <w:szCs w:val="18"/>
                <w:lang w:val="es-SV" w:eastAsia="es-SV"/>
              </w:rPr>
              <w:t xml:space="preserve">, </w:t>
            </w:r>
            <w:r w:rsidR="00E975E7">
              <w:rPr>
                <w:rFonts w:ascii="Calibri" w:eastAsia="Times New Roman" w:hAnsi="Calibri" w:cs="Times New Roman"/>
                <w:color w:val="000000"/>
                <w:sz w:val="18"/>
                <w:szCs w:val="18"/>
                <w:lang w:val="es-SV" w:eastAsia="es-SV"/>
              </w:rPr>
              <w:t xml:space="preserve">ONG´S, </w:t>
            </w:r>
            <w:r w:rsidR="00E975E7" w:rsidRPr="00047B1F">
              <w:rPr>
                <w:rFonts w:ascii="Calibri" w:eastAsia="Times New Roman" w:hAnsi="Calibri" w:cs="Times New Roman"/>
                <w:color w:val="000000"/>
                <w:sz w:val="18"/>
                <w:szCs w:val="18"/>
                <w:lang w:val="es-SV" w:eastAsia="es-SV"/>
              </w:rPr>
              <w:t>organismos internacionales</w:t>
            </w:r>
            <w:r>
              <w:rPr>
                <w:rFonts w:ascii="Calibri" w:eastAsia="Times New Roman" w:hAnsi="Calibri" w:cs="Times New Roman"/>
                <w:color w:val="000000"/>
                <w:sz w:val="18"/>
                <w:szCs w:val="18"/>
                <w:lang w:val="es-SV" w:eastAsia="es-SV"/>
              </w:rPr>
              <w:t>.</w:t>
            </w:r>
          </w:p>
          <w:p w14:paraId="52834306" w14:textId="77777777" w:rsidR="00047B1F" w:rsidRDefault="00047B1F" w:rsidP="00047B1F">
            <w:pPr>
              <w:spacing w:after="0" w:line="240" w:lineRule="auto"/>
              <w:rPr>
                <w:rFonts w:ascii="Calibri" w:eastAsia="Times New Roman" w:hAnsi="Calibri" w:cs="Times New Roman"/>
                <w:color w:val="000000"/>
                <w:sz w:val="18"/>
                <w:szCs w:val="18"/>
                <w:lang w:val="es-SV" w:eastAsia="es-SV"/>
              </w:rPr>
            </w:pPr>
          </w:p>
          <w:p w14:paraId="10AF0D22" w14:textId="77777777" w:rsidR="00E975E7" w:rsidRDefault="00E975E7" w:rsidP="00047B1F">
            <w:pPr>
              <w:spacing w:after="0" w:line="240" w:lineRule="auto"/>
              <w:rPr>
                <w:rFonts w:ascii="Calibri" w:eastAsia="Times New Roman" w:hAnsi="Calibri" w:cs="Times New Roman"/>
                <w:color w:val="000000"/>
                <w:sz w:val="18"/>
                <w:szCs w:val="18"/>
                <w:lang w:val="es-SV" w:eastAsia="es-SV"/>
              </w:rPr>
            </w:pPr>
          </w:p>
          <w:p w14:paraId="26977D90" w14:textId="77777777" w:rsidR="00E975E7" w:rsidRDefault="00E975E7" w:rsidP="00047B1F">
            <w:pPr>
              <w:spacing w:after="0" w:line="240" w:lineRule="auto"/>
              <w:rPr>
                <w:rFonts w:ascii="Calibri" w:eastAsia="Times New Roman" w:hAnsi="Calibri" w:cs="Times New Roman"/>
                <w:color w:val="000000"/>
                <w:sz w:val="18"/>
                <w:szCs w:val="18"/>
                <w:lang w:val="es-SV" w:eastAsia="es-SV"/>
              </w:rPr>
            </w:pPr>
          </w:p>
          <w:p w14:paraId="1CB8B73C" w14:textId="77777777" w:rsidR="00E975E7" w:rsidRDefault="00E975E7" w:rsidP="00047B1F">
            <w:pPr>
              <w:spacing w:after="0" w:line="240" w:lineRule="auto"/>
              <w:rPr>
                <w:rFonts w:ascii="Calibri" w:eastAsia="Times New Roman" w:hAnsi="Calibri" w:cs="Times New Roman"/>
                <w:color w:val="000000"/>
                <w:sz w:val="18"/>
                <w:szCs w:val="18"/>
                <w:lang w:val="es-SV" w:eastAsia="es-SV"/>
              </w:rPr>
            </w:pPr>
          </w:p>
          <w:p w14:paraId="755A3BEE" w14:textId="77777777" w:rsidR="00E975E7" w:rsidRDefault="00E975E7" w:rsidP="00047B1F">
            <w:pPr>
              <w:spacing w:after="0" w:line="240" w:lineRule="auto"/>
              <w:rPr>
                <w:rFonts w:ascii="Calibri" w:eastAsia="Times New Roman" w:hAnsi="Calibri" w:cs="Times New Roman"/>
                <w:color w:val="000000"/>
                <w:sz w:val="18"/>
                <w:szCs w:val="18"/>
                <w:lang w:val="es-SV" w:eastAsia="es-SV"/>
              </w:rPr>
            </w:pPr>
          </w:p>
          <w:p w14:paraId="21BA1013" w14:textId="77777777" w:rsidR="00E975E7" w:rsidRDefault="00E975E7" w:rsidP="00047B1F">
            <w:pPr>
              <w:spacing w:after="0" w:line="240" w:lineRule="auto"/>
              <w:rPr>
                <w:rFonts w:ascii="Calibri" w:eastAsia="Times New Roman" w:hAnsi="Calibri" w:cs="Times New Roman"/>
                <w:color w:val="000000"/>
                <w:sz w:val="18"/>
                <w:szCs w:val="18"/>
                <w:lang w:val="es-SV" w:eastAsia="es-SV"/>
              </w:rPr>
            </w:pPr>
          </w:p>
          <w:p w14:paraId="7A07710E" w14:textId="77777777" w:rsidR="00E975E7" w:rsidRPr="00047B1F" w:rsidRDefault="00E975E7" w:rsidP="00047B1F">
            <w:pPr>
              <w:spacing w:after="0" w:line="240" w:lineRule="auto"/>
              <w:rPr>
                <w:rFonts w:ascii="Calibri" w:eastAsia="Times New Roman" w:hAnsi="Calibri" w:cs="Times New Roman"/>
                <w:color w:val="000000"/>
                <w:sz w:val="18"/>
                <w:szCs w:val="18"/>
                <w:lang w:val="es-SV" w:eastAsia="es-SV"/>
              </w:rPr>
            </w:pPr>
          </w:p>
        </w:tc>
      </w:tr>
    </w:tbl>
    <w:p w14:paraId="4A18DC02" w14:textId="77777777" w:rsidR="003A2DD7" w:rsidRDefault="003A2D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55"/>
        <w:gridCol w:w="738"/>
        <w:gridCol w:w="686"/>
        <w:gridCol w:w="546"/>
        <w:gridCol w:w="505"/>
        <w:gridCol w:w="546"/>
        <w:gridCol w:w="18"/>
      </w:tblGrid>
      <w:tr w:rsidR="00312362" w:rsidRPr="00EC5B63" w14:paraId="0D16C684" w14:textId="77777777" w:rsidTr="003A2DD7">
        <w:trPr>
          <w:trHeight w:val="388"/>
        </w:trPr>
        <w:tc>
          <w:tcPr>
            <w:tcW w:w="5000" w:type="pct"/>
            <w:gridSpan w:val="7"/>
            <w:shd w:val="clear" w:color="auto" w:fill="auto"/>
          </w:tcPr>
          <w:p w14:paraId="36BD0933" w14:textId="77777777" w:rsidR="00312362" w:rsidRPr="00EC5B63" w:rsidRDefault="00AE5337" w:rsidP="00312362">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 xml:space="preserve">Acciones / </w:t>
            </w:r>
            <w:r w:rsidRPr="00EE1739">
              <w:rPr>
                <w:rFonts w:ascii="Calibri" w:eastAsia="Times New Roman" w:hAnsi="Calibri" w:cs="Times New Roman"/>
                <w:b/>
                <w:color w:val="000000"/>
                <w:sz w:val="18"/>
                <w:szCs w:val="18"/>
                <w:lang w:val="es-SV" w:eastAsia="es-SV"/>
              </w:rPr>
              <w:t>Periodo de ejecución</w:t>
            </w:r>
          </w:p>
        </w:tc>
      </w:tr>
      <w:tr w:rsidR="003A2DD7" w:rsidRPr="00EC5B63" w14:paraId="00AA94E4" w14:textId="77777777" w:rsidTr="00A90443">
        <w:trPr>
          <w:gridAfter w:val="1"/>
          <w:wAfter w:w="7" w:type="pct"/>
          <w:trHeight w:val="280"/>
        </w:trPr>
        <w:tc>
          <w:tcPr>
            <w:tcW w:w="3831" w:type="pct"/>
            <w:shd w:val="clear" w:color="auto" w:fill="auto"/>
          </w:tcPr>
          <w:p w14:paraId="3DCA7964" w14:textId="77777777" w:rsidR="00312362" w:rsidRPr="00EC5B63" w:rsidRDefault="00312362" w:rsidP="00312362">
            <w:pPr>
              <w:spacing w:after="0" w:line="240" w:lineRule="auto"/>
              <w:jc w:val="center"/>
              <w:rPr>
                <w:rFonts w:ascii="Calibri" w:eastAsia="Times New Roman" w:hAnsi="Calibri" w:cs="Times New Roman"/>
                <w:b/>
                <w:color w:val="000000"/>
                <w:sz w:val="18"/>
                <w:szCs w:val="18"/>
                <w:lang w:val="es-SV" w:eastAsia="es-SV"/>
              </w:rPr>
            </w:pPr>
          </w:p>
        </w:tc>
        <w:tc>
          <w:tcPr>
            <w:tcW w:w="284" w:type="pct"/>
            <w:shd w:val="clear" w:color="auto" w:fill="auto"/>
          </w:tcPr>
          <w:p w14:paraId="1B9FB717" w14:textId="77777777" w:rsidR="00312362" w:rsidRPr="00EC5B63" w:rsidRDefault="00312362" w:rsidP="00312362">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2019</w:t>
            </w:r>
          </w:p>
        </w:tc>
        <w:tc>
          <w:tcPr>
            <w:tcW w:w="264" w:type="pct"/>
            <w:shd w:val="clear" w:color="auto" w:fill="auto"/>
          </w:tcPr>
          <w:p w14:paraId="593FA4F3" w14:textId="77777777" w:rsidR="00312362" w:rsidRPr="00EC5B63" w:rsidRDefault="00312362" w:rsidP="00312362">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2020</w:t>
            </w:r>
          </w:p>
        </w:tc>
        <w:tc>
          <w:tcPr>
            <w:tcW w:w="210" w:type="pct"/>
            <w:shd w:val="clear" w:color="auto" w:fill="auto"/>
          </w:tcPr>
          <w:p w14:paraId="79A7F5EF" w14:textId="77777777" w:rsidR="00312362" w:rsidRPr="00EC5B63" w:rsidRDefault="00312362" w:rsidP="00312362">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2021</w:t>
            </w:r>
          </w:p>
        </w:tc>
        <w:tc>
          <w:tcPr>
            <w:tcW w:w="194" w:type="pct"/>
            <w:shd w:val="clear" w:color="auto" w:fill="auto"/>
          </w:tcPr>
          <w:p w14:paraId="3B92D519" w14:textId="77777777" w:rsidR="00312362" w:rsidRPr="00EC5B63" w:rsidRDefault="00312362" w:rsidP="00312362">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2022</w:t>
            </w:r>
          </w:p>
        </w:tc>
        <w:tc>
          <w:tcPr>
            <w:tcW w:w="210" w:type="pct"/>
            <w:shd w:val="clear" w:color="auto" w:fill="auto"/>
          </w:tcPr>
          <w:p w14:paraId="0B0602EA" w14:textId="77777777" w:rsidR="00312362" w:rsidRPr="00EC5B63" w:rsidRDefault="00312362" w:rsidP="00312362">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2023</w:t>
            </w:r>
          </w:p>
        </w:tc>
      </w:tr>
      <w:tr w:rsidR="003A2DD7" w:rsidRPr="00EC5B63" w14:paraId="61E7E89B" w14:textId="77777777" w:rsidTr="00A90443">
        <w:trPr>
          <w:gridAfter w:val="1"/>
          <w:wAfter w:w="7" w:type="pct"/>
          <w:trHeight w:val="280"/>
        </w:trPr>
        <w:tc>
          <w:tcPr>
            <w:tcW w:w="3831" w:type="pct"/>
            <w:shd w:val="clear" w:color="auto" w:fill="auto"/>
          </w:tcPr>
          <w:p w14:paraId="2B1EA60D" w14:textId="77777777" w:rsidR="00C4329B" w:rsidRPr="003A2DD7" w:rsidRDefault="00C4329B" w:rsidP="003A2DD7">
            <w:pPr>
              <w:spacing w:after="0" w:line="240" w:lineRule="auto"/>
              <w:rPr>
                <w:rFonts w:ascii="Calibri" w:eastAsia="Times New Roman" w:hAnsi="Calibri" w:cs="Times New Roman"/>
                <w:color w:val="000000"/>
                <w:sz w:val="18"/>
                <w:szCs w:val="18"/>
                <w:lang w:val="es-SV" w:eastAsia="es-SV"/>
              </w:rPr>
            </w:pPr>
            <w:r w:rsidRPr="003A2DD7">
              <w:rPr>
                <w:rFonts w:ascii="Calibri" w:eastAsia="Times New Roman" w:hAnsi="Calibri" w:cs="Times New Roman"/>
                <w:color w:val="000000"/>
                <w:sz w:val="18"/>
                <w:szCs w:val="18"/>
                <w:lang w:val="es-SV" w:eastAsia="es-SV"/>
              </w:rPr>
              <w:t>Revisión</w:t>
            </w:r>
            <w:r w:rsidR="003922AF">
              <w:rPr>
                <w:rFonts w:ascii="Calibri" w:eastAsia="Times New Roman" w:hAnsi="Calibri" w:cs="Times New Roman"/>
                <w:color w:val="000000"/>
                <w:sz w:val="18"/>
                <w:szCs w:val="18"/>
                <w:lang w:val="es-SV" w:eastAsia="es-SV"/>
              </w:rPr>
              <w:t xml:space="preserve"> y análisis</w:t>
            </w:r>
            <w:r w:rsidRPr="003A2DD7">
              <w:rPr>
                <w:rFonts w:ascii="Calibri" w:eastAsia="Times New Roman" w:hAnsi="Calibri" w:cs="Times New Roman"/>
                <w:color w:val="000000"/>
                <w:sz w:val="18"/>
                <w:szCs w:val="18"/>
                <w:lang w:val="es-SV" w:eastAsia="es-SV"/>
              </w:rPr>
              <w:t xml:space="preserve"> del marco de protección legal para poblaciones clave (HSH, Trans) que no son específicas para VIH, pero que influyen en el ejercicio de los derechos humanos</w:t>
            </w:r>
            <w:r w:rsidR="003922AF">
              <w:rPr>
                <w:rFonts w:ascii="Calibri" w:eastAsia="Times New Roman" w:hAnsi="Calibri" w:cs="Times New Roman"/>
                <w:color w:val="000000"/>
                <w:sz w:val="18"/>
                <w:szCs w:val="18"/>
                <w:lang w:val="es-SV" w:eastAsia="es-SV"/>
              </w:rPr>
              <w:t xml:space="preserve"> e identificación de barreras para su aplicación.</w:t>
            </w:r>
          </w:p>
        </w:tc>
        <w:tc>
          <w:tcPr>
            <w:tcW w:w="284" w:type="pct"/>
            <w:shd w:val="clear" w:color="auto" w:fill="auto"/>
            <w:vAlign w:val="bottom"/>
          </w:tcPr>
          <w:p w14:paraId="51D5158B" w14:textId="77777777" w:rsidR="00C4329B" w:rsidRDefault="00C4329B" w:rsidP="00C4329B">
            <w:pPr>
              <w:rPr>
                <w:rFonts w:ascii="Calibri" w:hAnsi="Calibri" w:cs="Calibri"/>
                <w:color w:val="000000"/>
              </w:rPr>
            </w:pPr>
            <w:r>
              <w:rPr>
                <w:rFonts w:ascii="Calibri" w:hAnsi="Calibri" w:cs="Calibri"/>
                <w:color w:val="000000"/>
              </w:rPr>
              <w:t>x</w:t>
            </w:r>
          </w:p>
        </w:tc>
        <w:tc>
          <w:tcPr>
            <w:tcW w:w="264" w:type="pct"/>
            <w:shd w:val="clear" w:color="auto" w:fill="auto"/>
            <w:vAlign w:val="bottom"/>
          </w:tcPr>
          <w:p w14:paraId="76A84C26" w14:textId="77777777" w:rsidR="00C4329B" w:rsidRDefault="00C4329B" w:rsidP="00C4329B">
            <w:pPr>
              <w:rPr>
                <w:rFonts w:ascii="Calibri" w:hAnsi="Calibri" w:cs="Calibri"/>
                <w:color w:val="000000"/>
              </w:rPr>
            </w:pPr>
            <w:r>
              <w:rPr>
                <w:rFonts w:ascii="Calibri" w:hAnsi="Calibri" w:cs="Calibri"/>
                <w:color w:val="000000"/>
              </w:rPr>
              <w:t> </w:t>
            </w:r>
          </w:p>
        </w:tc>
        <w:tc>
          <w:tcPr>
            <w:tcW w:w="210" w:type="pct"/>
            <w:shd w:val="clear" w:color="auto" w:fill="auto"/>
            <w:vAlign w:val="bottom"/>
          </w:tcPr>
          <w:p w14:paraId="317E3D73" w14:textId="77777777" w:rsidR="00C4329B" w:rsidRDefault="00C4329B" w:rsidP="00C4329B">
            <w:pPr>
              <w:rPr>
                <w:rFonts w:ascii="Calibri" w:hAnsi="Calibri" w:cs="Calibri"/>
                <w:color w:val="000000"/>
              </w:rPr>
            </w:pPr>
            <w:r>
              <w:rPr>
                <w:rFonts w:ascii="Calibri" w:hAnsi="Calibri" w:cs="Calibri"/>
                <w:color w:val="000000"/>
              </w:rPr>
              <w:t> </w:t>
            </w:r>
          </w:p>
        </w:tc>
        <w:tc>
          <w:tcPr>
            <w:tcW w:w="194" w:type="pct"/>
            <w:shd w:val="clear" w:color="auto" w:fill="auto"/>
            <w:vAlign w:val="bottom"/>
          </w:tcPr>
          <w:p w14:paraId="53083121" w14:textId="77777777" w:rsidR="00C4329B" w:rsidRDefault="00C4329B" w:rsidP="00C4329B">
            <w:pPr>
              <w:rPr>
                <w:rFonts w:ascii="Calibri" w:hAnsi="Calibri" w:cs="Calibri"/>
                <w:color w:val="000000"/>
              </w:rPr>
            </w:pPr>
            <w:r>
              <w:rPr>
                <w:rFonts w:ascii="Calibri" w:hAnsi="Calibri" w:cs="Calibri"/>
                <w:color w:val="000000"/>
              </w:rPr>
              <w:t> </w:t>
            </w:r>
          </w:p>
        </w:tc>
        <w:tc>
          <w:tcPr>
            <w:tcW w:w="210" w:type="pct"/>
            <w:shd w:val="clear" w:color="auto" w:fill="auto"/>
            <w:vAlign w:val="bottom"/>
          </w:tcPr>
          <w:p w14:paraId="7C519C58" w14:textId="77777777" w:rsidR="00C4329B" w:rsidRDefault="00C4329B" w:rsidP="00C4329B">
            <w:pPr>
              <w:rPr>
                <w:rFonts w:ascii="Calibri" w:hAnsi="Calibri" w:cs="Calibri"/>
                <w:color w:val="000000"/>
              </w:rPr>
            </w:pPr>
            <w:r>
              <w:rPr>
                <w:rFonts w:ascii="Calibri" w:hAnsi="Calibri" w:cs="Calibri"/>
                <w:color w:val="000000"/>
              </w:rPr>
              <w:t> </w:t>
            </w:r>
          </w:p>
        </w:tc>
      </w:tr>
      <w:tr w:rsidR="003A2DD7" w:rsidRPr="00EC5B63" w14:paraId="14B28630" w14:textId="77777777" w:rsidTr="00A90443">
        <w:trPr>
          <w:gridAfter w:val="1"/>
          <w:wAfter w:w="7" w:type="pct"/>
          <w:trHeight w:val="280"/>
        </w:trPr>
        <w:tc>
          <w:tcPr>
            <w:tcW w:w="3831" w:type="pct"/>
            <w:shd w:val="clear" w:color="auto" w:fill="auto"/>
          </w:tcPr>
          <w:p w14:paraId="18D38044" w14:textId="77777777" w:rsidR="00C4329B" w:rsidRPr="003A2DD7" w:rsidRDefault="00C4329B" w:rsidP="003A2DD7">
            <w:pPr>
              <w:spacing w:after="0" w:line="240" w:lineRule="auto"/>
              <w:rPr>
                <w:rFonts w:ascii="Calibri" w:eastAsia="Times New Roman" w:hAnsi="Calibri" w:cs="Times New Roman"/>
                <w:color w:val="000000"/>
                <w:sz w:val="18"/>
                <w:szCs w:val="18"/>
                <w:lang w:val="es-SV" w:eastAsia="es-SV"/>
              </w:rPr>
            </w:pPr>
            <w:r w:rsidRPr="003A2DD7">
              <w:rPr>
                <w:rFonts w:ascii="Calibri" w:eastAsia="Times New Roman" w:hAnsi="Calibri" w:cs="Times New Roman"/>
                <w:color w:val="000000"/>
                <w:sz w:val="18"/>
                <w:szCs w:val="18"/>
                <w:lang w:val="es-SV" w:eastAsia="es-SV"/>
              </w:rPr>
              <w:lastRenderedPageBreak/>
              <w:t>Capacitación  derechos humanos de población LGBTI a funcionarios públicos</w:t>
            </w:r>
            <w:r w:rsidR="003922AF">
              <w:rPr>
                <w:rFonts w:ascii="Calibri" w:eastAsia="Times New Roman" w:hAnsi="Calibri" w:cs="Times New Roman"/>
                <w:color w:val="000000"/>
                <w:sz w:val="18"/>
                <w:szCs w:val="18"/>
                <w:lang w:val="es-SV" w:eastAsia="es-SV"/>
              </w:rPr>
              <w:t xml:space="preserve"> y </w:t>
            </w:r>
            <w:r w:rsidR="003922AF" w:rsidRPr="003922AF">
              <w:rPr>
                <w:rFonts w:ascii="Calibri" w:eastAsia="Times New Roman" w:hAnsi="Calibri" w:cs="Times New Roman"/>
                <w:color w:val="000000"/>
                <w:sz w:val="18"/>
                <w:szCs w:val="18"/>
                <w:lang w:val="es-SV" w:eastAsia="es-SV"/>
              </w:rPr>
              <w:t>Capacitaciones basadas en competencias en E&amp;D</w:t>
            </w:r>
          </w:p>
        </w:tc>
        <w:tc>
          <w:tcPr>
            <w:tcW w:w="284" w:type="pct"/>
            <w:shd w:val="clear" w:color="auto" w:fill="auto"/>
            <w:vAlign w:val="bottom"/>
          </w:tcPr>
          <w:p w14:paraId="04EC7125" w14:textId="77777777" w:rsidR="00C4329B" w:rsidRDefault="00C4329B" w:rsidP="00C4329B">
            <w:pPr>
              <w:rPr>
                <w:rFonts w:ascii="Calibri" w:hAnsi="Calibri" w:cs="Calibri"/>
                <w:color w:val="000000"/>
              </w:rPr>
            </w:pPr>
            <w:r>
              <w:rPr>
                <w:rFonts w:ascii="Calibri" w:hAnsi="Calibri" w:cs="Calibri"/>
                <w:color w:val="000000"/>
              </w:rPr>
              <w:t>x</w:t>
            </w:r>
          </w:p>
        </w:tc>
        <w:tc>
          <w:tcPr>
            <w:tcW w:w="264" w:type="pct"/>
            <w:shd w:val="clear" w:color="auto" w:fill="auto"/>
            <w:vAlign w:val="bottom"/>
          </w:tcPr>
          <w:p w14:paraId="7DBD5402" w14:textId="77777777" w:rsidR="00C4329B" w:rsidRDefault="00C4329B" w:rsidP="00C4329B">
            <w:pPr>
              <w:rPr>
                <w:rFonts w:ascii="Calibri" w:hAnsi="Calibri" w:cs="Calibri"/>
                <w:color w:val="000000"/>
              </w:rPr>
            </w:pPr>
            <w:r>
              <w:rPr>
                <w:rFonts w:ascii="Calibri" w:hAnsi="Calibri" w:cs="Calibri"/>
                <w:color w:val="000000"/>
              </w:rPr>
              <w:t>x</w:t>
            </w:r>
          </w:p>
        </w:tc>
        <w:tc>
          <w:tcPr>
            <w:tcW w:w="210" w:type="pct"/>
            <w:shd w:val="clear" w:color="auto" w:fill="auto"/>
            <w:vAlign w:val="bottom"/>
          </w:tcPr>
          <w:p w14:paraId="634CBA13" w14:textId="77777777" w:rsidR="00C4329B" w:rsidRDefault="00C4329B" w:rsidP="00C4329B">
            <w:pPr>
              <w:rPr>
                <w:rFonts w:ascii="Calibri" w:hAnsi="Calibri" w:cs="Calibri"/>
                <w:color w:val="000000"/>
              </w:rPr>
            </w:pPr>
            <w:r>
              <w:rPr>
                <w:rFonts w:ascii="Calibri" w:hAnsi="Calibri" w:cs="Calibri"/>
                <w:color w:val="000000"/>
              </w:rPr>
              <w:t>x</w:t>
            </w:r>
          </w:p>
        </w:tc>
        <w:tc>
          <w:tcPr>
            <w:tcW w:w="194" w:type="pct"/>
            <w:shd w:val="clear" w:color="auto" w:fill="auto"/>
            <w:vAlign w:val="bottom"/>
          </w:tcPr>
          <w:p w14:paraId="118B53BB" w14:textId="77777777" w:rsidR="00C4329B" w:rsidRDefault="00C4329B" w:rsidP="00C4329B">
            <w:pPr>
              <w:rPr>
                <w:rFonts w:ascii="Calibri" w:hAnsi="Calibri" w:cs="Calibri"/>
                <w:color w:val="000000"/>
              </w:rPr>
            </w:pPr>
            <w:r>
              <w:rPr>
                <w:rFonts w:ascii="Calibri" w:hAnsi="Calibri" w:cs="Calibri"/>
                <w:color w:val="000000"/>
              </w:rPr>
              <w:t>x</w:t>
            </w:r>
          </w:p>
        </w:tc>
        <w:tc>
          <w:tcPr>
            <w:tcW w:w="210" w:type="pct"/>
            <w:shd w:val="clear" w:color="auto" w:fill="auto"/>
            <w:vAlign w:val="bottom"/>
          </w:tcPr>
          <w:p w14:paraId="2917E4D5" w14:textId="77777777" w:rsidR="00C4329B" w:rsidRDefault="00C4329B" w:rsidP="00C4329B">
            <w:pPr>
              <w:rPr>
                <w:rFonts w:ascii="Calibri" w:hAnsi="Calibri" w:cs="Calibri"/>
                <w:color w:val="000000"/>
              </w:rPr>
            </w:pPr>
            <w:r>
              <w:rPr>
                <w:rFonts w:ascii="Calibri" w:hAnsi="Calibri" w:cs="Calibri"/>
                <w:color w:val="000000"/>
              </w:rPr>
              <w:t>x</w:t>
            </w:r>
          </w:p>
        </w:tc>
      </w:tr>
      <w:tr w:rsidR="003A2DD7" w:rsidRPr="00EC5B63" w14:paraId="4AEA14F0" w14:textId="77777777" w:rsidTr="00A90443">
        <w:trPr>
          <w:gridAfter w:val="1"/>
          <w:wAfter w:w="7" w:type="pct"/>
          <w:trHeight w:val="280"/>
        </w:trPr>
        <w:tc>
          <w:tcPr>
            <w:tcW w:w="3831" w:type="pct"/>
            <w:shd w:val="clear" w:color="auto" w:fill="auto"/>
          </w:tcPr>
          <w:p w14:paraId="1FD2ABDE" w14:textId="77777777" w:rsidR="00C4329B" w:rsidRPr="003A2DD7" w:rsidRDefault="00C4329B" w:rsidP="003A2DD7">
            <w:pPr>
              <w:spacing w:after="0" w:line="240" w:lineRule="auto"/>
              <w:rPr>
                <w:rFonts w:ascii="Calibri" w:eastAsia="Times New Roman" w:hAnsi="Calibri" w:cs="Times New Roman"/>
                <w:color w:val="000000"/>
                <w:sz w:val="18"/>
                <w:szCs w:val="18"/>
                <w:lang w:val="es-SV" w:eastAsia="es-SV"/>
              </w:rPr>
            </w:pPr>
            <w:r w:rsidRPr="003A2DD7">
              <w:rPr>
                <w:rFonts w:ascii="Calibri" w:eastAsia="Times New Roman" w:hAnsi="Calibri" w:cs="Times New Roman"/>
                <w:color w:val="000000"/>
                <w:sz w:val="18"/>
                <w:szCs w:val="18"/>
                <w:lang w:val="es-SV" w:eastAsia="es-SV"/>
              </w:rPr>
              <w:t>Medición del índice  estigma y discriminación en personal público</w:t>
            </w:r>
          </w:p>
        </w:tc>
        <w:tc>
          <w:tcPr>
            <w:tcW w:w="284" w:type="pct"/>
            <w:shd w:val="clear" w:color="auto" w:fill="auto"/>
            <w:vAlign w:val="bottom"/>
          </w:tcPr>
          <w:p w14:paraId="7018219D" w14:textId="77777777" w:rsidR="00C4329B" w:rsidRDefault="00C4329B" w:rsidP="00C4329B">
            <w:pPr>
              <w:rPr>
                <w:rFonts w:ascii="Calibri" w:hAnsi="Calibri" w:cs="Calibri"/>
                <w:color w:val="000000"/>
              </w:rPr>
            </w:pPr>
            <w:r>
              <w:rPr>
                <w:rFonts w:ascii="Calibri" w:hAnsi="Calibri" w:cs="Calibri"/>
                <w:color w:val="000000"/>
              </w:rPr>
              <w:t>x</w:t>
            </w:r>
          </w:p>
        </w:tc>
        <w:tc>
          <w:tcPr>
            <w:tcW w:w="264" w:type="pct"/>
            <w:shd w:val="clear" w:color="auto" w:fill="auto"/>
            <w:vAlign w:val="bottom"/>
          </w:tcPr>
          <w:p w14:paraId="68CE6630" w14:textId="77777777" w:rsidR="00C4329B" w:rsidRDefault="00C4329B" w:rsidP="00C4329B">
            <w:pPr>
              <w:rPr>
                <w:rFonts w:ascii="Calibri" w:hAnsi="Calibri" w:cs="Calibri"/>
                <w:color w:val="000000"/>
              </w:rPr>
            </w:pPr>
            <w:r>
              <w:rPr>
                <w:rFonts w:ascii="Calibri" w:hAnsi="Calibri" w:cs="Calibri"/>
                <w:color w:val="000000"/>
              </w:rPr>
              <w:t>x</w:t>
            </w:r>
          </w:p>
        </w:tc>
        <w:tc>
          <w:tcPr>
            <w:tcW w:w="210" w:type="pct"/>
            <w:shd w:val="clear" w:color="auto" w:fill="auto"/>
            <w:vAlign w:val="bottom"/>
          </w:tcPr>
          <w:p w14:paraId="51333DD7" w14:textId="77777777" w:rsidR="00C4329B" w:rsidRDefault="00C4329B" w:rsidP="00C4329B">
            <w:pPr>
              <w:rPr>
                <w:rFonts w:ascii="Calibri" w:hAnsi="Calibri" w:cs="Calibri"/>
                <w:color w:val="000000"/>
              </w:rPr>
            </w:pPr>
            <w:r>
              <w:rPr>
                <w:rFonts w:ascii="Calibri" w:hAnsi="Calibri" w:cs="Calibri"/>
                <w:color w:val="000000"/>
              </w:rPr>
              <w:t>x</w:t>
            </w:r>
          </w:p>
        </w:tc>
        <w:tc>
          <w:tcPr>
            <w:tcW w:w="194" w:type="pct"/>
            <w:shd w:val="clear" w:color="auto" w:fill="auto"/>
            <w:vAlign w:val="bottom"/>
          </w:tcPr>
          <w:p w14:paraId="35D84B5B" w14:textId="77777777" w:rsidR="00C4329B" w:rsidRDefault="00C4329B" w:rsidP="00C4329B">
            <w:pPr>
              <w:rPr>
                <w:rFonts w:ascii="Calibri" w:hAnsi="Calibri" w:cs="Calibri"/>
                <w:color w:val="000000"/>
              </w:rPr>
            </w:pPr>
            <w:r>
              <w:rPr>
                <w:rFonts w:ascii="Calibri" w:hAnsi="Calibri" w:cs="Calibri"/>
                <w:color w:val="000000"/>
              </w:rPr>
              <w:t>x</w:t>
            </w:r>
          </w:p>
        </w:tc>
        <w:tc>
          <w:tcPr>
            <w:tcW w:w="210" w:type="pct"/>
            <w:shd w:val="clear" w:color="auto" w:fill="auto"/>
            <w:vAlign w:val="bottom"/>
          </w:tcPr>
          <w:p w14:paraId="45CFAB43" w14:textId="77777777" w:rsidR="00C4329B" w:rsidRDefault="00C4329B" w:rsidP="00C4329B">
            <w:pPr>
              <w:rPr>
                <w:rFonts w:ascii="Calibri" w:hAnsi="Calibri" w:cs="Calibri"/>
                <w:color w:val="000000"/>
              </w:rPr>
            </w:pPr>
            <w:r>
              <w:rPr>
                <w:rFonts w:ascii="Calibri" w:hAnsi="Calibri" w:cs="Calibri"/>
                <w:color w:val="000000"/>
              </w:rPr>
              <w:t>x</w:t>
            </w:r>
          </w:p>
        </w:tc>
      </w:tr>
      <w:tr w:rsidR="00A90443" w:rsidRPr="00EC5B63" w14:paraId="28A0B91B" w14:textId="77777777" w:rsidTr="00A90443">
        <w:trPr>
          <w:gridAfter w:val="1"/>
          <w:wAfter w:w="7" w:type="pct"/>
          <w:trHeight w:val="280"/>
        </w:trPr>
        <w:tc>
          <w:tcPr>
            <w:tcW w:w="3831" w:type="pct"/>
            <w:shd w:val="clear" w:color="auto" w:fill="auto"/>
          </w:tcPr>
          <w:p w14:paraId="11320EBC" w14:textId="77777777" w:rsidR="00A90443" w:rsidRPr="003A2DD7" w:rsidRDefault="00A90443" w:rsidP="00A90443">
            <w:pPr>
              <w:spacing w:after="0" w:line="240" w:lineRule="auto"/>
              <w:rPr>
                <w:rFonts w:ascii="Calibri" w:eastAsia="Times New Roman" w:hAnsi="Calibri" w:cs="Times New Roman"/>
                <w:color w:val="000000"/>
                <w:sz w:val="18"/>
                <w:szCs w:val="18"/>
                <w:lang w:val="es-SV" w:eastAsia="es-SV"/>
              </w:rPr>
            </w:pPr>
            <w:r w:rsidRPr="003922AF">
              <w:rPr>
                <w:rFonts w:ascii="Calibri" w:eastAsia="Times New Roman" w:hAnsi="Calibri" w:cs="Times New Roman"/>
                <w:color w:val="000000"/>
                <w:sz w:val="18"/>
                <w:szCs w:val="18"/>
                <w:lang w:val="es-SV" w:eastAsia="es-SV"/>
              </w:rPr>
              <w:t>Desarrollar un equipo de facilitadores del Ministerio de Salud en abordaje de estigma y discriminación, basado en la experiencia de estrategia VICITS</w:t>
            </w:r>
            <w:r w:rsidRPr="003922AF">
              <w:rPr>
                <w:rFonts w:ascii="Calibri" w:eastAsia="Times New Roman" w:hAnsi="Calibri" w:cs="Times New Roman"/>
                <w:color w:val="000000"/>
                <w:sz w:val="18"/>
                <w:szCs w:val="18"/>
                <w:lang w:val="es-SV" w:eastAsia="es-SV"/>
              </w:rPr>
              <w:tab/>
            </w:r>
          </w:p>
        </w:tc>
        <w:tc>
          <w:tcPr>
            <w:tcW w:w="284" w:type="pct"/>
            <w:shd w:val="clear" w:color="auto" w:fill="auto"/>
            <w:vAlign w:val="bottom"/>
          </w:tcPr>
          <w:p w14:paraId="486C0A14" w14:textId="77777777" w:rsidR="00A90443" w:rsidRDefault="00A90443" w:rsidP="00A90443">
            <w:pPr>
              <w:rPr>
                <w:rFonts w:ascii="Calibri" w:hAnsi="Calibri" w:cs="Calibri"/>
                <w:color w:val="000000"/>
              </w:rPr>
            </w:pPr>
            <w:r>
              <w:rPr>
                <w:rFonts w:ascii="Calibri" w:hAnsi="Calibri" w:cs="Calibri"/>
                <w:color w:val="000000"/>
              </w:rPr>
              <w:t>x</w:t>
            </w:r>
          </w:p>
        </w:tc>
        <w:tc>
          <w:tcPr>
            <w:tcW w:w="264" w:type="pct"/>
            <w:shd w:val="clear" w:color="auto" w:fill="auto"/>
            <w:vAlign w:val="bottom"/>
          </w:tcPr>
          <w:p w14:paraId="73CB7B8D" w14:textId="77777777" w:rsidR="00A90443" w:rsidRDefault="00A90443" w:rsidP="00A90443">
            <w:pPr>
              <w:rPr>
                <w:rFonts w:ascii="Calibri" w:hAnsi="Calibri" w:cs="Calibri"/>
                <w:color w:val="000000"/>
              </w:rPr>
            </w:pPr>
            <w:r>
              <w:rPr>
                <w:rFonts w:ascii="Calibri" w:hAnsi="Calibri" w:cs="Calibri"/>
                <w:color w:val="000000"/>
              </w:rPr>
              <w:t>x</w:t>
            </w:r>
          </w:p>
        </w:tc>
        <w:tc>
          <w:tcPr>
            <w:tcW w:w="210" w:type="pct"/>
            <w:shd w:val="clear" w:color="auto" w:fill="auto"/>
            <w:vAlign w:val="bottom"/>
          </w:tcPr>
          <w:p w14:paraId="604FCBB4" w14:textId="77777777" w:rsidR="00A90443" w:rsidRDefault="00A90443" w:rsidP="00A90443">
            <w:pPr>
              <w:rPr>
                <w:rFonts w:ascii="Calibri" w:hAnsi="Calibri" w:cs="Calibri"/>
                <w:color w:val="000000"/>
              </w:rPr>
            </w:pPr>
          </w:p>
        </w:tc>
        <w:tc>
          <w:tcPr>
            <w:tcW w:w="194" w:type="pct"/>
            <w:shd w:val="clear" w:color="auto" w:fill="auto"/>
            <w:vAlign w:val="bottom"/>
          </w:tcPr>
          <w:p w14:paraId="70469F6A" w14:textId="77777777" w:rsidR="00A90443" w:rsidRDefault="00A90443" w:rsidP="00A90443">
            <w:pPr>
              <w:rPr>
                <w:rFonts w:ascii="Calibri" w:hAnsi="Calibri" w:cs="Calibri"/>
                <w:color w:val="000000"/>
              </w:rPr>
            </w:pPr>
          </w:p>
        </w:tc>
        <w:tc>
          <w:tcPr>
            <w:tcW w:w="210" w:type="pct"/>
            <w:shd w:val="clear" w:color="auto" w:fill="auto"/>
            <w:vAlign w:val="bottom"/>
          </w:tcPr>
          <w:p w14:paraId="605E9C58" w14:textId="77777777" w:rsidR="00A90443" w:rsidRDefault="00A90443" w:rsidP="00A90443">
            <w:pPr>
              <w:rPr>
                <w:rFonts w:ascii="Calibri" w:hAnsi="Calibri" w:cs="Calibri"/>
                <w:color w:val="000000"/>
              </w:rPr>
            </w:pPr>
          </w:p>
        </w:tc>
      </w:tr>
      <w:tr w:rsidR="00A90443" w:rsidRPr="00EC5B63" w14:paraId="3C6BB101" w14:textId="77777777" w:rsidTr="00A90443">
        <w:trPr>
          <w:gridAfter w:val="1"/>
          <w:wAfter w:w="7" w:type="pct"/>
          <w:trHeight w:val="280"/>
        </w:trPr>
        <w:tc>
          <w:tcPr>
            <w:tcW w:w="3831" w:type="pct"/>
            <w:shd w:val="clear" w:color="auto" w:fill="auto"/>
          </w:tcPr>
          <w:p w14:paraId="38EA122E" w14:textId="77777777" w:rsidR="00A90443" w:rsidRPr="003A2DD7" w:rsidRDefault="00A90443" w:rsidP="00A90443">
            <w:pPr>
              <w:spacing w:after="0" w:line="240" w:lineRule="auto"/>
              <w:rPr>
                <w:rFonts w:ascii="Calibri" w:eastAsia="Times New Roman" w:hAnsi="Calibri" w:cs="Times New Roman"/>
                <w:color w:val="000000"/>
                <w:sz w:val="18"/>
                <w:szCs w:val="18"/>
                <w:lang w:val="es-SV" w:eastAsia="es-SV"/>
              </w:rPr>
            </w:pPr>
            <w:r w:rsidRPr="003A2DD7">
              <w:rPr>
                <w:rFonts w:ascii="Calibri" w:eastAsia="Times New Roman" w:hAnsi="Calibri" w:cs="Times New Roman"/>
                <w:color w:val="000000"/>
                <w:sz w:val="18"/>
                <w:szCs w:val="18"/>
                <w:lang w:val="es-SV" w:eastAsia="es-SV"/>
              </w:rPr>
              <w:t>Medición de índice de estigma en personas con VIH</w:t>
            </w:r>
          </w:p>
        </w:tc>
        <w:tc>
          <w:tcPr>
            <w:tcW w:w="284" w:type="pct"/>
            <w:shd w:val="clear" w:color="auto" w:fill="auto"/>
            <w:vAlign w:val="bottom"/>
          </w:tcPr>
          <w:p w14:paraId="06C85298" w14:textId="77777777" w:rsidR="00A90443" w:rsidRDefault="00A90443" w:rsidP="00A90443">
            <w:pPr>
              <w:rPr>
                <w:rFonts w:ascii="Calibri" w:hAnsi="Calibri" w:cs="Calibri"/>
                <w:color w:val="000000"/>
              </w:rPr>
            </w:pPr>
            <w:r>
              <w:rPr>
                <w:rFonts w:ascii="Calibri" w:hAnsi="Calibri" w:cs="Calibri"/>
                <w:color w:val="000000"/>
              </w:rPr>
              <w:t> x</w:t>
            </w:r>
          </w:p>
        </w:tc>
        <w:tc>
          <w:tcPr>
            <w:tcW w:w="264" w:type="pct"/>
            <w:shd w:val="clear" w:color="auto" w:fill="auto"/>
            <w:vAlign w:val="bottom"/>
          </w:tcPr>
          <w:p w14:paraId="4E154990" w14:textId="77777777" w:rsidR="00A90443" w:rsidRDefault="00A90443" w:rsidP="00A90443">
            <w:pPr>
              <w:rPr>
                <w:rFonts w:ascii="Calibri" w:hAnsi="Calibri" w:cs="Calibri"/>
                <w:color w:val="000000"/>
              </w:rPr>
            </w:pPr>
            <w:r>
              <w:rPr>
                <w:rFonts w:ascii="Calibri" w:hAnsi="Calibri" w:cs="Calibri"/>
                <w:color w:val="000000"/>
              </w:rPr>
              <w:t>x</w:t>
            </w:r>
          </w:p>
        </w:tc>
        <w:tc>
          <w:tcPr>
            <w:tcW w:w="210" w:type="pct"/>
            <w:shd w:val="clear" w:color="auto" w:fill="auto"/>
            <w:vAlign w:val="bottom"/>
          </w:tcPr>
          <w:p w14:paraId="21B409EF" w14:textId="77777777" w:rsidR="00A90443" w:rsidRDefault="00A90443" w:rsidP="00A90443">
            <w:pPr>
              <w:rPr>
                <w:rFonts w:ascii="Calibri" w:hAnsi="Calibri" w:cs="Calibri"/>
                <w:color w:val="000000"/>
              </w:rPr>
            </w:pPr>
            <w:r>
              <w:rPr>
                <w:rFonts w:ascii="Calibri" w:hAnsi="Calibri" w:cs="Calibri"/>
                <w:color w:val="000000"/>
              </w:rPr>
              <w:t>x</w:t>
            </w:r>
          </w:p>
        </w:tc>
        <w:tc>
          <w:tcPr>
            <w:tcW w:w="194" w:type="pct"/>
            <w:shd w:val="clear" w:color="auto" w:fill="auto"/>
            <w:vAlign w:val="bottom"/>
          </w:tcPr>
          <w:p w14:paraId="12EDC987" w14:textId="77777777" w:rsidR="00A90443" w:rsidRDefault="00A90443" w:rsidP="00A90443">
            <w:pPr>
              <w:rPr>
                <w:rFonts w:ascii="Calibri" w:hAnsi="Calibri" w:cs="Calibri"/>
                <w:color w:val="000000"/>
              </w:rPr>
            </w:pPr>
            <w:r>
              <w:rPr>
                <w:rFonts w:ascii="Calibri" w:hAnsi="Calibri" w:cs="Calibri"/>
                <w:color w:val="000000"/>
              </w:rPr>
              <w:t>x</w:t>
            </w:r>
          </w:p>
        </w:tc>
        <w:tc>
          <w:tcPr>
            <w:tcW w:w="210" w:type="pct"/>
            <w:shd w:val="clear" w:color="auto" w:fill="auto"/>
            <w:vAlign w:val="bottom"/>
          </w:tcPr>
          <w:p w14:paraId="47590042" w14:textId="77777777" w:rsidR="00A90443" w:rsidRDefault="00A90443" w:rsidP="00A90443">
            <w:pPr>
              <w:rPr>
                <w:rFonts w:ascii="Calibri" w:hAnsi="Calibri" w:cs="Calibri"/>
                <w:color w:val="000000"/>
              </w:rPr>
            </w:pPr>
            <w:r>
              <w:rPr>
                <w:rFonts w:ascii="Calibri" w:hAnsi="Calibri" w:cs="Calibri"/>
                <w:color w:val="000000"/>
              </w:rPr>
              <w:t>x</w:t>
            </w:r>
          </w:p>
        </w:tc>
      </w:tr>
      <w:tr w:rsidR="00A90443" w:rsidRPr="00EC5B63" w14:paraId="4C61BCB3" w14:textId="77777777" w:rsidTr="00A90443">
        <w:trPr>
          <w:gridAfter w:val="1"/>
          <w:wAfter w:w="7" w:type="pct"/>
          <w:trHeight w:val="280"/>
        </w:trPr>
        <w:tc>
          <w:tcPr>
            <w:tcW w:w="3831" w:type="pct"/>
            <w:shd w:val="clear" w:color="auto" w:fill="auto"/>
          </w:tcPr>
          <w:p w14:paraId="0A7242B7" w14:textId="77777777" w:rsidR="00A90443" w:rsidRPr="003A2DD7" w:rsidRDefault="00A90443" w:rsidP="00A90443">
            <w:pPr>
              <w:spacing w:after="0" w:line="240" w:lineRule="auto"/>
              <w:rPr>
                <w:rFonts w:ascii="Calibri" w:eastAsia="Times New Roman" w:hAnsi="Calibri" w:cs="Times New Roman"/>
                <w:color w:val="000000"/>
                <w:sz w:val="18"/>
                <w:szCs w:val="18"/>
                <w:lang w:val="es-SV" w:eastAsia="es-SV"/>
              </w:rPr>
            </w:pPr>
            <w:r w:rsidRPr="003922AF">
              <w:rPr>
                <w:rFonts w:ascii="Calibri" w:eastAsia="Times New Roman" w:hAnsi="Calibri" w:cs="Times New Roman"/>
                <w:color w:val="000000"/>
                <w:sz w:val="18"/>
                <w:szCs w:val="18"/>
                <w:lang w:val="es-SV" w:eastAsia="es-SV"/>
              </w:rPr>
              <w:t>Aplicación de mecanismos para que el usuario exprese trato estigmatizante en las CAI</w:t>
            </w:r>
            <w:r w:rsidRPr="003922AF">
              <w:rPr>
                <w:rFonts w:ascii="Calibri" w:eastAsia="Times New Roman" w:hAnsi="Calibri" w:cs="Times New Roman"/>
                <w:color w:val="000000"/>
                <w:sz w:val="18"/>
                <w:szCs w:val="18"/>
                <w:lang w:val="es-SV" w:eastAsia="es-SV"/>
              </w:rPr>
              <w:tab/>
            </w:r>
          </w:p>
        </w:tc>
        <w:tc>
          <w:tcPr>
            <w:tcW w:w="284" w:type="pct"/>
            <w:shd w:val="clear" w:color="auto" w:fill="auto"/>
            <w:vAlign w:val="bottom"/>
          </w:tcPr>
          <w:p w14:paraId="5C7627AB" w14:textId="77777777" w:rsidR="00A90443" w:rsidRDefault="00A90443" w:rsidP="00A90443">
            <w:pPr>
              <w:rPr>
                <w:rFonts w:ascii="Calibri" w:hAnsi="Calibri" w:cs="Calibri"/>
                <w:color w:val="000000"/>
              </w:rPr>
            </w:pPr>
            <w:r>
              <w:rPr>
                <w:rFonts w:ascii="Calibri" w:hAnsi="Calibri" w:cs="Calibri"/>
                <w:color w:val="000000"/>
              </w:rPr>
              <w:t>x</w:t>
            </w:r>
          </w:p>
        </w:tc>
        <w:tc>
          <w:tcPr>
            <w:tcW w:w="264" w:type="pct"/>
            <w:shd w:val="clear" w:color="auto" w:fill="auto"/>
            <w:vAlign w:val="bottom"/>
          </w:tcPr>
          <w:p w14:paraId="3BDCA602" w14:textId="77777777" w:rsidR="00A90443" w:rsidRDefault="00A90443" w:rsidP="00A90443">
            <w:pPr>
              <w:rPr>
                <w:rFonts w:ascii="Calibri" w:hAnsi="Calibri" w:cs="Calibri"/>
                <w:color w:val="000000"/>
              </w:rPr>
            </w:pPr>
            <w:r>
              <w:rPr>
                <w:rFonts w:ascii="Calibri" w:hAnsi="Calibri" w:cs="Calibri"/>
                <w:color w:val="000000"/>
              </w:rPr>
              <w:t>x</w:t>
            </w:r>
          </w:p>
        </w:tc>
        <w:tc>
          <w:tcPr>
            <w:tcW w:w="210" w:type="pct"/>
            <w:shd w:val="clear" w:color="auto" w:fill="auto"/>
            <w:vAlign w:val="bottom"/>
          </w:tcPr>
          <w:p w14:paraId="1AD9813B" w14:textId="77777777" w:rsidR="00A90443" w:rsidRDefault="00A90443" w:rsidP="00A90443">
            <w:pPr>
              <w:rPr>
                <w:rFonts w:ascii="Calibri" w:hAnsi="Calibri" w:cs="Calibri"/>
                <w:color w:val="000000"/>
              </w:rPr>
            </w:pPr>
            <w:r>
              <w:rPr>
                <w:rFonts w:ascii="Calibri" w:hAnsi="Calibri" w:cs="Calibri"/>
                <w:color w:val="000000"/>
              </w:rPr>
              <w:t>x</w:t>
            </w:r>
          </w:p>
        </w:tc>
        <w:tc>
          <w:tcPr>
            <w:tcW w:w="194" w:type="pct"/>
            <w:shd w:val="clear" w:color="auto" w:fill="auto"/>
            <w:vAlign w:val="bottom"/>
          </w:tcPr>
          <w:p w14:paraId="253F7A7E" w14:textId="77777777" w:rsidR="00A90443" w:rsidRDefault="00A90443" w:rsidP="00A90443">
            <w:pPr>
              <w:rPr>
                <w:rFonts w:ascii="Calibri" w:hAnsi="Calibri" w:cs="Calibri"/>
                <w:color w:val="000000"/>
              </w:rPr>
            </w:pPr>
            <w:r>
              <w:rPr>
                <w:rFonts w:ascii="Calibri" w:hAnsi="Calibri" w:cs="Calibri"/>
                <w:color w:val="000000"/>
              </w:rPr>
              <w:t>x</w:t>
            </w:r>
          </w:p>
        </w:tc>
        <w:tc>
          <w:tcPr>
            <w:tcW w:w="210" w:type="pct"/>
            <w:shd w:val="clear" w:color="auto" w:fill="auto"/>
            <w:vAlign w:val="bottom"/>
          </w:tcPr>
          <w:p w14:paraId="0F4B073F" w14:textId="77777777" w:rsidR="00A90443" w:rsidRDefault="00A90443" w:rsidP="00A90443">
            <w:pPr>
              <w:rPr>
                <w:rFonts w:ascii="Calibri" w:hAnsi="Calibri" w:cs="Calibri"/>
                <w:color w:val="000000"/>
              </w:rPr>
            </w:pPr>
            <w:r>
              <w:rPr>
                <w:rFonts w:ascii="Calibri" w:hAnsi="Calibri" w:cs="Calibri"/>
                <w:color w:val="000000"/>
              </w:rPr>
              <w:t>x</w:t>
            </w:r>
          </w:p>
        </w:tc>
      </w:tr>
    </w:tbl>
    <w:p w14:paraId="5C90FD70" w14:textId="77777777" w:rsidR="00C4329B" w:rsidRDefault="00C4329B"/>
    <w:tbl>
      <w:tblPr>
        <w:tblW w:w="5000" w:type="pct"/>
        <w:tblCellMar>
          <w:left w:w="70" w:type="dxa"/>
          <w:right w:w="70" w:type="dxa"/>
        </w:tblCellMar>
        <w:tblLook w:val="04A0" w:firstRow="1" w:lastRow="0" w:firstColumn="1" w:lastColumn="0" w:noHBand="0" w:noVBand="1"/>
      </w:tblPr>
      <w:tblGrid>
        <w:gridCol w:w="3056"/>
        <w:gridCol w:w="2596"/>
        <w:gridCol w:w="1840"/>
        <w:gridCol w:w="1835"/>
        <w:gridCol w:w="1824"/>
        <w:gridCol w:w="1843"/>
      </w:tblGrid>
      <w:tr w:rsidR="00032AB4" w:rsidRPr="0077324A" w14:paraId="4961B247" w14:textId="77777777" w:rsidTr="003A2DD7">
        <w:trPr>
          <w:trHeight w:val="551"/>
        </w:trPr>
        <w:tc>
          <w:tcPr>
            <w:tcW w:w="1176"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157866F" w14:textId="77777777" w:rsidR="00032AB4" w:rsidRPr="0077324A" w:rsidRDefault="00032AB4" w:rsidP="00032AB4">
            <w:pP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 xml:space="preserve">Líneas de acción de la estrategia </w:t>
            </w:r>
          </w:p>
        </w:tc>
        <w:tc>
          <w:tcPr>
            <w:tcW w:w="999"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5CD1482" w14:textId="77777777" w:rsidR="00032AB4" w:rsidRPr="00032AB4" w:rsidRDefault="00032AB4" w:rsidP="00032AB4">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Situación actual</w:t>
            </w:r>
          </w:p>
          <w:p w14:paraId="3798A44E" w14:textId="77777777" w:rsidR="00032AB4" w:rsidRPr="00032AB4" w:rsidRDefault="00032AB4" w:rsidP="00312362">
            <w:pPr>
              <w:rPr>
                <w:rFonts w:ascii="Calibri" w:eastAsia="Times New Roman" w:hAnsi="Calibri" w:cs="Times New Roman"/>
                <w:color w:val="000000"/>
                <w:sz w:val="18"/>
                <w:szCs w:val="18"/>
                <w:lang w:val="es-SV" w:eastAsia="es-SV"/>
              </w:rPr>
            </w:pPr>
          </w:p>
        </w:tc>
        <w:tc>
          <w:tcPr>
            <w:tcW w:w="708"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5E41F72" w14:textId="77777777" w:rsidR="00032AB4" w:rsidRPr="00032AB4" w:rsidRDefault="00032AB4" w:rsidP="00032AB4">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 xml:space="preserve">Oportunidades </w:t>
            </w:r>
          </w:p>
          <w:p w14:paraId="4B9753D2" w14:textId="77777777" w:rsidR="00032AB4" w:rsidRPr="00032AB4" w:rsidRDefault="00032AB4" w:rsidP="00032AB4">
            <w:pPr>
              <w:spacing w:after="0" w:line="240" w:lineRule="auto"/>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 </w:t>
            </w:r>
          </w:p>
        </w:tc>
        <w:tc>
          <w:tcPr>
            <w:tcW w:w="706"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7777F6D" w14:textId="77777777" w:rsidR="00032AB4" w:rsidRPr="00032AB4" w:rsidRDefault="00032AB4" w:rsidP="00032AB4">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Desafíos</w:t>
            </w:r>
          </w:p>
        </w:tc>
        <w:tc>
          <w:tcPr>
            <w:tcW w:w="702"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E602DCD" w14:textId="77777777" w:rsidR="00032AB4" w:rsidRPr="00032AB4" w:rsidRDefault="00032AB4" w:rsidP="00032AB4">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 xml:space="preserve"> Meta (en base a brechas y prioridades) </w:t>
            </w:r>
          </w:p>
        </w:tc>
        <w:tc>
          <w:tcPr>
            <w:tcW w:w="70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1AC9C39A" w14:textId="77777777" w:rsidR="00032AB4" w:rsidRPr="00032AB4" w:rsidRDefault="00032AB4" w:rsidP="00032AB4">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Responsables de actividades</w:t>
            </w:r>
          </w:p>
        </w:tc>
      </w:tr>
      <w:tr w:rsidR="00047B1F" w:rsidRPr="00047B1F" w14:paraId="0B69BC4E" w14:textId="77777777" w:rsidTr="00221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5"/>
        </w:trPr>
        <w:tc>
          <w:tcPr>
            <w:tcW w:w="1176" w:type="pct"/>
            <w:shd w:val="clear" w:color="auto" w:fill="auto"/>
            <w:hideMark/>
          </w:tcPr>
          <w:p w14:paraId="440124A3" w14:textId="77777777" w:rsidR="00047B1F" w:rsidRPr="00047B1F" w:rsidRDefault="00047B1F" w:rsidP="00047B1F">
            <w:pPr>
              <w:spacing w:after="0" w:line="240" w:lineRule="auto"/>
              <w:rPr>
                <w:rFonts w:ascii="Calibri" w:eastAsia="Times New Roman" w:hAnsi="Calibri" w:cs="Times New Roman"/>
                <w:b/>
                <w:bCs/>
                <w:color w:val="000000"/>
                <w:sz w:val="18"/>
                <w:szCs w:val="18"/>
                <w:lang w:val="es-SV" w:eastAsia="es-SV"/>
              </w:rPr>
            </w:pPr>
            <w:r w:rsidRPr="00047B1F">
              <w:rPr>
                <w:rFonts w:ascii="Calibri" w:eastAsia="Times New Roman" w:hAnsi="Calibri" w:cs="Times New Roman"/>
                <w:b/>
                <w:bCs/>
                <w:color w:val="000000"/>
                <w:sz w:val="18"/>
                <w:szCs w:val="18"/>
                <w:lang w:val="es-SV" w:eastAsia="es-SV"/>
              </w:rPr>
              <w:t>8. Adopción de nuevas tecnologías sanitarias de costo reducido y eficiencia comprobada que generan un impacto positivo  en el  control  de costos y en los resultados de la epidemia.</w:t>
            </w:r>
          </w:p>
        </w:tc>
        <w:tc>
          <w:tcPr>
            <w:tcW w:w="999" w:type="pct"/>
            <w:shd w:val="clear" w:color="auto" w:fill="auto"/>
            <w:hideMark/>
          </w:tcPr>
          <w:p w14:paraId="7AE748B1"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Actualmente están siendo integradas al esquema de tratamiento antirretroviral, nuevos medicamentos para la atención del VIH como el Dolutegravir, cuyos efectos son comprobados y sus costos reducidos, entre otras tecnologías sanitarias de costo reducidos</w:t>
            </w:r>
          </w:p>
        </w:tc>
        <w:tc>
          <w:tcPr>
            <w:tcW w:w="708" w:type="pct"/>
            <w:shd w:val="clear" w:color="auto" w:fill="auto"/>
            <w:hideMark/>
          </w:tcPr>
          <w:p w14:paraId="15DCB972"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xml:space="preserve">Existe la oportunidad de adquirir nuevas tecnologías sanitarias de costos reducidos a través de </w:t>
            </w:r>
          </w:p>
        </w:tc>
        <w:tc>
          <w:tcPr>
            <w:tcW w:w="706" w:type="pct"/>
            <w:shd w:val="clear" w:color="auto" w:fill="auto"/>
            <w:hideMark/>
          </w:tcPr>
          <w:p w14:paraId="4FC309BA"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xml:space="preserve">Estudiar el uso del Dolutegravir y sus efectos y costos. </w:t>
            </w:r>
            <w:r w:rsidRPr="00047B1F">
              <w:rPr>
                <w:rFonts w:ascii="Calibri" w:eastAsia="Times New Roman" w:hAnsi="Calibri" w:cs="Times New Roman"/>
                <w:color w:val="000000"/>
                <w:sz w:val="18"/>
                <w:szCs w:val="18"/>
                <w:lang w:val="es-SV" w:eastAsia="es-SV"/>
              </w:rPr>
              <w:br/>
              <w:t>Estudiar también el uso de otras tecnologías sanitarias de bajo costo</w:t>
            </w:r>
          </w:p>
        </w:tc>
        <w:tc>
          <w:tcPr>
            <w:tcW w:w="702" w:type="pct"/>
            <w:shd w:val="clear" w:color="auto" w:fill="auto"/>
            <w:hideMark/>
          </w:tcPr>
          <w:p w14:paraId="08591112"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Integrar el Dolutegravir al esquema de tratamiento de personas con VIH e incluirlo en la Guía Clínica de Atención, como una forma de reducir costos</w:t>
            </w:r>
          </w:p>
        </w:tc>
        <w:tc>
          <w:tcPr>
            <w:tcW w:w="709" w:type="pct"/>
            <w:shd w:val="clear" w:color="auto" w:fill="auto"/>
            <w:vAlign w:val="bottom"/>
            <w:hideMark/>
          </w:tcPr>
          <w:p w14:paraId="5BF0939D" w14:textId="77777777" w:rsid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Programa Nacional de ITS y VIH /Sida, Sociedad Civil agencias de cooperación, Subcomisión Técnica Terapéutica de CONAVIH</w:t>
            </w:r>
          </w:p>
          <w:p w14:paraId="375BD117" w14:textId="77777777" w:rsidR="00233D63" w:rsidRDefault="00233D63" w:rsidP="00047B1F">
            <w:pPr>
              <w:spacing w:after="0" w:line="240" w:lineRule="auto"/>
              <w:rPr>
                <w:rFonts w:ascii="Calibri" w:eastAsia="Times New Roman" w:hAnsi="Calibri" w:cs="Times New Roman"/>
                <w:color w:val="000000"/>
                <w:sz w:val="18"/>
                <w:szCs w:val="18"/>
                <w:lang w:val="es-SV" w:eastAsia="es-SV"/>
              </w:rPr>
            </w:pPr>
          </w:p>
          <w:p w14:paraId="58713E23" w14:textId="77777777" w:rsidR="00233D63" w:rsidRPr="00047B1F" w:rsidRDefault="00233D63" w:rsidP="00047B1F">
            <w:pPr>
              <w:spacing w:after="0" w:line="240" w:lineRule="auto"/>
              <w:rPr>
                <w:rFonts w:ascii="Calibri" w:eastAsia="Times New Roman" w:hAnsi="Calibri" w:cs="Times New Roman"/>
                <w:color w:val="000000"/>
                <w:sz w:val="18"/>
                <w:szCs w:val="18"/>
                <w:lang w:val="es-SV" w:eastAsia="es-SV"/>
              </w:rPr>
            </w:pPr>
          </w:p>
        </w:tc>
      </w:tr>
    </w:tbl>
    <w:p w14:paraId="7269ABEA" w14:textId="77777777" w:rsidR="003A2DD7" w:rsidRDefault="003A2DD7"/>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4"/>
        <w:gridCol w:w="623"/>
        <w:gridCol w:w="852"/>
        <w:gridCol w:w="569"/>
        <w:gridCol w:w="566"/>
        <w:gridCol w:w="566"/>
        <w:gridCol w:w="54"/>
      </w:tblGrid>
      <w:tr w:rsidR="00221804" w:rsidRPr="00047B1F" w14:paraId="077EA507" w14:textId="77777777" w:rsidTr="003A2DD7">
        <w:trPr>
          <w:trHeight w:val="388"/>
        </w:trPr>
        <w:tc>
          <w:tcPr>
            <w:tcW w:w="5000" w:type="pct"/>
            <w:gridSpan w:val="7"/>
            <w:shd w:val="clear" w:color="auto" w:fill="auto"/>
          </w:tcPr>
          <w:p w14:paraId="5AF516F5" w14:textId="77777777" w:rsidR="00221804" w:rsidRPr="00EC5B63" w:rsidRDefault="00AE5337" w:rsidP="00221804">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 xml:space="preserve">Acciones / </w:t>
            </w:r>
            <w:r w:rsidRPr="00EE1739">
              <w:rPr>
                <w:rFonts w:ascii="Calibri" w:eastAsia="Times New Roman" w:hAnsi="Calibri" w:cs="Times New Roman"/>
                <w:b/>
                <w:color w:val="000000"/>
                <w:sz w:val="18"/>
                <w:szCs w:val="18"/>
                <w:lang w:val="es-SV" w:eastAsia="es-SV"/>
              </w:rPr>
              <w:t>Periodo de ejecución</w:t>
            </w:r>
          </w:p>
        </w:tc>
      </w:tr>
      <w:tr w:rsidR="00221804" w:rsidRPr="00047B1F" w14:paraId="53867E5D" w14:textId="77777777" w:rsidTr="003A2DD7">
        <w:trPr>
          <w:gridAfter w:val="1"/>
          <w:wAfter w:w="21" w:type="pct"/>
          <w:trHeight w:val="280"/>
        </w:trPr>
        <w:tc>
          <w:tcPr>
            <w:tcW w:w="3745" w:type="pct"/>
            <w:shd w:val="clear" w:color="auto" w:fill="auto"/>
          </w:tcPr>
          <w:p w14:paraId="208D9FDD" w14:textId="77777777" w:rsidR="00221804" w:rsidRPr="00EC5B63" w:rsidRDefault="00221804" w:rsidP="00AE5337">
            <w:pPr>
              <w:spacing w:after="0" w:line="240" w:lineRule="auto"/>
              <w:rPr>
                <w:rFonts w:ascii="Calibri" w:eastAsia="Times New Roman" w:hAnsi="Calibri" w:cs="Times New Roman"/>
                <w:b/>
                <w:color w:val="000000"/>
                <w:sz w:val="18"/>
                <w:szCs w:val="18"/>
                <w:lang w:val="es-SV" w:eastAsia="es-SV"/>
              </w:rPr>
            </w:pPr>
          </w:p>
        </w:tc>
        <w:tc>
          <w:tcPr>
            <w:tcW w:w="242" w:type="pct"/>
            <w:shd w:val="clear" w:color="auto" w:fill="auto"/>
          </w:tcPr>
          <w:p w14:paraId="743A9C1A" w14:textId="77777777" w:rsidR="00221804" w:rsidRPr="00EC5B63" w:rsidRDefault="00221804" w:rsidP="00221804">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2019</w:t>
            </w:r>
          </w:p>
        </w:tc>
        <w:tc>
          <w:tcPr>
            <w:tcW w:w="331" w:type="pct"/>
            <w:shd w:val="clear" w:color="auto" w:fill="auto"/>
          </w:tcPr>
          <w:p w14:paraId="078381D7" w14:textId="77777777" w:rsidR="00221804" w:rsidRPr="00EC5B63" w:rsidRDefault="00221804" w:rsidP="00221804">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2020</w:t>
            </w:r>
          </w:p>
        </w:tc>
        <w:tc>
          <w:tcPr>
            <w:tcW w:w="221" w:type="pct"/>
            <w:shd w:val="clear" w:color="auto" w:fill="auto"/>
          </w:tcPr>
          <w:p w14:paraId="5B18DA43" w14:textId="77777777" w:rsidR="00221804" w:rsidRPr="00EC5B63" w:rsidRDefault="00221804" w:rsidP="00221804">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2021</w:t>
            </w:r>
          </w:p>
        </w:tc>
        <w:tc>
          <w:tcPr>
            <w:tcW w:w="220" w:type="pct"/>
            <w:shd w:val="clear" w:color="auto" w:fill="auto"/>
          </w:tcPr>
          <w:p w14:paraId="637A2F47" w14:textId="77777777" w:rsidR="00221804" w:rsidRPr="00EC5B63" w:rsidRDefault="00221804" w:rsidP="00221804">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2022</w:t>
            </w:r>
          </w:p>
        </w:tc>
        <w:tc>
          <w:tcPr>
            <w:tcW w:w="220" w:type="pct"/>
            <w:shd w:val="clear" w:color="auto" w:fill="auto"/>
          </w:tcPr>
          <w:p w14:paraId="6174A90F" w14:textId="77777777" w:rsidR="00221804" w:rsidRPr="00EC5B63" w:rsidRDefault="00221804" w:rsidP="00221804">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2023</w:t>
            </w:r>
          </w:p>
        </w:tc>
      </w:tr>
      <w:tr w:rsidR="00D839D6" w:rsidRPr="00047B1F" w14:paraId="7F010C65" w14:textId="77777777" w:rsidTr="003A2DD7">
        <w:trPr>
          <w:gridAfter w:val="1"/>
          <w:wAfter w:w="21" w:type="pct"/>
          <w:trHeight w:val="365"/>
        </w:trPr>
        <w:tc>
          <w:tcPr>
            <w:tcW w:w="3745" w:type="pct"/>
            <w:shd w:val="clear" w:color="auto" w:fill="auto"/>
            <w:hideMark/>
          </w:tcPr>
          <w:p w14:paraId="69AA8E6C" w14:textId="77777777" w:rsidR="00D839D6" w:rsidRPr="00047B1F" w:rsidRDefault="00C4329B" w:rsidP="00D839D6">
            <w:pPr>
              <w:spacing w:after="0" w:line="240" w:lineRule="auto"/>
              <w:rPr>
                <w:rFonts w:ascii="Calibri" w:eastAsia="Times New Roman" w:hAnsi="Calibri" w:cs="Times New Roman"/>
                <w:color w:val="000000"/>
                <w:sz w:val="18"/>
                <w:szCs w:val="18"/>
                <w:lang w:val="es-SV" w:eastAsia="es-SV"/>
              </w:rPr>
            </w:pPr>
            <w:r w:rsidRPr="00C4329B">
              <w:rPr>
                <w:rFonts w:ascii="Calibri" w:eastAsia="Times New Roman" w:hAnsi="Calibri" w:cs="Times New Roman"/>
                <w:color w:val="000000"/>
                <w:sz w:val="18"/>
                <w:szCs w:val="18"/>
                <w:lang w:val="es-SV" w:eastAsia="es-SV"/>
              </w:rPr>
              <w:t>Asistencia técnica para análisis</w:t>
            </w:r>
            <w:r w:rsidR="005B205A">
              <w:rPr>
                <w:rFonts w:ascii="Calibri" w:eastAsia="Times New Roman" w:hAnsi="Calibri" w:cs="Times New Roman"/>
                <w:color w:val="000000"/>
                <w:sz w:val="18"/>
                <w:szCs w:val="18"/>
                <w:lang w:val="es-SV" w:eastAsia="es-SV"/>
              </w:rPr>
              <w:t xml:space="preserve"> </w:t>
            </w:r>
            <w:r w:rsidRPr="00C4329B">
              <w:rPr>
                <w:rFonts w:ascii="Calibri" w:eastAsia="Times New Roman" w:hAnsi="Calibri" w:cs="Times New Roman"/>
                <w:color w:val="000000"/>
                <w:sz w:val="18"/>
                <w:szCs w:val="18"/>
                <w:lang w:val="es-SV" w:eastAsia="es-SV"/>
              </w:rPr>
              <w:t xml:space="preserve"> de los beneficios del  uso del Dolu</w:t>
            </w:r>
            <w:r w:rsidR="005B205A">
              <w:rPr>
                <w:rFonts w:ascii="Calibri" w:eastAsia="Times New Roman" w:hAnsi="Calibri" w:cs="Times New Roman"/>
                <w:color w:val="000000"/>
                <w:sz w:val="18"/>
                <w:szCs w:val="18"/>
                <w:lang w:val="es-SV" w:eastAsia="es-SV"/>
              </w:rPr>
              <w:t>tegravir y sus efectos y costos y planes de introducción</w:t>
            </w:r>
            <w:r w:rsidR="00DB7998">
              <w:rPr>
                <w:rFonts w:ascii="Calibri" w:eastAsia="Times New Roman" w:hAnsi="Calibri" w:cs="Times New Roman"/>
                <w:color w:val="000000"/>
                <w:sz w:val="18"/>
                <w:szCs w:val="18"/>
                <w:lang w:val="es-SV" w:eastAsia="es-SV"/>
              </w:rPr>
              <w:t>, transición</w:t>
            </w:r>
            <w:r w:rsidR="005B205A">
              <w:rPr>
                <w:rFonts w:ascii="Calibri" w:eastAsia="Times New Roman" w:hAnsi="Calibri" w:cs="Times New Roman"/>
                <w:color w:val="000000"/>
                <w:sz w:val="18"/>
                <w:szCs w:val="18"/>
                <w:lang w:val="es-SV" w:eastAsia="es-SV"/>
              </w:rPr>
              <w:t xml:space="preserve"> </w:t>
            </w:r>
            <w:r w:rsidR="005B205A" w:rsidRPr="005B205A">
              <w:rPr>
                <w:rFonts w:ascii="Calibri" w:eastAsia="Times New Roman" w:hAnsi="Calibri" w:cs="Times New Roman"/>
                <w:color w:val="000000"/>
                <w:sz w:val="18"/>
                <w:szCs w:val="18"/>
                <w:lang w:val="es-SV" w:eastAsia="es-SV"/>
              </w:rPr>
              <w:t>o cambio en nuevos antirretrovirales</w:t>
            </w:r>
          </w:p>
        </w:tc>
        <w:tc>
          <w:tcPr>
            <w:tcW w:w="242" w:type="pct"/>
            <w:shd w:val="clear" w:color="auto" w:fill="auto"/>
            <w:vAlign w:val="bottom"/>
            <w:hideMark/>
          </w:tcPr>
          <w:p w14:paraId="4F26C0DE" w14:textId="77777777" w:rsidR="00D839D6" w:rsidRDefault="00D839D6" w:rsidP="00D839D6">
            <w:pPr>
              <w:jc w:val="center"/>
              <w:rPr>
                <w:rFonts w:ascii="Calibri" w:hAnsi="Calibri"/>
                <w:color w:val="000000"/>
              </w:rPr>
            </w:pPr>
            <w:r>
              <w:rPr>
                <w:rFonts w:ascii="Calibri" w:hAnsi="Calibri"/>
                <w:color w:val="000000"/>
              </w:rPr>
              <w:t>x</w:t>
            </w:r>
          </w:p>
        </w:tc>
        <w:tc>
          <w:tcPr>
            <w:tcW w:w="331" w:type="pct"/>
            <w:shd w:val="clear" w:color="auto" w:fill="auto"/>
            <w:hideMark/>
          </w:tcPr>
          <w:p w14:paraId="1CC1D340" w14:textId="77777777" w:rsidR="00D839D6" w:rsidRPr="00047B1F" w:rsidRDefault="00D839D6" w:rsidP="00D839D6">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c>
          <w:tcPr>
            <w:tcW w:w="221" w:type="pct"/>
            <w:shd w:val="clear" w:color="auto" w:fill="auto"/>
            <w:hideMark/>
          </w:tcPr>
          <w:p w14:paraId="52D2067B" w14:textId="77777777" w:rsidR="00D839D6" w:rsidRPr="00047B1F" w:rsidRDefault="00D839D6" w:rsidP="00D839D6">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c>
          <w:tcPr>
            <w:tcW w:w="220" w:type="pct"/>
            <w:shd w:val="clear" w:color="auto" w:fill="auto"/>
            <w:hideMark/>
          </w:tcPr>
          <w:p w14:paraId="5E4F7A6B" w14:textId="77777777" w:rsidR="00D839D6" w:rsidRPr="00047B1F" w:rsidRDefault="00D839D6" w:rsidP="00D839D6">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c>
          <w:tcPr>
            <w:tcW w:w="220" w:type="pct"/>
            <w:shd w:val="clear" w:color="auto" w:fill="auto"/>
            <w:vAlign w:val="bottom"/>
            <w:hideMark/>
          </w:tcPr>
          <w:p w14:paraId="2A183DA1" w14:textId="77777777" w:rsidR="00D839D6" w:rsidRPr="00047B1F" w:rsidRDefault="00D839D6" w:rsidP="00D839D6">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r>
      <w:tr w:rsidR="00D839D6" w:rsidRPr="00047B1F" w14:paraId="04324CD5" w14:textId="77777777" w:rsidTr="003A2DD7">
        <w:trPr>
          <w:gridAfter w:val="1"/>
          <w:wAfter w:w="21" w:type="pct"/>
          <w:trHeight w:val="457"/>
        </w:trPr>
        <w:tc>
          <w:tcPr>
            <w:tcW w:w="3745" w:type="pct"/>
            <w:shd w:val="clear" w:color="auto" w:fill="auto"/>
            <w:hideMark/>
          </w:tcPr>
          <w:p w14:paraId="664586C2" w14:textId="77777777" w:rsidR="00D839D6" w:rsidRPr="00047B1F" w:rsidRDefault="00C4329B" w:rsidP="00D839D6">
            <w:pPr>
              <w:spacing w:after="0" w:line="240" w:lineRule="auto"/>
              <w:rPr>
                <w:rFonts w:ascii="Calibri" w:eastAsia="Times New Roman" w:hAnsi="Calibri" w:cs="Times New Roman"/>
                <w:color w:val="000000"/>
                <w:sz w:val="18"/>
                <w:szCs w:val="18"/>
                <w:lang w:val="es-SV" w:eastAsia="es-SV"/>
              </w:rPr>
            </w:pPr>
            <w:r w:rsidRPr="00C4329B">
              <w:rPr>
                <w:rFonts w:ascii="Calibri" w:eastAsia="Times New Roman" w:hAnsi="Calibri" w:cs="Times New Roman"/>
                <w:color w:val="000000"/>
                <w:sz w:val="18"/>
                <w:szCs w:val="18"/>
                <w:lang w:val="es-SV" w:eastAsia="es-SV"/>
              </w:rPr>
              <w:t>Sesión de análisis para integrar el medicamento como esquema de atención a personas con VIH en la Guía Clínica de Atención</w:t>
            </w:r>
          </w:p>
        </w:tc>
        <w:tc>
          <w:tcPr>
            <w:tcW w:w="242" w:type="pct"/>
            <w:shd w:val="clear" w:color="auto" w:fill="auto"/>
            <w:vAlign w:val="bottom"/>
            <w:hideMark/>
          </w:tcPr>
          <w:p w14:paraId="144FBB49" w14:textId="77777777" w:rsidR="00D839D6" w:rsidRDefault="00D839D6" w:rsidP="00D839D6">
            <w:pPr>
              <w:jc w:val="center"/>
              <w:rPr>
                <w:rFonts w:ascii="Calibri" w:hAnsi="Calibri"/>
                <w:color w:val="000000"/>
              </w:rPr>
            </w:pPr>
            <w:r>
              <w:rPr>
                <w:rFonts w:ascii="Calibri" w:hAnsi="Calibri"/>
                <w:color w:val="000000"/>
              </w:rPr>
              <w:t>x</w:t>
            </w:r>
          </w:p>
        </w:tc>
        <w:tc>
          <w:tcPr>
            <w:tcW w:w="331" w:type="pct"/>
            <w:shd w:val="clear" w:color="auto" w:fill="auto"/>
            <w:hideMark/>
          </w:tcPr>
          <w:p w14:paraId="51D0AE32" w14:textId="77777777" w:rsidR="00D839D6" w:rsidRPr="00047B1F" w:rsidRDefault="00D839D6" w:rsidP="00D839D6">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c>
          <w:tcPr>
            <w:tcW w:w="221" w:type="pct"/>
            <w:shd w:val="clear" w:color="auto" w:fill="auto"/>
            <w:hideMark/>
          </w:tcPr>
          <w:p w14:paraId="4DB7835D" w14:textId="77777777" w:rsidR="00D839D6" w:rsidRPr="00047B1F" w:rsidRDefault="00D839D6" w:rsidP="00D839D6">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c>
          <w:tcPr>
            <w:tcW w:w="220" w:type="pct"/>
            <w:shd w:val="clear" w:color="auto" w:fill="auto"/>
            <w:hideMark/>
          </w:tcPr>
          <w:p w14:paraId="14376067" w14:textId="77777777" w:rsidR="00D839D6" w:rsidRPr="00047B1F" w:rsidRDefault="00D839D6" w:rsidP="00D839D6">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c>
          <w:tcPr>
            <w:tcW w:w="220" w:type="pct"/>
            <w:shd w:val="clear" w:color="auto" w:fill="auto"/>
            <w:vAlign w:val="bottom"/>
            <w:hideMark/>
          </w:tcPr>
          <w:p w14:paraId="2B7A0C30" w14:textId="77777777" w:rsidR="00D839D6" w:rsidRPr="00047B1F" w:rsidRDefault="00D839D6" w:rsidP="00D839D6">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 </w:t>
            </w:r>
          </w:p>
        </w:tc>
      </w:tr>
      <w:tr w:rsidR="00701D51" w:rsidRPr="00047B1F" w14:paraId="41D41D60" w14:textId="77777777" w:rsidTr="00F227A2">
        <w:trPr>
          <w:gridAfter w:val="1"/>
          <w:wAfter w:w="21" w:type="pct"/>
          <w:trHeight w:val="457"/>
        </w:trPr>
        <w:tc>
          <w:tcPr>
            <w:tcW w:w="3745" w:type="pct"/>
            <w:shd w:val="clear" w:color="auto" w:fill="auto"/>
          </w:tcPr>
          <w:p w14:paraId="18BA2E1F" w14:textId="77777777" w:rsidR="00701D51" w:rsidRPr="000D1D01" w:rsidRDefault="00701D51" w:rsidP="00701D51">
            <w:pPr>
              <w:rPr>
                <w:rFonts w:ascii="Calibri" w:eastAsia="Times New Roman" w:hAnsi="Calibri" w:cs="Times New Roman"/>
                <w:color w:val="000000"/>
                <w:sz w:val="18"/>
                <w:szCs w:val="18"/>
                <w:lang w:val="es-SV" w:eastAsia="es-SV"/>
              </w:rPr>
            </w:pPr>
            <w:r w:rsidRPr="000D1D01">
              <w:rPr>
                <w:rFonts w:ascii="Calibri" w:eastAsia="Times New Roman" w:hAnsi="Calibri" w:cs="Times New Roman"/>
                <w:color w:val="000000"/>
                <w:sz w:val="18"/>
                <w:szCs w:val="18"/>
                <w:lang w:val="es-SV" w:eastAsia="es-SV"/>
              </w:rPr>
              <w:t>Capacitación e inclusión de nuevos laboratorios privados al programa para la realización de pruebas de VIH permitiendo una mayor cobertura y acceso más rápido a los servicios.</w:t>
            </w:r>
          </w:p>
        </w:tc>
        <w:tc>
          <w:tcPr>
            <w:tcW w:w="242" w:type="pct"/>
            <w:shd w:val="clear" w:color="auto" w:fill="auto"/>
          </w:tcPr>
          <w:p w14:paraId="39880B37" w14:textId="77777777" w:rsidR="00701D51" w:rsidRDefault="00701D51" w:rsidP="00701D51">
            <w:r w:rsidRPr="001534ED">
              <w:rPr>
                <w:rFonts w:ascii="Calibri" w:hAnsi="Calibri"/>
                <w:color w:val="000000"/>
              </w:rPr>
              <w:t>x</w:t>
            </w:r>
          </w:p>
        </w:tc>
        <w:tc>
          <w:tcPr>
            <w:tcW w:w="331" w:type="pct"/>
            <w:shd w:val="clear" w:color="auto" w:fill="auto"/>
          </w:tcPr>
          <w:p w14:paraId="33232069" w14:textId="77777777" w:rsidR="00701D51" w:rsidRDefault="00701D51" w:rsidP="00701D51">
            <w:r w:rsidRPr="001534ED">
              <w:rPr>
                <w:rFonts w:ascii="Calibri" w:hAnsi="Calibri"/>
                <w:color w:val="000000"/>
              </w:rPr>
              <w:t>x</w:t>
            </w:r>
          </w:p>
        </w:tc>
        <w:tc>
          <w:tcPr>
            <w:tcW w:w="221" w:type="pct"/>
            <w:shd w:val="clear" w:color="auto" w:fill="auto"/>
          </w:tcPr>
          <w:p w14:paraId="659F3768" w14:textId="77777777" w:rsidR="00701D51" w:rsidRDefault="00701D51" w:rsidP="00701D51">
            <w:r w:rsidRPr="001534ED">
              <w:rPr>
                <w:rFonts w:ascii="Calibri" w:hAnsi="Calibri"/>
                <w:color w:val="000000"/>
              </w:rPr>
              <w:t>x</w:t>
            </w:r>
          </w:p>
        </w:tc>
        <w:tc>
          <w:tcPr>
            <w:tcW w:w="220" w:type="pct"/>
            <w:shd w:val="clear" w:color="auto" w:fill="auto"/>
          </w:tcPr>
          <w:p w14:paraId="281D73C3" w14:textId="77777777" w:rsidR="00701D51" w:rsidRDefault="00701D51" w:rsidP="00701D51">
            <w:r w:rsidRPr="001534ED">
              <w:rPr>
                <w:rFonts w:ascii="Calibri" w:hAnsi="Calibri"/>
                <w:color w:val="000000"/>
              </w:rPr>
              <w:t>x</w:t>
            </w:r>
          </w:p>
        </w:tc>
        <w:tc>
          <w:tcPr>
            <w:tcW w:w="220" w:type="pct"/>
            <w:shd w:val="clear" w:color="auto" w:fill="auto"/>
          </w:tcPr>
          <w:p w14:paraId="0CEED7A9" w14:textId="77777777" w:rsidR="00701D51" w:rsidRDefault="00701D51" w:rsidP="00701D51">
            <w:r w:rsidRPr="001534ED">
              <w:rPr>
                <w:rFonts w:ascii="Calibri" w:hAnsi="Calibri"/>
                <w:color w:val="000000"/>
              </w:rPr>
              <w:t>x</w:t>
            </w:r>
          </w:p>
        </w:tc>
      </w:tr>
      <w:tr w:rsidR="00701D51" w:rsidRPr="00047B1F" w14:paraId="3E3A2D56" w14:textId="77777777" w:rsidTr="00F227A2">
        <w:trPr>
          <w:gridAfter w:val="1"/>
          <w:wAfter w:w="21" w:type="pct"/>
          <w:trHeight w:val="457"/>
        </w:trPr>
        <w:tc>
          <w:tcPr>
            <w:tcW w:w="3745" w:type="pct"/>
            <w:shd w:val="clear" w:color="auto" w:fill="auto"/>
          </w:tcPr>
          <w:p w14:paraId="0177C172" w14:textId="77777777" w:rsidR="00701D51" w:rsidRPr="00C4329B" w:rsidRDefault="00701D51" w:rsidP="00701D51">
            <w:pPr>
              <w:spacing w:after="0" w:line="240" w:lineRule="auto"/>
              <w:rPr>
                <w:rFonts w:ascii="Calibri" w:eastAsia="Times New Roman" w:hAnsi="Calibri" w:cs="Times New Roman"/>
                <w:color w:val="000000"/>
                <w:sz w:val="18"/>
                <w:szCs w:val="18"/>
                <w:lang w:val="es-SV" w:eastAsia="es-SV"/>
              </w:rPr>
            </w:pPr>
            <w:r w:rsidRPr="000D1D01">
              <w:rPr>
                <w:rFonts w:ascii="Calibri" w:eastAsia="Times New Roman" w:hAnsi="Calibri" w:cs="Times New Roman"/>
                <w:color w:val="000000"/>
                <w:sz w:val="18"/>
                <w:szCs w:val="18"/>
                <w:lang w:val="es-SV" w:eastAsia="es-SV"/>
              </w:rPr>
              <w:lastRenderedPageBreak/>
              <w:t>Implementación de Telefonía móvil como herramienta para impulsar la asistencia puntual a citas y toma de medicamentos</w:t>
            </w:r>
          </w:p>
        </w:tc>
        <w:tc>
          <w:tcPr>
            <w:tcW w:w="242" w:type="pct"/>
            <w:shd w:val="clear" w:color="auto" w:fill="auto"/>
          </w:tcPr>
          <w:p w14:paraId="6A44F686" w14:textId="77777777" w:rsidR="00701D51" w:rsidRDefault="00701D51" w:rsidP="00701D51">
            <w:r w:rsidRPr="00D40E69">
              <w:rPr>
                <w:rFonts w:ascii="Calibri" w:hAnsi="Calibri"/>
                <w:color w:val="000000"/>
              </w:rPr>
              <w:t>x</w:t>
            </w:r>
          </w:p>
        </w:tc>
        <w:tc>
          <w:tcPr>
            <w:tcW w:w="331" w:type="pct"/>
            <w:shd w:val="clear" w:color="auto" w:fill="auto"/>
          </w:tcPr>
          <w:p w14:paraId="72B250CA" w14:textId="77777777" w:rsidR="00701D51" w:rsidRDefault="00701D51" w:rsidP="00701D51">
            <w:r w:rsidRPr="00D40E69">
              <w:rPr>
                <w:rFonts w:ascii="Calibri" w:hAnsi="Calibri"/>
                <w:color w:val="000000"/>
              </w:rPr>
              <w:t>x</w:t>
            </w:r>
          </w:p>
        </w:tc>
        <w:tc>
          <w:tcPr>
            <w:tcW w:w="221" w:type="pct"/>
            <w:shd w:val="clear" w:color="auto" w:fill="auto"/>
          </w:tcPr>
          <w:p w14:paraId="3DD24015" w14:textId="77777777" w:rsidR="00701D51" w:rsidRDefault="00701D51" w:rsidP="00701D51">
            <w:r w:rsidRPr="00D40E69">
              <w:rPr>
                <w:rFonts w:ascii="Calibri" w:hAnsi="Calibri"/>
                <w:color w:val="000000"/>
              </w:rPr>
              <w:t>x</w:t>
            </w:r>
          </w:p>
        </w:tc>
        <w:tc>
          <w:tcPr>
            <w:tcW w:w="220" w:type="pct"/>
            <w:shd w:val="clear" w:color="auto" w:fill="auto"/>
          </w:tcPr>
          <w:p w14:paraId="45F13248" w14:textId="77777777" w:rsidR="00701D51" w:rsidRDefault="00701D51" w:rsidP="00701D51">
            <w:r w:rsidRPr="00D40E69">
              <w:rPr>
                <w:rFonts w:ascii="Calibri" w:hAnsi="Calibri"/>
                <w:color w:val="000000"/>
              </w:rPr>
              <w:t>x</w:t>
            </w:r>
          </w:p>
        </w:tc>
        <w:tc>
          <w:tcPr>
            <w:tcW w:w="220" w:type="pct"/>
            <w:shd w:val="clear" w:color="auto" w:fill="auto"/>
          </w:tcPr>
          <w:p w14:paraId="5122C707" w14:textId="77777777" w:rsidR="00701D51" w:rsidRDefault="00701D51" w:rsidP="00701D51">
            <w:r w:rsidRPr="00D40E69">
              <w:rPr>
                <w:rFonts w:ascii="Calibri" w:hAnsi="Calibri"/>
                <w:color w:val="000000"/>
              </w:rPr>
              <w:t>x</w:t>
            </w:r>
          </w:p>
        </w:tc>
      </w:tr>
      <w:tr w:rsidR="00701D51" w:rsidRPr="00047B1F" w14:paraId="77A4FE98" w14:textId="77777777" w:rsidTr="00F227A2">
        <w:trPr>
          <w:gridAfter w:val="1"/>
          <w:wAfter w:w="21" w:type="pct"/>
          <w:trHeight w:val="457"/>
        </w:trPr>
        <w:tc>
          <w:tcPr>
            <w:tcW w:w="3745" w:type="pct"/>
            <w:shd w:val="clear" w:color="auto" w:fill="auto"/>
          </w:tcPr>
          <w:p w14:paraId="58EA1541" w14:textId="77777777" w:rsidR="00701D51" w:rsidRPr="000D1D01" w:rsidRDefault="00701D51" w:rsidP="00701D51">
            <w:pPr>
              <w:rPr>
                <w:rFonts w:ascii="Calibri" w:eastAsia="Times New Roman" w:hAnsi="Calibri" w:cs="Times New Roman"/>
                <w:color w:val="000000"/>
                <w:sz w:val="18"/>
                <w:szCs w:val="18"/>
                <w:lang w:val="es-SV" w:eastAsia="es-SV"/>
              </w:rPr>
            </w:pPr>
            <w:r w:rsidRPr="000D1D01">
              <w:rPr>
                <w:rFonts w:ascii="Calibri" w:eastAsia="Times New Roman" w:hAnsi="Calibri" w:cs="Times New Roman"/>
                <w:color w:val="000000"/>
                <w:sz w:val="18"/>
                <w:szCs w:val="18"/>
                <w:lang w:val="es-SV" w:eastAsia="es-SV"/>
              </w:rPr>
              <w:t>Aplicación de la Prueba Rápida de Incidencia de VIH para priorizar notificación de parejas, identificar focos de infección y tomar acciones oportunas</w:t>
            </w:r>
          </w:p>
        </w:tc>
        <w:tc>
          <w:tcPr>
            <w:tcW w:w="242" w:type="pct"/>
            <w:shd w:val="clear" w:color="auto" w:fill="auto"/>
          </w:tcPr>
          <w:p w14:paraId="273E56BA" w14:textId="77777777" w:rsidR="00701D51" w:rsidRDefault="00701D51" w:rsidP="00701D51">
            <w:r w:rsidRPr="006471E4">
              <w:rPr>
                <w:rFonts w:ascii="Calibri" w:hAnsi="Calibri"/>
                <w:color w:val="000000"/>
              </w:rPr>
              <w:t>x</w:t>
            </w:r>
          </w:p>
        </w:tc>
        <w:tc>
          <w:tcPr>
            <w:tcW w:w="331" w:type="pct"/>
            <w:shd w:val="clear" w:color="auto" w:fill="auto"/>
          </w:tcPr>
          <w:p w14:paraId="1D91D791" w14:textId="77777777" w:rsidR="00701D51" w:rsidRDefault="00701D51" w:rsidP="00701D51">
            <w:r w:rsidRPr="006471E4">
              <w:rPr>
                <w:rFonts w:ascii="Calibri" w:hAnsi="Calibri"/>
                <w:color w:val="000000"/>
              </w:rPr>
              <w:t>x</w:t>
            </w:r>
          </w:p>
        </w:tc>
        <w:tc>
          <w:tcPr>
            <w:tcW w:w="221" w:type="pct"/>
            <w:shd w:val="clear" w:color="auto" w:fill="auto"/>
          </w:tcPr>
          <w:p w14:paraId="7F079FC7" w14:textId="77777777" w:rsidR="00701D51" w:rsidRDefault="00701D51" w:rsidP="00701D51">
            <w:r w:rsidRPr="006471E4">
              <w:rPr>
                <w:rFonts w:ascii="Calibri" w:hAnsi="Calibri"/>
                <w:color w:val="000000"/>
              </w:rPr>
              <w:t>x</w:t>
            </w:r>
          </w:p>
        </w:tc>
        <w:tc>
          <w:tcPr>
            <w:tcW w:w="220" w:type="pct"/>
            <w:shd w:val="clear" w:color="auto" w:fill="auto"/>
          </w:tcPr>
          <w:p w14:paraId="628987C8" w14:textId="77777777" w:rsidR="00701D51" w:rsidRDefault="00701D51" w:rsidP="00701D51">
            <w:r w:rsidRPr="006471E4">
              <w:rPr>
                <w:rFonts w:ascii="Calibri" w:hAnsi="Calibri"/>
                <w:color w:val="000000"/>
              </w:rPr>
              <w:t>x</w:t>
            </w:r>
          </w:p>
        </w:tc>
        <w:tc>
          <w:tcPr>
            <w:tcW w:w="220" w:type="pct"/>
            <w:shd w:val="clear" w:color="auto" w:fill="auto"/>
          </w:tcPr>
          <w:p w14:paraId="512AF279" w14:textId="77777777" w:rsidR="00701D51" w:rsidRDefault="00701D51" w:rsidP="00701D51">
            <w:r w:rsidRPr="006471E4">
              <w:rPr>
                <w:rFonts w:ascii="Calibri" w:hAnsi="Calibri"/>
                <w:color w:val="000000"/>
              </w:rPr>
              <w:t>x</w:t>
            </w:r>
          </w:p>
        </w:tc>
      </w:tr>
      <w:tr w:rsidR="00701D51" w:rsidRPr="00047B1F" w14:paraId="750BD397" w14:textId="77777777" w:rsidTr="00F227A2">
        <w:trPr>
          <w:gridAfter w:val="1"/>
          <w:wAfter w:w="21" w:type="pct"/>
          <w:trHeight w:val="457"/>
        </w:trPr>
        <w:tc>
          <w:tcPr>
            <w:tcW w:w="3745" w:type="pct"/>
            <w:shd w:val="clear" w:color="auto" w:fill="auto"/>
          </w:tcPr>
          <w:p w14:paraId="0FC809FA" w14:textId="77777777" w:rsidR="00701D51" w:rsidRPr="000D1D01" w:rsidRDefault="00701D51" w:rsidP="00701D51">
            <w:pPr>
              <w:rPr>
                <w:rFonts w:ascii="Calibri" w:eastAsia="Times New Roman" w:hAnsi="Calibri" w:cs="Times New Roman"/>
                <w:color w:val="000000"/>
                <w:sz w:val="18"/>
                <w:szCs w:val="18"/>
                <w:lang w:val="es-SV" w:eastAsia="es-SV"/>
              </w:rPr>
            </w:pPr>
            <w:r w:rsidRPr="000D1D01">
              <w:rPr>
                <w:rFonts w:ascii="Calibri" w:eastAsia="Times New Roman" w:hAnsi="Calibri" w:cs="Times New Roman"/>
                <w:color w:val="000000"/>
                <w:sz w:val="18"/>
                <w:szCs w:val="18"/>
                <w:lang w:val="es-SV" w:eastAsia="es-SV"/>
              </w:rPr>
              <w:t>Implementación del CITB en clínicas TB y VIH</w:t>
            </w:r>
          </w:p>
        </w:tc>
        <w:tc>
          <w:tcPr>
            <w:tcW w:w="242" w:type="pct"/>
            <w:shd w:val="clear" w:color="auto" w:fill="auto"/>
          </w:tcPr>
          <w:p w14:paraId="08337FEF" w14:textId="77777777" w:rsidR="00701D51" w:rsidRDefault="00701D51" w:rsidP="00701D51">
            <w:r w:rsidRPr="00A70F2D">
              <w:rPr>
                <w:rFonts w:ascii="Calibri" w:hAnsi="Calibri"/>
                <w:color w:val="000000"/>
              </w:rPr>
              <w:t>x</w:t>
            </w:r>
          </w:p>
        </w:tc>
        <w:tc>
          <w:tcPr>
            <w:tcW w:w="331" w:type="pct"/>
            <w:shd w:val="clear" w:color="auto" w:fill="auto"/>
          </w:tcPr>
          <w:p w14:paraId="3ABFAB92" w14:textId="77777777" w:rsidR="00701D51" w:rsidRDefault="00701D51" w:rsidP="00701D51">
            <w:r w:rsidRPr="00A70F2D">
              <w:rPr>
                <w:rFonts w:ascii="Calibri" w:hAnsi="Calibri"/>
                <w:color w:val="000000"/>
              </w:rPr>
              <w:t>x</w:t>
            </w:r>
          </w:p>
        </w:tc>
        <w:tc>
          <w:tcPr>
            <w:tcW w:w="221" w:type="pct"/>
            <w:shd w:val="clear" w:color="auto" w:fill="auto"/>
          </w:tcPr>
          <w:p w14:paraId="6625DF45" w14:textId="77777777" w:rsidR="00701D51" w:rsidRDefault="00701D51" w:rsidP="00701D51">
            <w:r w:rsidRPr="00A70F2D">
              <w:rPr>
                <w:rFonts w:ascii="Calibri" w:hAnsi="Calibri"/>
                <w:color w:val="000000"/>
              </w:rPr>
              <w:t>x</w:t>
            </w:r>
          </w:p>
        </w:tc>
        <w:tc>
          <w:tcPr>
            <w:tcW w:w="220" w:type="pct"/>
            <w:shd w:val="clear" w:color="auto" w:fill="auto"/>
          </w:tcPr>
          <w:p w14:paraId="55F35519" w14:textId="77777777" w:rsidR="00701D51" w:rsidRDefault="00701D51" w:rsidP="00701D51">
            <w:r w:rsidRPr="00A70F2D">
              <w:rPr>
                <w:rFonts w:ascii="Calibri" w:hAnsi="Calibri"/>
                <w:color w:val="000000"/>
              </w:rPr>
              <w:t>x</w:t>
            </w:r>
          </w:p>
        </w:tc>
        <w:tc>
          <w:tcPr>
            <w:tcW w:w="220" w:type="pct"/>
            <w:shd w:val="clear" w:color="auto" w:fill="auto"/>
          </w:tcPr>
          <w:p w14:paraId="731483A9" w14:textId="77777777" w:rsidR="00701D51" w:rsidRDefault="00701D51" w:rsidP="00701D51">
            <w:r w:rsidRPr="00A70F2D">
              <w:rPr>
                <w:rFonts w:ascii="Calibri" w:hAnsi="Calibri"/>
                <w:color w:val="000000"/>
              </w:rPr>
              <w:t>x</w:t>
            </w:r>
          </w:p>
        </w:tc>
      </w:tr>
      <w:tr w:rsidR="00701D51" w:rsidRPr="00047B1F" w14:paraId="36DEDEB7" w14:textId="77777777" w:rsidTr="00F227A2">
        <w:trPr>
          <w:gridAfter w:val="1"/>
          <w:wAfter w:w="21" w:type="pct"/>
          <w:trHeight w:val="457"/>
        </w:trPr>
        <w:tc>
          <w:tcPr>
            <w:tcW w:w="3745" w:type="pct"/>
            <w:shd w:val="clear" w:color="auto" w:fill="auto"/>
          </w:tcPr>
          <w:p w14:paraId="61C148F5" w14:textId="77777777" w:rsidR="00701D51" w:rsidRPr="000D1D01" w:rsidRDefault="00701D51" w:rsidP="00701D51">
            <w:pPr>
              <w:rPr>
                <w:rFonts w:ascii="Calibri" w:eastAsia="Times New Roman" w:hAnsi="Calibri" w:cs="Times New Roman"/>
                <w:color w:val="000000"/>
                <w:sz w:val="18"/>
                <w:szCs w:val="18"/>
                <w:lang w:val="es-SV" w:eastAsia="es-SV"/>
              </w:rPr>
            </w:pPr>
            <w:r w:rsidRPr="000D1D01">
              <w:rPr>
                <w:rFonts w:ascii="Calibri" w:eastAsia="Times New Roman" w:hAnsi="Calibri" w:cs="Times New Roman"/>
                <w:color w:val="000000"/>
                <w:sz w:val="18"/>
                <w:szCs w:val="18"/>
                <w:lang w:val="es-SV" w:eastAsia="es-SV"/>
              </w:rPr>
              <w:t xml:space="preserve">Implementación de pruebas rápidas para TB en pacientes con VIH grave (TB-LAM) y para pacientes VIH (Xpert MTB/RIF) </w:t>
            </w:r>
          </w:p>
        </w:tc>
        <w:tc>
          <w:tcPr>
            <w:tcW w:w="242" w:type="pct"/>
            <w:shd w:val="clear" w:color="auto" w:fill="auto"/>
          </w:tcPr>
          <w:p w14:paraId="4F18B7A5" w14:textId="77777777" w:rsidR="00701D51" w:rsidRDefault="00701D51" w:rsidP="00701D51">
            <w:r w:rsidRPr="00C57F90">
              <w:rPr>
                <w:rFonts w:ascii="Calibri" w:hAnsi="Calibri"/>
                <w:color w:val="000000"/>
              </w:rPr>
              <w:t>x</w:t>
            </w:r>
          </w:p>
        </w:tc>
        <w:tc>
          <w:tcPr>
            <w:tcW w:w="331" w:type="pct"/>
            <w:shd w:val="clear" w:color="auto" w:fill="auto"/>
          </w:tcPr>
          <w:p w14:paraId="024A0A37" w14:textId="77777777" w:rsidR="00701D51" w:rsidRDefault="00701D51" w:rsidP="00701D51">
            <w:r w:rsidRPr="00C57F90">
              <w:rPr>
                <w:rFonts w:ascii="Calibri" w:hAnsi="Calibri"/>
                <w:color w:val="000000"/>
              </w:rPr>
              <w:t>x</w:t>
            </w:r>
          </w:p>
        </w:tc>
        <w:tc>
          <w:tcPr>
            <w:tcW w:w="221" w:type="pct"/>
            <w:shd w:val="clear" w:color="auto" w:fill="auto"/>
          </w:tcPr>
          <w:p w14:paraId="6D768837" w14:textId="77777777" w:rsidR="00701D51" w:rsidRDefault="00701D51" w:rsidP="00701D51">
            <w:r w:rsidRPr="00C57F90">
              <w:rPr>
                <w:rFonts w:ascii="Calibri" w:hAnsi="Calibri"/>
                <w:color w:val="000000"/>
              </w:rPr>
              <w:t>x</w:t>
            </w:r>
          </w:p>
        </w:tc>
        <w:tc>
          <w:tcPr>
            <w:tcW w:w="220" w:type="pct"/>
            <w:shd w:val="clear" w:color="auto" w:fill="auto"/>
          </w:tcPr>
          <w:p w14:paraId="77549493" w14:textId="77777777" w:rsidR="00701D51" w:rsidRDefault="00701D51" w:rsidP="00701D51">
            <w:r w:rsidRPr="00C57F90">
              <w:rPr>
                <w:rFonts w:ascii="Calibri" w:hAnsi="Calibri"/>
                <w:color w:val="000000"/>
              </w:rPr>
              <w:t>x</w:t>
            </w:r>
          </w:p>
        </w:tc>
        <w:tc>
          <w:tcPr>
            <w:tcW w:w="220" w:type="pct"/>
            <w:shd w:val="clear" w:color="auto" w:fill="auto"/>
          </w:tcPr>
          <w:p w14:paraId="02D4C038" w14:textId="77777777" w:rsidR="00701D51" w:rsidRDefault="00701D51" w:rsidP="00701D51">
            <w:r w:rsidRPr="00C57F90">
              <w:rPr>
                <w:rFonts w:ascii="Calibri" w:hAnsi="Calibri"/>
                <w:color w:val="000000"/>
              </w:rPr>
              <w:t>x</w:t>
            </w:r>
          </w:p>
        </w:tc>
      </w:tr>
      <w:tr w:rsidR="00701D51" w:rsidRPr="00047B1F" w14:paraId="52A2E49E" w14:textId="77777777" w:rsidTr="00F227A2">
        <w:trPr>
          <w:gridAfter w:val="1"/>
          <w:wAfter w:w="21" w:type="pct"/>
          <w:trHeight w:val="457"/>
        </w:trPr>
        <w:tc>
          <w:tcPr>
            <w:tcW w:w="3745" w:type="pct"/>
            <w:shd w:val="clear" w:color="auto" w:fill="auto"/>
          </w:tcPr>
          <w:p w14:paraId="1F12D911" w14:textId="77777777" w:rsidR="00701D51" w:rsidRDefault="00701D51" w:rsidP="00701D51">
            <w:r w:rsidRPr="000D1D01">
              <w:rPr>
                <w:rFonts w:ascii="Calibri" w:eastAsia="Times New Roman" w:hAnsi="Calibri" w:cs="Times New Roman"/>
                <w:color w:val="000000"/>
                <w:sz w:val="18"/>
                <w:szCs w:val="18"/>
                <w:lang w:val="es-SV" w:eastAsia="es-SV"/>
              </w:rPr>
              <w:t>Implementación de proceso de mejoramiento de la calidad de las pruebas Xpert MTB/RIF (Pruebas de proficiencia)</w:t>
            </w:r>
          </w:p>
        </w:tc>
        <w:tc>
          <w:tcPr>
            <w:tcW w:w="242" w:type="pct"/>
            <w:shd w:val="clear" w:color="auto" w:fill="auto"/>
          </w:tcPr>
          <w:p w14:paraId="311E2FB4" w14:textId="77777777" w:rsidR="00701D51" w:rsidRDefault="00701D51" w:rsidP="00701D51">
            <w:r w:rsidRPr="00D70CA9">
              <w:rPr>
                <w:rFonts w:ascii="Calibri" w:hAnsi="Calibri"/>
                <w:color w:val="000000"/>
              </w:rPr>
              <w:t>x</w:t>
            </w:r>
          </w:p>
        </w:tc>
        <w:tc>
          <w:tcPr>
            <w:tcW w:w="331" w:type="pct"/>
            <w:shd w:val="clear" w:color="auto" w:fill="auto"/>
          </w:tcPr>
          <w:p w14:paraId="6E18CDA7" w14:textId="77777777" w:rsidR="00701D51" w:rsidRDefault="00701D51" w:rsidP="00701D51">
            <w:r w:rsidRPr="00D70CA9">
              <w:rPr>
                <w:rFonts w:ascii="Calibri" w:hAnsi="Calibri"/>
                <w:color w:val="000000"/>
              </w:rPr>
              <w:t>x</w:t>
            </w:r>
          </w:p>
        </w:tc>
        <w:tc>
          <w:tcPr>
            <w:tcW w:w="221" w:type="pct"/>
            <w:shd w:val="clear" w:color="auto" w:fill="auto"/>
          </w:tcPr>
          <w:p w14:paraId="48966186" w14:textId="77777777" w:rsidR="00701D51" w:rsidRDefault="00701D51" w:rsidP="00701D51">
            <w:r w:rsidRPr="00D70CA9">
              <w:rPr>
                <w:rFonts w:ascii="Calibri" w:hAnsi="Calibri"/>
                <w:color w:val="000000"/>
              </w:rPr>
              <w:t>x</w:t>
            </w:r>
          </w:p>
        </w:tc>
        <w:tc>
          <w:tcPr>
            <w:tcW w:w="220" w:type="pct"/>
            <w:shd w:val="clear" w:color="auto" w:fill="auto"/>
          </w:tcPr>
          <w:p w14:paraId="4C283436" w14:textId="77777777" w:rsidR="00701D51" w:rsidRDefault="00701D51" w:rsidP="00701D51">
            <w:r w:rsidRPr="00D70CA9">
              <w:rPr>
                <w:rFonts w:ascii="Calibri" w:hAnsi="Calibri"/>
                <w:color w:val="000000"/>
              </w:rPr>
              <w:t>x</w:t>
            </w:r>
          </w:p>
        </w:tc>
        <w:tc>
          <w:tcPr>
            <w:tcW w:w="220" w:type="pct"/>
            <w:shd w:val="clear" w:color="auto" w:fill="auto"/>
          </w:tcPr>
          <w:p w14:paraId="3D67CFFD" w14:textId="77777777" w:rsidR="00701D51" w:rsidRDefault="00701D51" w:rsidP="00701D51">
            <w:r w:rsidRPr="00D70CA9">
              <w:rPr>
                <w:rFonts w:ascii="Calibri" w:hAnsi="Calibri"/>
                <w:color w:val="000000"/>
              </w:rPr>
              <w:t>x</w:t>
            </w:r>
          </w:p>
        </w:tc>
      </w:tr>
    </w:tbl>
    <w:p w14:paraId="4E2954B8" w14:textId="77777777" w:rsidR="003A2DD7" w:rsidRDefault="003A2DD7"/>
    <w:tbl>
      <w:tblPr>
        <w:tblW w:w="5000" w:type="pct"/>
        <w:tblCellMar>
          <w:left w:w="70" w:type="dxa"/>
          <w:right w:w="70" w:type="dxa"/>
        </w:tblCellMar>
        <w:tblLook w:val="04A0" w:firstRow="1" w:lastRow="0" w:firstColumn="1" w:lastColumn="0" w:noHBand="0" w:noVBand="1"/>
      </w:tblPr>
      <w:tblGrid>
        <w:gridCol w:w="2826"/>
        <w:gridCol w:w="2891"/>
        <w:gridCol w:w="1838"/>
        <w:gridCol w:w="1783"/>
        <w:gridCol w:w="1819"/>
        <w:gridCol w:w="1837"/>
      </w:tblGrid>
      <w:tr w:rsidR="003A2DD7" w:rsidRPr="0077324A" w14:paraId="01B56FE3" w14:textId="77777777" w:rsidTr="003A2DD7">
        <w:trPr>
          <w:trHeight w:val="551"/>
        </w:trPr>
        <w:tc>
          <w:tcPr>
            <w:tcW w:w="1087"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2A3F016" w14:textId="77777777" w:rsidR="003A2DD7" w:rsidRPr="0077324A" w:rsidRDefault="003A2DD7" w:rsidP="004C47F5">
            <w:pP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 xml:space="preserve">Líneas de acción de la estrategia </w:t>
            </w:r>
          </w:p>
        </w:tc>
        <w:tc>
          <w:tcPr>
            <w:tcW w:w="1112"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3E3C49" w14:textId="77777777" w:rsidR="003A2DD7" w:rsidRPr="00032AB4" w:rsidRDefault="003A2DD7" w:rsidP="004C47F5">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Situación actual</w:t>
            </w:r>
          </w:p>
          <w:p w14:paraId="1C9B6A27" w14:textId="77777777" w:rsidR="003A2DD7" w:rsidRPr="00032AB4" w:rsidRDefault="003A2DD7" w:rsidP="004C47F5">
            <w:pPr>
              <w:rPr>
                <w:rFonts w:ascii="Calibri" w:eastAsia="Times New Roman" w:hAnsi="Calibri" w:cs="Times New Roman"/>
                <w:color w:val="000000"/>
                <w:sz w:val="18"/>
                <w:szCs w:val="18"/>
                <w:lang w:val="es-SV" w:eastAsia="es-SV"/>
              </w:rPr>
            </w:pPr>
          </w:p>
        </w:tc>
        <w:tc>
          <w:tcPr>
            <w:tcW w:w="707"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1442566" w14:textId="77777777" w:rsidR="003A2DD7" w:rsidRPr="00032AB4" w:rsidRDefault="003A2DD7" w:rsidP="004C47F5">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 xml:space="preserve">Oportunidades </w:t>
            </w:r>
          </w:p>
          <w:p w14:paraId="7E5B7B9D" w14:textId="77777777" w:rsidR="003A2DD7" w:rsidRPr="00032AB4" w:rsidRDefault="003A2DD7" w:rsidP="004C47F5">
            <w:pPr>
              <w:spacing w:after="0" w:line="240" w:lineRule="auto"/>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 </w:t>
            </w:r>
          </w:p>
        </w:tc>
        <w:tc>
          <w:tcPr>
            <w:tcW w:w="686"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6A233C5" w14:textId="77777777" w:rsidR="003A2DD7" w:rsidRPr="00032AB4" w:rsidRDefault="003A2DD7" w:rsidP="004C47F5">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Desafíos</w:t>
            </w:r>
          </w:p>
        </w:tc>
        <w:tc>
          <w:tcPr>
            <w:tcW w:w="700"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7A8B83F" w14:textId="77777777" w:rsidR="003A2DD7" w:rsidRPr="00032AB4" w:rsidRDefault="003A2DD7" w:rsidP="004C47F5">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 xml:space="preserve"> Meta (en base a brechas y prioridades) </w:t>
            </w:r>
          </w:p>
        </w:tc>
        <w:tc>
          <w:tcPr>
            <w:tcW w:w="70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4EB1451E" w14:textId="77777777" w:rsidR="003A2DD7" w:rsidRPr="00032AB4" w:rsidRDefault="003A2DD7" w:rsidP="004C47F5">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Responsables de actividades</w:t>
            </w:r>
          </w:p>
        </w:tc>
      </w:tr>
      <w:tr w:rsidR="00047B1F" w:rsidRPr="00047B1F" w14:paraId="1ADDB6D6" w14:textId="77777777" w:rsidTr="003A2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9"/>
        </w:trPr>
        <w:tc>
          <w:tcPr>
            <w:tcW w:w="1087" w:type="pct"/>
            <w:shd w:val="clear" w:color="auto" w:fill="auto"/>
            <w:hideMark/>
          </w:tcPr>
          <w:p w14:paraId="2891FEBB" w14:textId="77777777" w:rsidR="00047B1F" w:rsidRPr="00047B1F" w:rsidRDefault="00047B1F" w:rsidP="00047B1F">
            <w:pPr>
              <w:spacing w:after="0" w:line="240" w:lineRule="auto"/>
              <w:rPr>
                <w:rFonts w:ascii="Calibri" w:eastAsia="Times New Roman" w:hAnsi="Calibri" w:cs="Times New Roman"/>
                <w:b/>
                <w:bCs/>
                <w:color w:val="000000"/>
                <w:sz w:val="18"/>
                <w:szCs w:val="18"/>
                <w:lang w:val="es-SV" w:eastAsia="es-SV"/>
              </w:rPr>
            </w:pPr>
            <w:r w:rsidRPr="00047B1F">
              <w:rPr>
                <w:rFonts w:ascii="Calibri" w:eastAsia="Times New Roman" w:hAnsi="Calibri" w:cs="Times New Roman"/>
                <w:b/>
                <w:bCs/>
                <w:color w:val="000000"/>
                <w:sz w:val="18"/>
                <w:szCs w:val="18"/>
                <w:lang w:val="es-SV" w:eastAsia="es-SV"/>
              </w:rPr>
              <w:t xml:space="preserve">9. Fortalecimiento de marco de políticas y  procesos relacionados con la conducción y  gestión para la movilización,  asignación y ejecución presupuestaria oportunas;  alineación de metas con presupuesto; puesta en práctica de herramientas para la reasignación presupuestaria basada en datos; entrega oportuna de datos </w:t>
            </w:r>
            <w:r w:rsidR="003A2DD7" w:rsidRPr="00047B1F">
              <w:rPr>
                <w:rFonts w:ascii="Calibri" w:eastAsia="Times New Roman" w:hAnsi="Calibri" w:cs="Times New Roman"/>
                <w:b/>
                <w:bCs/>
                <w:color w:val="000000"/>
                <w:sz w:val="18"/>
                <w:szCs w:val="18"/>
                <w:lang w:val="es-SV" w:eastAsia="es-SV"/>
              </w:rPr>
              <w:t>financieros</w:t>
            </w:r>
            <w:r w:rsidRPr="00047B1F">
              <w:rPr>
                <w:rFonts w:ascii="Calibri" w:eastAsia="Times New Roman" w:hAnsi="Calibri" w:cs="Times New Roman"/>
                <w:b/>
                <w:bCs/>
                <w:color w:val="000000"/>
                <w:sz w:val="18"/>
                <w:szCs w:val="18"/>
                <w:lang w:val="es-SV" w:eastAsia="es-SV"/>
              </w:rPr>
              <w:t xml:space="preserve"> y de gasto, así como el  desempeño y calidad  de los programas</w:t>
            </w:r>
          </w:p>
        </w:tc>
        <w:tc>
          <w:tcPr>
            <w:tcW w:w="1112" w:type="pct"/>
            <w:shd w:val="clear" w:color="auto" w:fill="auto"/>
            <w:hideMark/>
          </w:tcPr>
          <w:p w14:paraId="03E6064F" w14:textId="1B9DF6AE" w:rsidR="00047B1F" w:rsidRPr="00047B1F" w:rsidRDefault="00047B1F" w:rsidP="00047B1F">
            <w:pPr>
              <w:spacing w:after="0" w:line="240" w:lineRule="auto"/>
              <w:rPr>
                <w:rFonts w:ascii="Calibri" w:eastAsia="Times New Roman" w:hAnsi="Calibri" w:cs="Times New Roman"/>
                <w:sz w:val="18"/>
                <w:szCs w:val="18"/>
                <w:lang w:val="es-SV" w:eastAsia="es-SV"/>
              </w:rPr>
            </w:pPr>
            <w:r w:rsidRPr="00047B1F">
              <w:rPr>
                <w:rFonts w:ascii="Calibri" w:eastAsia="Times New Roman" w:hAnsi="Calibri" w:cs="Times New Roman"/>
                <w:sz w:val="18"/>
                <w:szCs w:val="18"/>
                <w:lang w:val="es-SV" w:eastAsia="es-SV"/>
              </w:rPr>
              <w:t xml:space="preserve">Actualmente existe la Comisión Nacional de VIH y sus subcomisiones para la conducción de la epidemia, sin </w:t>
            </w:r>
            <w:r w:rsidR="002B7EE6" w:rsidRPr="00047B1F">
              <w:rPr>
                <w:rFonts w:ascii="Calibri" w:eastAsia="Times New Roman" w:hAnsi="Calibri" w:cs="Times New Roman"/>
                <w:sz w:val="18"/>
                <w:szCs w:val="18"/>
                <w:lang w:val="es-SV" w:eastAsia="es-SV"/>
              </w:rPr>
              <w:t>embargo,</w:t>
            </w:r>
            <w:r w:rsidRPr="00047B1F">
              <w:rPr>
                <w:rFonts w:ascii="Calibri" w:eastAsia="Times New Roman" w:hAnsi="Calibri" w:cs="Times New Roman"/>
                <w:sz w:val="18"/>
                <w:szCs w:val="18"/>
                <w:lang w:val="es-SV" w:eastAsia="es-SV"/>
              </w:rPr>
              <w:t xml:space="preserve"> la CONAVIH está bajo el mandato del Programa de VIH, lo que significa que no tiene autonomía en la toma de decisiones. Por otro lado, existe el Mecanismos Coordinador de país MCP-ES quien da seguimiento a los proyectos del Fondo Mundial.</w:t>
            </w:r>
            <w:r w:rsidRPr="00047B1F">
              <w:rPr>
                <w:rFonts w:ascii="Calibri" w:eastAsia="Times New Roman" w:hAnsi="Calibri" w:cs="Times New Roman"/>
                <w:sz w:val="18"/>
                <w:szCs w:val="18"/>
                <w:lang w:val="es-SV" w:eastAsia="es-SV"/>
              </w:rPr>
              <w:br/>
              <w:t xml:space="preserve">Sin embargo no existe un espacio de toma de decisiones encaminadas a la </w:t>
            </w:r>
            <w:r w:rsidR="003A2DD7" w:rsidRPr="00047B1F">
              <w:rPr>
                <w:rFonts w:ascii="Calibri" w:eastAsia="Times New Roman" w:hAnsi="Calibri" w:cs="Times New Roman"/>
                <w:sz w:val="18"/>
                <w:szCs w:val="18"/>
                <w:lang w:val="es-SV" w:eastAsia="es-SV"/>
              </w:rPr>
              <w:t>verificación</w:t>
            </w:r>
            <w:r w:rsidRPr="00047B1F">
              <w:rPr>
                <w:rFonts w:ascii="Calibri" w:eastAsia="Times New Roman" w:hAnsi="Calibri" w:cs="Times New Roman"/>
                <w:sz w:val="18"/>
                <w:szCs w:val="18"/>
                <w:lang w:val="es-SV" w:eastAsia="es-SV"/>
              </w:rPr>
              <w:t xml:space="preserve"> de asignaciones presupuestarias, ejecución de fondos, puesta en práctica de herramientas innovadoras, así como el desempeño y calidad de los programas</w:t>
            </w:r>
          </w:p>
        </w:tc>
        <w:tc>
          <w:tcPr>
            <w:tcW w:w="707" w:type="pct"/>
            <w:shd w:val="clear" w:color="auto" w:fill="auto"/>
            <w:hideMark/>
          </w:tcPr>
          <w:p w14:paraId="2A8CBBEC" w14:textId="77777777" w:rsidR="00047B1F" w:rsidRPr="00047B1F" w:rsidRDefault="00047B1F" w:rsidP="00047B1F">
            <w:pPr>
              <w:spacing w:after="0" w:line="240" w:lineRule="auto"/>
              <w:rPr>
                <w:rFonts w:ascii="Calibri" w:eastAsia="Times New Roman" w:hAnsi="Calibri" w:cs="Times New Roman"/>
                <w:sz w:val="18"/>
                <w:szCs w:val="18"/>
                <w:lang w:val="es-SV" w:eastAsia="es-SV"/>
              </w:rPr>
            </w:pPr>
            <w:r w:rsidRPr="00047B1F">
              <w:rPr>
                <w:rFonts w:ascii="Calibri" w:eastAsia="Times New Roman" w:hAnsi="Calibri" w:cs="Times New Roman"/>
                <w:sz w:val="18"/>
                <w:szCs w:val="18"/>
                <w:lang w:val="es-SV" w:eastAsia="es-SV"/>
              </w:rPr>
              <w:t xml:space="preserve">Existen </w:t>
            </w:r>
            <w:r w:rsidR="003A2DD7" w:rsidRPr="00047B1F">
              <w:rPr>
                <w:rFonts w:ascii="Calibri" w:eastAsia="Times New Roman" w:hAnsi="Calibri" w:cs="Times New Roman"/>
                <w:sz w:val="18"/>
                <w:szCs w:val="18"/>
                <w:lang w:val="es-SV" w:eastAsia="es-SV"/>
              </w:rPr>
              <w:t>instituciones</w:t>
            </w:r>
            <w:r w:rsidRPr="00047B1F">
              <w:rPr>
                <w:rFonts w:ascii="Calibri" w:eastAsia="Times New Roman" w:hAnsi="Calibri" w:cs="Times New Roman"/>
                <w:sz w:val="18"/>
                <w:szCs w:val="18"/>
                <w:lang w:val="es-SV" w:eastAsia="es-SV"/>
              </w:rPr>
              <w:t xml:space="preserve"> y organizaciones interesadas en hacer el fortalecimiento de la gestión de VIH, conformar o crear comisiones especiales para tales fines.</w:t>
            </w:r>
          </w:p>
        </w:tc>
        <w:tc>
          <w:tcPr>
            <w:tcW w:w="686" w:type="pct"/>
            <w:shd w:val="clear" w:color="auto" w:fill="auto"/>
            <w:hideMark/>
          </w:tcPr>
          <w:p w14:paraId="7412218D" w14:textId="77777777" w:rsidR="00047B1F" w:rsidRPr="00047B1F" w:rsidRDefault="00047B1F" w:rsidP="00047B1F">
            <w:pPr>
              <w:spacing w:after="0" w:line="240" w:lineRule="auto"/>
              <w:rPr>
                <w:rFonts w:ascii="Calibri" w:eastAsia="Times New Roman" w:hAnsi="Calibri" w:cs="Times New Roman"/>
                <w:sz w:val="18"/>
                <w:szCs w:val="18"/>
                <w:lang w:val="es-SV" w:eastAsia="es-SV"/>
              </w:rPr>
            </w:pPr>
            <w:r w:rsidRPr="00047B1F">
              <w:rPr>
                <w:rFonts w:ascii="Calibri" w:eastAsia="Times New Roman" w:hAnsi="Calibri" w:cs="Times New Roman"/>
                <w:sz w:val="18"/>
                <w:szCs w:val="18"/>
                <w:lang w:val="es-SV" w:eastAsia="es-SV"/>
              </w:rPr>
              <w:t>Fortalecer o crear un espacio multisectorial para la conducción  y  gestión para la movilización,  asignación y ejecución presupuestaria oportunas.</w:t>
            </w:r>
          </w:p>
        </w:tc>
        <w:tc>
          <w:tcPr>
            <w:tcW w:w="700" w:type="pct"/>
            <w:shd w:val="clear" w:color="auto" w:fill="auto"/>
            <w:hideMark/>
          </w:tcPr>
          <w:p w14:paraId="769E0FBC" w14:textId="77777777" w:rsidR="00047B1F" w:rsidRPr="00047B1F" w:rsidRDefault="00047B1F" w:rsidP="00047B1F">
            <w:pPr>
              <w:spacing w:after="0" w:line="240" w:lineRule="auto"/>
              <w:rPr>
                <w:rFonts w:ascii="Calibri" w:eastAsia="Times New Roman" w:hAnsi="Calibri" w:cs="Times New Roman"/>
                <w:sz w:val="18"/>
                <w:szCs w:val="18"/>
                <w:lang w:val="es-SV" w:eastAsia="es-SV"/>
              </w:rPr>
            </w:pPr>
            <w:r w:rsidRPr="00047B1F">
              <w:rPr>
                <w:rFonts w:ascii="Calibri" w:eastAsia="Times New Roman" w:hAnsi="Calibri" w:cs="Times New Roman"/>
                <w:sz w:val="18"/>
                <w:szCs w:val="18"/>
                <w:lang w:val="es-SV" w:eastAsia="es-SV"/>
              </w:rPr>
              <w:t xml:space="preserve">Conformar la Comisión Nacional del Sostenibilidad de la Respuesta al VIH, creada por </w:t>
            </w:r>
            <w:r w:rsidR="003A2DD7" w:rsidRPr="00047B1F">
              <w:rPr>
                <w:rFonts w:ascii="Calibri" w:eastAsia="Times New Roman" w:hAnsi="Calibri" w:cs="Times New Roman"/>
                <w:sz w:val="18"/>
                <w:szCs w:val="18"/>
                <w:lang w:val="es-SV" w:eastAsia="es-SV"/>
              </w:rPr>
              <w:t>múltiples</w:t>
            </w:r>
            <w:r w:rsidRPr="00047B1F">
              <w:rPr>
                <w:rFonts w:ascii="Calibri" w:eastAsia="Times New Roman" w:hAnsi="Calibri" w:cs="Times New Roman"/>
                <w:sz w:val="18"/>
                <w:szCs w:val="18"/>
                <w:lang w:val="es-SV" w:eastAsia="es-SV"/>
              </w:rPr>
              <w:t xml:space="preserve"> actores, incluyendo actores de salud, actores fuera del sector salud, empresa privada y otros.</w:t>
            </w:r>
          </w:p>
        </w:tc>
        <w:tc>
          <w:tcPr>
            <w:tcW w:w="707" w:type="pct"/>
            <w:shd w:val="clear" w:color="auto" w:fill="auto"/>
            <w:hideMark/>
          </w:tcPr>
          <w:p w14:paraId="28CEA6B2" w14:textId="77777777" w:rsidR="00047B1F" w:rsidRPr="00047B1F" w:rsidRDefault="00047B1F" w:rsidP="00047B1F">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Programa Nacional de ITS y VIH /Sida, Sociedad Civil agencias de cooperación, Ministerio de Hacienda, Ministerio de Trabajo, Empresa Privada, entre otros.</w:t>
            </w:r>
          </w:p>
        </w:tc>
      </w:tr>
    </w:tbl>
    <w:p w14:paraId="46BBDDC0" w14:textId="77777777" w:rsidR="003A2DD7" w:rsidRDefault="003A2DD7"/>
    <w:p w14:paraId="3036D675" w14:textId="77777777" w:rsidR="000B1070" w:rsidRDefault="000B107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42"/>
        <w:gridCol w:w="602"/>
        <w:gridCol w:w="551"/>
        <w:gridCol w:w="689"/>
        <w:gridCol w:w="505"/>
        <w:gridCol w:w="505"/>
      </w:tblGrid>
      <w:tr w:rsidR="00221804" w:rsidRPr="00047B1F" w14:paraId="77C18CE4" w14:textId="77777777" w:rsidTr="003A2DD7">
        <w:trPr>
          <w:trHeight w:val="400"/>
        </w:trPr>
        <w:tc>
          <w:tcPr>
            <w:tcW w:w="5000" w:type="pct"/>
            <w:gridSpan w:val="6"/>
            <w:shd w:val="clear" w:color="auto" w:fill="auto"/>
          </w:tcPr>
          <w:p w14:paraId="42CE19D3" w14:textId="77777777" w:rsidR="00221804" w:rsidRPr="00EC5B63" w:rsidRDefault="00AE5337" w:rsidP="00221804">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 xml:space="preserve">Acciones / </w:t>
            </w:r>
            <w:r w:rsidRPr="00EE1739">
              <w:rPr>
                <w:rFonts w:ascii="Calibri" w:eastAsia="Times New Roman" w:hAnsi="Calibri" w:cs="Times New Roman"/>
                <w:b/>
                <w:color w:val="000000"/>
                <w:sz w:val="18"/>
                <w:szCs w:val="18"/>
                <w:lang w:val="es-SV" w:eastAsia="es-SV"/>
              </w:rPr>
              <w:t>Periodo de ejecución</w:t>
            </w:r>
          </w:p>
        </w:tc>
      </w:tr>
      <w:tr w:rsidR="00221804" w:rsidRPr="00047B1F" w14:paraId="0CC9C92C" w14:textId="77777777" w:rsidTr="00701D51">
        <w:trPr>
          <w:trHeight w:val="420"/>
        </w:trPr>
        <w:tc>
          <w:tcPr>
            <w:tcW w:w="3903" w:type="pct"/>
            <w:shd w:val="clear" w:color="auto" w:fill="auto"/>
          </w:tcPr>
          <w:p w14:paraId="5746ED7B" w14:textId="77777777" w:rsidR="00221804" w:rsidRPr="00EC5B63" w:rsidRDefault="00221804" w:rsidP="00AE5337">
            <w:pPr>
              <w:spacing w:after="0" w:line="240" w:lineRule="auto"/>
              <w:rPr>
                <w:rFonts w:ascii="Calibri" w:eastAsia="Times New Roman" w:hAnsi="Calibri" w:cs="Times New Roman"/>
                <w:b/>
                <w:color w:val="000000"/>
                <w:sz w:val="18"/>
                <w:szCs w:val="18"/>
                <w:lang w:val="es-SV" w:eastAsia="es-SV"/>
              </w:rPr>
            </w:pPr>
          </w:p>
        </w:tc>
        <w:tc>
          <w:tcPr>
            <w:tcW w:w="232" w:type="pct"/>
            <w:shd w:val="clear" w:color="auto" w:fill="auto"/>
          </w:tcPr>
          <w:p w14:paraId="57115BD4" w14:textId="77777777" w:rsidR="00221804" w:rsidRPr="00EC5B63" w:rsidRDefault="00221804" w:rsidP="00221804">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2019</w:t>
            </w:r>
          </w:p>
        </w:tc>
        <w:tc>
          <w:tcPr>
            <w:tcW w:w="212" w:type="pct"/>
            <w:shd w:val="clear" w:color="auto" w:fill="auto"/>
          </w:tcPr>
          <w:p w14:paraId="4FFCAD2E" w14:textId="77777777" w:rsidR="00221804" w:rsidRPr="00EC5B63" w:rsidRDefault="00221804" w:rsidP="00221804">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2020</w:t>
            </w:r>
          </w:p>
        </w:tc>
        <w:tc>
          <w:tcPr>
            <w:tcW w:w="265" w:type="pct"/>
            <w:shd w:val="clear" w:color="auto" w:fill="auto"/>
          </w:tcPr>
          <w:p w14:paraId="2B8C9D65" w14:textId="77777777" w:rsidR="00221804" w:rsidRPr="00EC5B63" w:rsidRDefault="00221804" w:rsidP="00221804">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2021</w:t>
            </w:r>
          </w:p>
        </w:tc>
        <w:tc>
          <w:tcPr>
            <w:tcW w:w="194" w:type="pct"/>
            <w:shd w:val="clear" w:color="auto" w:fill="auto"/>
          </w:tcPr>
          <w:p w14:paraId="4C7F03CF" w14:textId="77777777" w:rsidR="00221804" w:rsidRPr="00EC5B63" w:rsidRDefault="00221804" w:rsidP="00221804">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2022</w:t>
            </w:r>
          </w:p>
        </w:tc>
        <w:tc>
          <w:tcPr>
            <w:tcW w:w="194" w:type="pct"/>
            <w:shd w:val="clear" w:color="auto" w:fill="auto"/>
          </w:tcPr>
          <w:p w14:paraId="3FC1E70E" w14:textId="77777777" w:rsidR="00221804" w:rsidRPr="00EC5B63" w:rsidRDefault="00221804" w:rsidP="00221804">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2023</w:t>
            </w:r>
          </w:p>
        </w:tc>
      </w:tr>
      <w:tr w:rsidR="00D839D6" w:rsidRPr="00047B1F" w14:paraId="65856925" w14:textId="77777777" w:rsidTr="00701D51">
        <w:trPr>
          <w:trHeight w:val="238"/>
        </w:trPr>
        <w:tc>
          <w:tcPr>
            <w:tcW w:w="3903" w:type="pct"/>
            <w:shd w:val="clear" w:color="auto" w:fill="auto"/>
            <w:hideMark/>
          </w:tcPr>
          <w:p w14:paraId="34376298" w14:textId="77777777" w:rsidR="00D839D6" w:rsidRPr="00047B1F" w:rsidRDefault="00D839D6" w:rsidP="00D839D6">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Conformar la Comisión Nacional de Sostenibilidad de la Respuesta al VIH</w:t>
            </w:r>
          </w:p>
        </w:tc>
        <w:tc>
          <w:tcPr>
            <w:tcW w:w="232" w:type="pct"/>
            <w:shd w:val="clear" w:color="auto" w:fill="auto"/>
            <w:vAlign w:val="bottom"/>
            <w:hideMark/>
          </w:tcPr>
          <w:p w14:paraId="4BCE313E" w14:textId="77777777" w:rsidR="00D839D6" w:rsidRDefault="00D839D6" w:rsidP="00D839D6">
            <w:pPr>
              <w:jc w:val="center"/>
              <w:rPr>
                <w:rFonts w:ascii="Calibri" w:hAnsi="Calibri"/>
                <w:color w:val="000000"/>
              </w:rPr>
            </w:pPr>
            <w:r>
              <w:rPr>
                <w:rFonts w:ascii="Calibri" w:hAnsi="Calibri"/>
                <w:color w:val="000000"/>
              </w:rPr>
              <w:t>x</w:t>
            </w:r>
          </w:p>
        </w:tc>
        <w:tc>
          <w:tcPr>
            <w:tcW w:w="212" w:type="pct"/>
            <w:shd w:val="clear" w:color="auto" w:fill="auto"/>
            <w:vAlign w:val="bottom"/>
            <w:hideMark/>
          </w:tcPr>
          <w:p w14:paraId="4043F110" w14:textId="77777777" w:rsidR="00D839D6" w:rsidRDefault="00D839D6" w:rsidP="00D839D6">
            <w:pPr>
              <w:jc w:val="center"/>
              <w:rPr>
                <w:rFonts w:ascii="Calibri" w:hAnsi="Calibri"/>
                <w:color w:val="000000"/>
              </w:rPr>
            </w:pPr>
          </w:p>
        </w:tc>
        <w:tc>
          <w:tcPr>
            <w:tcW w:w="265" w:type="pct"/>
            <w:shd w:val="clear" w:color="auto" w:fill="auto"/>
            <w:vAlign w:val="bottom"/>
            <w:hideMark/>
          </w:tcPr>
          <w:p w14:paraId="0983CEFA" w14:textId="77777777" w:rsidR="00D839D6" w:rsidRDefault="00D839D6" w:rsidP="00D839D6">
            <w:pPr>
              <w:jc w:val="center"/>
              <w:rPr>
                <w:rFonts w:ascii="Calibri" w:hAnsi="Calibri"/>
                <w:color w:val="000000"/>
              </w:rPr>
            </w:pPr>
          </w:p>
        </w:tc>
        <w:tc>
          <w:tcPr>
            <w:tcW w:w="194" w:type="pct"/>
            <w:shd w:val="clear" w:color="auto" w:fill="auto"/>
            <w:vAlign w:val="bottom"/>
            <w:hideMark/>
          </w:tcPr>
          <w:p w14:paraId="20A81055" w14:textId="77777777" w:rsidR="00D839D6" w:rsidRDefault="00D839D6" w:rsidP="00D839D6">
            <w:pPr>
              <w:jc w:val="center"/>
              <w:rPr>
                <w:rFonts w:ascii="Calibri" w:hAnsi="Calibri"/>
                <w:color w:val="000000"/>
              </w:rPr>
            </w:pPr>
          </w:p>
        </w:tc>
        <w:tc>
          <w:tcPr>
            <w:tcW w:w="194" w:type="pct"/>
            <w:shd w:val="clear" w:color="auto" w:fill="auto"/>
            <w:vAlign w:val="bottom"/>
            <w:hideMark/>
          </w:tcPr>
          <w:p w14:paraId="6A87599A" w14:textId="77777777" w:rsidR="00D839D6" w:rsidRDefault="00D839D6" w:rsidP="00D839D6">
            <w:pPr>
              <w:jc w:val="center"/>
              <w:rPr>
                <w:rFonts w:ascii="Calibri" w:hAnsi="Calibri"/>
                <w:color w:val="000000"/>
              </w:rPr>
            </w:pPr>
          </w:p>
        </w:tc>
      </w:tr>
      <w:tr w:rsidR="00D839D6" w:rsidRPr="00047B1F" w14:paraId="709DD15B" w14:textId="77777777" w:rsidTr="00701D51">
        <w:trPr>
          <w:trHeight w:val="491"/>
        </w:trPr>
        <w:tc>
          <w:tcPr>
            <w:tcW w:w="3903" w:type="pct"/>
            <w:shd w:val="clear" w:color="auto" w:fill="auto"/>
            <w:hideMark/>
          </w:tcPr>
          <w:p w14:paraId="4A1FA87A" w14:textId="77777777" w:rsidR="00D839D6" w:rsidRPr="00047B1F" w:rsidRDefault="00D839D6" w:rsidP="00D839D6">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Aprobar la Est</w:t>
            </w:r>
            <w:r w:rsidR="003A2DD7">
              <w:rPr>
                <w:rFonts w:ascii="Calibri" w:eastAsia="Times New Roman" w:hAnsi="Calibri" w:cs="Times New Roman"/>
                <w:color w:val="000000"/>
                <w:sz w:val="18"/>
                <w:szCs w:val="18"/>
                <w:lang w:val="es-SV" w:eastAsia="es-SV"/>
              </w:rPr>
              <w:t>rategia Nacional de Sostenibilidad</w:t>
            </w:r>
            <w:r w:rsidRPr="00047B1F">
              <w:rPr>
                <w:rFonts w:ascii="Calibri" w:eastAsia="Times New Roman" w:hAnsi="Calibri" w:cs="Times New Roman"/>
                <w:color w:val="000000"/>
                <w:sz w:val="18"/>
                <w:szCs w:val="18"/>
                <w:lang w:val="es-SV" w:eastAsia="es-SV"/>
              </w:rPr>
              <w:t xml:space="preserve"> en VI</w:t>
            </w:r>
            <w:r w:rsidR="003A2DD7">
              <w:rPr>
                <w:rFonts w:ascii="Calibri" w:eastAsia="Times New Roman" w:hAnsi="Calibri" w:cs="Times New Roman"/>
                <w:color w:val="000000"/>
                <w:sz w:val="18"/>
                <w:szCs w:val="18"/>
                <w:lang w:val="es-SV" w:eastAsia="es-SV"/>
              </w:rPr>
              <w:t>H por la Comisión Nacional de S</w:t>
            </w:r>
            <w:r w:rsidRPr="00047B1F">
              <w:rPr>
                <w:rFonts w:ascii="Calibri" w:eastAsia="Times New Roman" w:hAnsi="Calibri" w:cs="Times New Roman"/>
                <w:color w:val="000000"/>
                <w:sz w:val="18"/>
                <w:szCs w:val="18"/>
                <w:lang w:val="es-SV" w:eastAsia="es-SV"/>
              </w:rPr>
              <w:t>o</w:t>
            </w:r>
            <w:r w:rsidR="003A2DD7">
              <w:rPr>
                <w:rFonts w:ascii="Calibri" w:eastAsia="Times New Roman" w:hAnsi="Calibri" w:cs="Times New Roman"/>
                <w:color w:val="000000"/>
                <w:sz w:val="18"/>
                <w:szCs w:val="18"/>
                <w:lang w:val="es-SV" w:eastAsia="es-SV"/>
              </w:rPr>
              <w:t>s</w:t>
            </w:r>
            <w:r w:rsidRPr="00047B1F">
              <w:rPr>
                <w:rFonts w:ascii="Calibri" w:eastAsia="Times New Roman" w:hAnsi="Calibri" w:cs="Times New Roman"/>
                <w:color w:val="000000"/>
                <w:sz w:val="18"/>
                <w:szCs w:val="18"/>
                <w:lang w:val="es-SV" w:eastAsia="es-SV"/>
              </w:rPr>
              <w:t>tenibilidad</w:t>
            </w:r>
          </w:p>
        </w:tc>
        <w:tc>
          <w:tcPr>
            <w:tcW w:w="232" w:type="pct"/>
            <w:shd w:val="clear" w:color="auto" w:fill="auto"/>
            <w:vAlign w:val="bottom"/>
            <w:hideMark/>
          </w:tcPr>
          <w:p w14:paraId="3B8F29B6" w14:textId="77777777" w:rsidR="00D839D6" w:rsidRDefault="00D839D6" w:rsidP="003A2DD7">
            <w:pPr>
              <w:rPr>
                <w:rFonts w:ascii="Calibri" w:hAnsi="Calibri"/>
                <w:color w:val="000000"/>
              </w:rPr>
            </w:pPr>
            <w:r>
              <w:rPr>
                <w:rFonts w:ascii="Calibri" w:hAnsi="Calibri"/>
                <w:color w:val="000000"/>
              </w:rPr>
              <w:t>x</w:t>
            </w:r>
          </w:p>
        </w:tc>
        <w:tc>
          <w:tcPr>
            <w:tcW w:w="212" w:type="pct"/>
            <w:shd w:val="clear" w:color="auto" w:fill="auto"/>
            <w:vAlign w:val="bottom"/>
            <w:hideMark/>
          </w:tcPr>
          <w:p w14:paraId="7E3FF957" w14:textId="77777777" w:rsidR="00D839D6" w:rsidRDefault="00D839D6" w:rsidP="003A2DD7">
            <w:pPr>
              <w:rPr>
                <w:rFonts w:ascii="Calibri" w:hAnsi="Calibri"/>
                <w:color w:val="000000"/>
              </w:rPr>
            </w:pPr>
          </w:p>
        </w:tc>
        <w:tc>
          <w:tcPr>
            <w:tcW w:w="265" w:type="pct"/>
            <w:shd w:val="clear" w:color="auto" w:fill="auto"/>
            <w:vAlign w:val="bottom"/>
            <w:hideMark/>
          </w:tcPr>
          <w:p w14:paraId="774D70B8" w14:textId="77777777" w:rsidR="00D839D6" w:rsidRDefault="00D839D6" w:rsidP="00D839D6">
            <w:pPr>
              <w:jc w:val="center"/>
              <w:rPr>
                <w:rFonts w:ascii="Calibri" w:hAnsi="Calibri"/>
                <w:color w:val="000000"/>
              </w:rPr>
            </w:pPr>
          </w:p>
        </w:tc>
        <w:tc>
          <w:tcPr>
            <w:tcW w:w="194" w:type="pct"/>
            <w:shd w:val="clear" w:color="auto" w:fill="auto"/>
            <w:vAlign w:val="bottom"/>
            <w:hideMark/>
          </w:tcPr>
          <w:p w14:paraId="70EA3542" w14:textId="77777777" w:rsidR="00D839D6" w:rsidRDefault="00D839D6" w:rsidP="003A2DD7">
            <w:pPr>
              <w:rPr>
                <w:rFonts w:ascii="Calibri" w:hAnsi="Calibri"/>
                <w:color w:val="000000"/>
              </w:rPr>
            </w:pPr>
          </w:p>
        </w:tc>
        <w:tc>
          <w:tcPr>
            <w:tcW w:w="194" w:type="pct"/>
            <w:shd w:val="clear" w:color="auto" w:fill="auto"/>
            <w:vAlign w:val="bottom"/>
            <w:hideMark/>
          </w:tcPr>
          <w:p w14:paraId="640A0CE6" w14:textId="77777777" w:rsidR="00D839D6" w:rsidRDefault="00D839D6" w:rsidP="003A2DD7">
            <w:pPr>
              <w:rPr>
                <w:rFonts w:ascii="Calibri" w:hAnsi="Calibri"/>
                <w:color w:val="000000"/>
              </w:rPr>
            </w:pPr>
          </w:p>
        </w:tc>
      </w:tr>
      <w:tr w:rsidR="00D839D6" w:rsidRPr="00047B1F" w14:paraId="73B329F6" w14:textId="77777777" w:rsidTr="00701D51">
        <w:trPr>
          <w:trHeight w:val="278"/>
        </w:trPr>
        <w:tc>
          <w:tcPr>
            <w:tcW w:w="3903" w:type="pct"/>
            <w:shd w:val="clear" w:color="auto" w:fill="auto"/>
            <w:hideMark/>
          </w:tcPr>
          <w:p w14:paraId="71758F49" w14:textId="77777777" w:rsidR="00D839D6" w:rsidRPr="00047B1F" w:rsidRDefault="00D839D6" w:rsidP="00D839D6">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Establecer reuniones periódicas para la toma de decisiones</w:t>
            </w:r>
          </w:p>
        </w:tc>
        <w:tc>
          <w:tcPr>
            <w:tcW w:w="232" w:type="pct"/>
            <w:shd w:val="clear" w:color="auto" w:fill="auto"/>
            <w:vAlign w:val="bottom"/>
            <w:hideMark/>
          </w:tcPr>
          <w:p w14:paraId="4606CDD8" w14:textId="77777777" w:rsidR="00D839D6" w:rsidRDefault="00D839D6" w:rsidP="00D839D6">
            <w:pPr>
              <w:jc w:val="center"/>
              <w:rPr>
                <w:rFonts w:ascii="Calibri" w:hAnsi="Calibri"/>
                <w:color w:val="000000"/>
              </w:rPr>
            </w:pPr>
            <w:r>
              <w:rPr>
                <w:rFonts w:ascii="Calibri" w:hAnsi="Calibri"/>
                <w:color w:val="000000"/>
              </w:rPr>
              <w:t>x</w:t>
            </w:r>
          </w:p>
        </w:tc>
        <w:tc>
          <w:tcPr>
            <w:tcW w:w="212" w:type="pct"/>
            <w:shd w:val="clear" w:color="auto" w:fill="auto"/>
            <w:vAlign w:val="bottom"/>
            <w:hideMark/>
          </w:tcPr>
          <w:p w14:paraId="0E13A7B8" w14:textId="77777777" w:rsidR="00D839D6" w:rsidRDefault="00D839D6" w:rsidP="00D839D6">
            <w:pPr>
              <w:jc w:val="center"/>
              <w:rPr>
                <w:rFonts w:ascii="Calibri" w:hAnsi="Calibri"/>
                <w:color w:val="000000"/>
              </w:rPr>
            </w:pPr>
            <w:r>
              <w:rPr>
                <w:rFonts w:ascii="Calibri" w:hAnsi="Calibri"/>
                <w:color w:val="000000"/>
              </w:rPr>
              <w:t>x</w:t>
            </w:r>
          </w:p>
        </w:tc>
        <w:tc>
          <w:tcPr>
            <w:tcW w:w="265" w:type="pct"/>
            <w:shd w:val="clear" w:color="auto" w:fill="auto"/>
            <w:vAlign w:val="bottom"/>
            <w:hideMark/>
          </w:tcPr>
          <w:p w14:paraId="231605ED" w14:textId="77777777" w:rsidR="00D839D6" w:rsidRDefault="00D839D6" w:rsidP="00D839D6">
            <w:pPr>
              <w:jc w:val="center"/>
              <w:rPr>
                <w:rFonts w:ascii="Calibri" w:hAnsi="Calibri"/>
                <w:color w:val="000000"/>
              </w:rPr>
            </w:pPr>
            <w:r>
              <w:rPr>
                <w:rFonts w:ascii="Calibri" w:hAnsi="Calibri"/>
                <w:color w:val="000000"/>
              </w:rPr>
              <w:t>x</w:t>
            </w:r>
          </w:p>
        </w:tc>
        <w:tc>
          <w:tcPr>
            <w:tcW w:w="194" w:type="pct"/>
            <w:shd w:val="clear" w:color="auto" w:fill="auto"/>
            <w:vAlign w:val="bottom"/>
            <w:hideMark/>
          </w:tcPr>
          <w:p w14:paraId="1EEE24E6" w14:textId="77777777" w:rsidR="00D839D6" w:rsidRDefault="00D839D6" w:rsidP="00D839D6">
            <w:pPr>
              <w:jc w:val="center"/>
              <w:rPr>
                <w:rFonts w:ascii="Calibri" w:hAnsi="Calibri"/>
                <w:color w:val="000000"/>
              </w:rPr>
            </w:pPr>
            <w:r>
              <w:rPr>
                <w:rFonts w:ascii="Calibri" w:hAnsi="Calibri"/>
                <w:color w:val="000000"/>
              </w:rPr>
              <w:t>x</w:t>
            </w:r>
          </w:p>
        </w:tc>
        <w:tc>
          <w:tcPr>
            <w:tcW w:w="194" w:type="pct"/>
            <w:shd w:val="clear" w:color="auto" w:fill="auto"/>
            <w:vAlign w:val="bottom"/>
            <w:hideMark/>
          </w:tcPr>
          <w:p w14:paraId="310A5031" w14:textId="77777777" w:rsidR="00D839D6" w:rsidRDefault="00D839D6" w:rsidP="00D839D6">
            <w:pPr>
              <w:jc w:val="center"/>
              <w:rPr>
                <w:rFonts w:ascii="Calibri" w:hAnsi="Calibri"/>
                <w:color w:val="000000"/>
              </w:rPr>
            </w:pPr>
            <w:r>
              <w:rPr>
                <w:rFonts w:ascii="Calibri" w:hAnsi="Calibri"/>
                <w:color w:val="000000"/>
              </w:rPr>
              <w:t>x</w:t>
            </w:r>
          </w:p>
        </w:tc>
      </w:tr>
      <w:tr w:rsidR="00701D51" w:rsidRPr="00047B1F" w14:paraId="28593DF9" w14:textId="77777777" w:rsidTr="00701D51">
        <w:trPr>
          <w:trHeight w:val="278"/>
        </w:trPr>
        <w:tc>
          <w:tcPr>
            <w:tcW w:w="3903" w:type="pct"/>
            <w:shd w:val="clear" w:color="auto" w:fill="auto"/>
          </w:tcPr>
          <w:p w14:paraId="3B5DAB1E" w14:textId="77777777" w:rsidR="00701D51" w:rsidRPr="00047B1F" w:rsidRDefault="00701D51" w:rsidP="00701D51">
            <w:pPr>
              <w:spacing w:after="0" w:line="240" w:lineRule="auto"/>
              <w:rPr>
                <w:rFonts w:ascii="Calibri" w:eastAsia="Times New Roman" w:hAnsi="Calibri" w:cs="Times New Roman"/>
                <w:color w:val="000000"/>
                <w:sz w:val="18"/>
                <w:szCs w:val="18"/>
                <w:lang w:val="es-SV" w:eastAsia="es-SV"/>
              </w:rPr>
            </w:pPr>
            <w:r w:rsidRPr="00317611">
              <w:rPr>
                <w:rFonts w:ascii="Calibri" w:eastAsia="Times New Roman" w:hAnsi="Calibri" w:cs="Times New Roman"/>
                <w:color w:val="000000"/>
                <w:sz w:val="18"/>
                <w:szCs w:val="18"/>
                <w:lang w:val="es-SV" w:eastAsia="es-SV"/>
              </w:rPr>
              <w:t>Desarrollo e implementación de Curso Formal de Profesionalización de ONGs</w:t>
            </w:r>
          </w:p>
        </w:tc>
        <w:tc>
          <w:tcPr>
            <w:tcW w:w="232" w:type="pct"/>
            <w:shd w:val="clear" w:color="auto" w:fill="auto"/>
          </w:tcPr>
          <w:p w14:paraId="137A7558" w14:textId="77777777" w:rsidR="00701D51" w:rsidRDefault="00701D51" w:rsidP="00701D51">
            <w:r w:rsidRPr="00D61889">
              <w:rPr>
                <w:rFonts w:ascii="Calibri" w:hAnsi="Calibri"/>
                <w:color w:val="000000"/>
              </w:rPr>
              <w:t>x</w:t>
            </w:r>
          </w:p>
        </w:tc>
        <w:tc>
          <w:tcPr>
            <w:tcW w:w="212" w:type="pct"/>
            <w:shd w:val="clear" w:color="auto" w:fill="auto"/>
          </w:tcPr>
          <w:p w14:paraId="5BF46378" w14:textId="77777777" w:rsidR="00701D51" w:rsidRDefault="00701D51" w:rsidP="00701D51">
            <w:r w:rsidRPr="00D61889">
              <w:rPr>
                <w:rFonts w:ascii="Calibri" w:hAnsi="Calibri"/>
                <w:color w:val="000000"/>
              </w:rPr>
              <w:t>x</w:t>
            </w:r>
          </w:p>
        </w:tc>
        <w:tc>
          <w:tcPr>
            <w:tcW w:w="265" w:type="pct"/>
            <w:shd w:val="clear" w:color="auto" w:fill="auto"/>
          </w:tcPr>
          <w:p w14:paraId="4998DCC4" w14:textId="77777777" w:rsidR="00701D51" w:rsidRDefault="00701D51" w:rsidP="00701D51">
            <w:r w:rsidRPr="00D61889">
              <w:rPr>
                <w:rFonts w:ascii="Calibri" w:hAnsi="Calibri"/>
                <w:color w:val="000000"/>
              </w:rPr>
              <w:t>x</w:t>
            </w:r>
          </w:p>
        </w:tc>
        <w:tc>
          <w:tcPr>
            <w:tcW w:w="194" w:type="pct"/>
            <w:shd w:val="clear" w:color="auto" w:fill="auto"/>
          </w:tcPr>
          <w:p w14:paraId="085A33CF" w14:textId="77777777" w:rsidR="00701D51" w:rsidRDefault="00701D51" w:rsidP="00701D51">
            <w:r w:rsidRPr="00D61889">
              <w:rPr>
                <w:rFonts w:ascii="Calibri" w:hAnsi="Calibri"/>
                <w:color w:val="000000"/>
              </w:rPr>
              <w:t>x</w:t>
            </w:r>
          </w:p>
        </w:tc>
        <w:tc>
          <w:tcPr>
            <w:tcW w:w="194" w:type="pct"/>
            <w:shd w:val="clear" w:color="auto" w:fill="auto"/>
          </w:tcPr>
          <w:p w14:paraId="07822F32" w14:textId="77777777" w:rsidR="00701D51" w:rsidRDefault="00701D51" w:rsidP="00701D51">
            <w:r w:rsidRPr="00D61889">
              <w:rPr>
                <w:rFonts w:ascii="Calibri" w:hAnsi="Calibri"/>
                <w:color w:val="000000"/>
              </w:rPr>
              <w:t>x</w:t>
            </w:r>
          </w:p>
        </w:tc>
      </w:tr>
    </w:tbl>
    <w:p w14:paraId="02AB44C4" w14:textId="77777777" w:rsidR="00A5496D" w:rsidRDefault="00317611" w:rsidP="00317611">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 </w:t>
      </w:r>
    </w:p>
    <w:p w14:paraId="7F79B55E" w14:textId="77777777" w:rsidR="00317611" w:rsidRDefault="00317611" w:rsidP="00317611">
      <w:pPr>
        <w:spacing w:after="0" w:line="240" w:lineRule="auto"/>
        <w:rPr>
          <w:rFonts w:ascii="Times New Roman" w:hAnsi="Times New Roman" w:cs="Times New Roman"/>
          <w:sz w:val="24"/>
          <w:szCs w:val="24"/>
          <w:lang w:val="es-MX"/>
        </w:rPr>
      </w:pPr>
    </w:p>
    <w:p w14:paraId="7B2FD0C2" w14:textId="77777777" w:rsidR="00317611" w:rsidRDefault="00317611" w:rsidP="00317611">
      <w:pPr>
        <w:spacing w:after="0" w:line="240" w:lineRule="auto"/>
        <w:rPr>
          <w:rFonts w:ascii="Times New Roman" w:hAnsi="Times New Roman" w:cs="Times New Roman"/>
          <w:sz w:val="24"/>
          <w:szCs w:val="24"/>
          <w:lang w:val="es-MX"/>
        </w:rPr>
      </w:pPr>
    </w:p>
    <w:p w14:paraId="74688BBF" w14:textId="77777777" w:rsidR="00317611" w:rsidRDefault="00317611" w:rsidP="00317611">
      <w:pPr>
        <w:spacing w:after="0" w:line="240" w:lineRule="auto"/>
        <w:rPr>
          <w:rFonts w:ascii="Times New Roman" w:hAnsi="Times New Roman" w:cs="Times New Roman"/>
          <w:sz w:val="24"/>
          <w:szCs w:val="24"/>
          <w:lang w:val="es-MX"/>
        </w:rPr>
      </w:pPr>
    </w:p>
    <w:tbl>
      <w:tblPr>
        <w:tblW w:w="5000" w:type="pct"/>
        <w:tblCellMar>
          <w:left w:w="70" w:type="dxa"/>
          <w:right w:w="70" w:type="dxa"/>
        </w:tblCellMar>
        <w:tblLook w:val="04A0" w:firstRow="1" w:lastRow="0" w:firstColumn="1" w:lastColumn="0" w:noHBand="0" w:noVBand="1"/>
      </w:tblPr>
      <w:tblGrid>
        <w:gridCol w:w="2826"/>
        <w:gridCol w:w="2891"/>
        <w:gridCol w:w="1838"/>
        <w:gridCol w:w="1783"/>
        <w:gridCol w:w="1819"/>
        <w:gridCol w:w="1837"/>
      </w:tblGrid>
      <w:tr w:rsidR="00317611" w:rsidRPr="0077324A" w14:paraId="6A793CF4" w14:textId="77777777" w:rsidTr="00670228">
        <w:trPr>
          <w:trHeight w:val="551"/>
        </w:trPr>
        <w:tc>
          <w:tcPr>
            <w:tcW w:w="1087"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9C62687" w14:textId="77777777" w:rsidR="00317611" w:rsidRPr="0077324A" w:rsidRDefault="00317611" w:rsidP="00670228">
            <w:pPr>
              <w:rPr>
                <w:rFonts w:ascii="Calibri" w:eastAsia="Times New Roman" w:hAnsi="Calibri" w:cs="Times New Roman"/>
                <w:b/>
                <w:bCs/>
                <w:color w:val="000000"/>
                <w:sz w:val="18"/>
                <w:szCs w:val="18"/>
                <w:lang w:val="es-SV" w:eastAsia="es-SV"/>
              </w:rPr>
            </w:pPr>
            <w:r w:rsidRPr="0077324A">
              <w:rPr>
                <w:rFonts w:ascii="Calibri" w:eastAsia="Times New Roman" w:hAnsi="Calibri" w:cs="Times New Roman"/>
                <w:b/>
                <w:bCs/>
                <w:color w:val="000000"/>
                <w:sz w:val="18"/>
                <w:szCs w:val="18"/>
                <w:lang w:val="es-SV" w:eastAsia="es-SV"/>
              </w:rPr>
              <w:t xml:space="preserve">Líneas de acción de la estrategia </w:t>
            </w:r>
          </w:p>
        </w:tc>
        <w:tc>
          <w:tcPr>
            <w:tcW w:w="1112"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C10AE4" w14:textId="77777777" w:rsidR="00317611" w:rsidRPr="00032AB4" w:rsidRDefault="00317611" w:rsidP="00670228">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Situación actual</w:t>
            </w:r>
          </w:p>
          <w:p w14:paraId="15CBC4B7" w14:textId="77777777" w:rsidR="00317611" w:rsidRPr="00032AB4" w:rsidRDefault="00317611" w:rsidP="00670228">
            <w:pPr>
              <w:rPr>
                <w:rFonts w:ascii="Calibri" w:eastAsia="Times New Roman" w:hAnsi="Calibri" w:cs="Times New Roman"/>
                <w:color w:val="000000"/>
                <w:sz w:val="18"/>
                <w:szCs w:val="18"/>
                <w:lang w:val="es-SV" w:eastAsia="es-SV"/>
              </w:rPr>
            </w:pPr>
          </w:p>
        </w:tc>
        <w:tc>
          <w:tcPr>
            <w:tcW w:w="707"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5466BEF" w14:textId="77777777" w:rsidR="00317611" w:rsidRPr="00032AB4" w:rsidRDefault="00317611" w:rsidP="00670228">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 xml:space="preserve">Oportunidades </w:t>
            </w:r>
          </w:p>
          <w:p w14:paraId="39A7864B" w14:textId="77777777" w:rsidR="00317611" w:rsidRPr="00032AB4" w:rsidRDefault="00317611" w:rsidP="00670228">
            <w:pPr>
              <w:spacing w:after="0" w:line="240" w:lineRule="auto"/>
              <w:rPr>
                <w:rFonts w:ascii="Calibri" w:eastAsia="Times New Roman" w:hAnsi="Calibri" w:cs="Times New Roman"/>
                <w:color w:val="000000"/>
                <w:sz w:val="18"/>
                <w:szCs w:val="18"/>
                <w:lang w:val="es-SV" w:eastAsia="es-SV"/>
              </w:rPr>
            </w:pPr>
            <w:r w:rsidRPr="0077324A">
              <w:rPr>
                <w:rFonts w:ascii="Calibri" w:eastAsia="Times New Roman" w:hAnsi="Calibri" w:cs="Times New Roman"/>
                <w:color w:val="000000"/>
                <w:sz w:val="18"/>
                <w:szCs w:val="18"/>
                <w:lang w:val="es-SV" w:eastAsia="es-SV"/>
              </w:rPr>
              <w:t> </w:t>
            </w:r>
          </w:p>
        </w:tc>
        <w:tc>
          <w:tcPr>
            <w:tcW w:w="686"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AD7B63F" w14:textId="77777777" w:rsidR="00317611" w:rsidRPr="00032AB4" w:rsidRDefault="00317611" w:rsidP="00670228">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Desafíos</w:t>
            </w:r>
          </w:p>
        </w:tc>
        <w:tc>
          <w:tcPr>
            <w:tcW w:w="700"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0778845" w14:textId="77777777" w:rsidR="00317611" w:rsidRPr="00032AB4" w:rsidRDefault="00317611" w:rsidP="00670228">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 xml:space="preserve"> Meta (en base a brechas y prioridades) </w:t>
            </w:r>
          </w:p>
        </w:tc>
        <w:tc>
          <w:tcPr>
            <w:tcW w:w="70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34B3A2CC" w14:textId="77777777" w:rsidR="00317611" w:rsidRPr="00032AB4" w:rsidRDefault="00317611" w:rsidP="00670228">
            <w:pPr>
              <w:rPr>
                <w:rFonts w:ascii="Calibri" w:eastAsia="Times New Roman" w:hAnsi="Calibri" w:cs="Times New Roman"/>
                <w:color w:val="000000"/>
                <w:sz w:val="18"/>
                <w:szCs w:val="18"/>
                <w:lang w:val="es-SV" w:eastAsia="es-SV"/>
              </w:rPr>
            </w:pPr>
            <w:r w:rsidRPr="00032AB4">
              <w:rPr>
                <w:rFonts w:ascii="Calibri" w:eastAsia="Times New Roman" w:hAnsi="Calibri" w:cs="Times New Roman"/>
                <w:color w:val="000000"/>
                <w:sz w:val="18"/>
                <w:szCs w:val="18"/>
                <w:lang w:val="es-SV" w:eastAsia="es-SV"/>
              </w:rPr>
              <w:t>Responsables de actividades</w:t>
            </w:r>
          </w:p>
        </w:tc>
      </w:tr>
      <w:tr w:rsidR="00317611" w:rsidRPr="00047B1F" w14:paraId="379FD891" w14:textId="77777777" w:rsidTr="0031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2"/>
        </w:trPr>
        <w:tc>
          <w:tcPr>
            <w:tcW w:w="1087" w:type="pct"/>
            <w:shd w:val="clear" w:color="auto" w:fill="auto"/>
            <w:hideMark/>
          </w:tcPr>
          <w:p w14:paraId="48245C78" w14:textId="77777777" w:rsidR="00317611" w:rsidRPr="00047B1F" w:rsidRDefault="00317611" w:rsidP="00670228">
            <w:pPr>
              <w:spacing w:after="0" w:line="240" w:lineRule="auto"/>
              <w:rPr>
                <w:rFonts w:ascii="Calibri" w:eastAsia="Times New Roman" w:hAnsi="Calibri" w:cs="Times New Roman"/>
                <w:b/>
                <w:bCs/>
                <w:color w:val="000000"/>
                <w:sz w:val="18"/>
                <w:szCs w:val="18"/>
                <w:lang w:val="es-SV" w:eastAsia="es-SV"/>
              </w:rPr>
            </w:pPr>
            <w:r w:rsidRPr="00047B1F">
              <w:rPr>
                <w:rFonts w:ascii="Calibri" w:eastAsia="Times New Roman" w:hAnsi="Calibri" w:cs="Times New Roman"/>
                <w:b/>
                <w:bCs/>
                <w:color w:val="000000"/>
                <w:sz w:val="18"/>
                <w:szCs w:val="18"/>
                <w:lang w:val="es-SV" w:eastAsia="es-SV"/>
              </w:rPr>
              <w:t>9. Fortalecimiento de marco de políticas y  procesos relacionados con la conducción y  gestión para la movilización,  asignación y ejecución presupuestaria oportunas;  alineación de metas con presupuesto; puesta en práctica de herramientas para la reasignación presupuestaria basada en datos; entrega oportuna de datos financieros y de gasto, así como el  desempeño y calidad  de los programas</w:t>
            </w:r>
          </w:p>
        </w:tc>
        <w:tc>
          <w:tcPr>
            <w:tcW w:w="1112" w:type="pct"/>
            <w:shd w:val="clear" w:color="auto" w:fill="auto"/>
            <w:hideMark/>
          </w:tcPr>
          <w:p w14:paraId="35FC3CCA" w14:textId="77777777" w:rsidR="00317611" w:rsidRPr="00047B1F" w:rsidRDefault="00317611" w:rsidP="00317611">
            <w:pPr>
              <w:spacing w:after="0" w:line="240" w:lineRule="auto"/>
              <w:rPr>
                <w:rFonts w:ascii="Calibri" w:eastAsia="Times New Roman" w:hAnsi="Calibri" w:cs="Times New Roman"/>
                <w:sz w:val="18"/>
                <w:szCs w:val="18"/>
                <w:lang w:val="es-SV" w:eastAsia="es-SV"/>
              </w:rPr>
            </w:pPr>
            <w:r w:rsidRPr="00047B1F">
              <w:rPr>
                <w:rFonts w:ascii="Calibri" w:eastAsia="Times New Roman" w:hAnsi="Calibri" w:cs="Times New Roman"/>
                <w:sz w:val="18"/>
                <w:szCs w:val="18"/>
                <w:lang w:val="es-SV" w:eastAsia="es-SV"/>
              </w:rPr>
              <w:t>Actualmente existe la Comisión Nacional de VIH y sus subcomisiones para la conducción de la epidemia, sin embargo</w:t>
            </w:r>
            <w:r>
              <w:rPr>
                <w:rFonts w:ascii="Calibri" w:eastAsia="Times New Roman" w:hAnsi="Calibri" w:cs="Times New Roman"/>
                <w:sz w:val="18"/>
                <w:szCs w:val="18"/>
                <w:lang w:val="es-SV" w:eastAsia="es-SV"/>
              </w:rPr>
              <w:t>,</w:t>
            </w:r>
            <w:r w:rsidRPr="00047B1F">
              <w:rPr>
                <w:rFonts w:ascii="Calibri" w:eastAsia="Times New Roman" w:hAnsi="Calibri" w:cs="Times New Roman"/>
                <w:sz w:val="18"/>
                <w:szCs w:val="18"/>
                <w:lang w:val="es-SV" w:eastAsia="es-SV"/>
              </w:rPr>
              <w:t xml:space="preserve"> la CONAVIH está bajo el mandato del Programa de VIH, lo que significa que no tiene autonomía en la toma de decisiones. Por otro lado, existe el Mecanismos Coordinador de país MCP-ES quien da seguimiento a los proyectos del Fondo Mundial.</w:t>
            </w:r>
            <w:r w:rsidRPr="00047B1F">
              <w:rPr>
                <w:rFonts w:ascii="Calibri" w:eastAsia="Times New Roman" w:hAnsi="Calibri" w:cs="Times New Roman"/>
                <w:sz w:val="18"/>
                <w:szCs w:val="18"/>
                <w:lang w:val="es-SV" w:eastAsia="es-SV"/>
              </w:rPr>
              <w:br/>
            </w:r>
          </w:p>
        </w:tc>
        <w:tc>
          <w:tcPr>
            <w:tcW w:w="707" w:type="pct"/>
            <w:shd w:val="clear" w:color="auto" w:fill="auto"/>
            <w:hideMark/>
          </w:tcPr>
          <w:p w14:paraId="28B4D904" w14:textId="77777777" w:rsidR="00317611" w:rsidRPr="00047B1F" w:rsidRDefault="00317611" w:rsidP="00670228">
            <w:pPr>
              <w:spacing w:after="0" w:line="240" w:lineRule="auto"/>
              <w:rPr>
                <w:rFonts w:ascii="Calibri" w:eastAsia="Times New Roman" w:hAnsi="Calibri" w:cs="Times New Roman"/>
                <w:sz w:val="18"/>
                <w:szCs w:val="18"/>
                <w:lang w:val="es-SV" w:eastAsia="es-SV"/>
              </w:rPr>
            </w:pPr>
            <w:r w:rsidRPr="00047B1F">
              <w:rPr>
                <w:rFonts w:ascii="Calibri" w:eastAsia="Times New Roman" w:hAnsi="Calibri" w:cs="Times New Roman"/>
                <w:sz w:val="18"/>
                <w:szCs w:val="18"/>
                <w:lang w:val="es-SV" w:eastAsia="es-SV"/>
              </w:rPr>
              <w:t>Existen instituciones y organizaciones interesadas en hacer el fortalecimiento de la gestión de VIH, conformar o crear comisiones especiales para tales fines.</w:t>
            </w:r>
          </w:p>
        </w:tc>
        <w:tc>
          <w:tcPr>
            <w:tcW w:w="686" w:type="pct"/>
            <w:shd w:val="clear" w:color="auto" w:fill="auto"/>
            <w:hideMark/>
          </w:tcPr>
          <w:p w14:paraId="3CF63ACE" w14:textId="77777777" w:rsidR="00317611" w:rsidRPr="00047B1F" w:rsidRDefault="00317611" w:rsidP="00670228">
            <w:pPr>
              <w:spacing w:after="0" w:line="240" w:lineRule="auto"/>
              <w:rPr>
                <w:rFonts w:ascii="Calibri" w:eastAsia="Times New Roman" w:hAnsi="Calibri" w:cs="Times New Roman"/>
                <w:sz w:val="18"/>
                <w:szCs w:val="18"/>
                <w:lang w:val="es-SV" w:eastAsia="es-SV"/>
              </w:rPr>
            </w:pPr>
            <w:r w:rsidRPr="00047B1F">
              <w:rPr>
                <w:rFonts w:ascii="Calibri" w:eastAsia="Times New Roman" w:hAnsi="Calibri" w:cs="Times New Roman"/>
                <w:sz w:val="18"/>
                <w:szCs w:val="18"/>
                <w:lang w:val="es-SV" w:eastAsia="es-SV"/>
              </w:rPr>
              <w:t>Fortalecer o crear un espacio multisectorial para la conducción  y  gestión para la movilización,  asignación y ejecución presupuestaria oportunas.</w:t>
            </w:r>
          </w:p>
        </w:tc>
        <w:tc>
          <w:tcPr>
            <w:tcW w:w="700" w:type="pct"/>
            <w:shd w:val="clear" w:color="auto" w:fill="auto"/>
            <w:hideMark/>
          </w:tcPr>
          <w:p w14:paraId="4D3ACE32" w14:textId="77777777" w:rsidR="00317611" w:rsidRPr="00047B1F" w:rsidRDefault="00317611" w:rsidP="00670228">
            <w:pPr>
              <w:spacing w:after="0" w:line="240" w:lineRule="auto"/>
              <w:rPr>
                <w:rFonts w:ascii="Calibri" w:eastAsia="Times New Roman" w:hAnsi="Calibri" w:cs="Times New Roman"/>
                <w:sz w:val="18"/>
                <w:szCs w:val="18"/>
                <w:lang w:val="es-SV" w:eastAsia="es-SV"/>
              </w:rPr>
            </w:pPr>
            <w:r w:rsidRPr="00047B1F">
              <w:rPr>
                <w:rFonts w:ascii="Calibri" w:eastAsia="Times New Roman" w:hAnsi="Calibri" w:cs="Times New Roman"/>
                <w:sz w:val="18"/>
                <w:szCs w:val="18"/>
                <w:lang w:val="es-SV" w:eastAsia="es-SV"/>
              </w:rPr>
              <w:t>Conformar la Comisión Nacional del Sostenibilidad de la Respuesta al VIH, creada por múltiples actores, incluyendo actores de salud, actores fuera del sector salud, empresa privada y otros.</w:t>
            </w:r>
          </w:p>
        </w:tc>
        <w:tc>
          <w:tcPr>
            <w:tcW w:w="707" w:type="pct"/>
            <w:shd w:val="clear" w:color="auto" w:fill="auto"/>
            <w:hideMark/>
          </w:tcPr>
          <w:p w14:paraId="64053A70" w14:textId="77777777" w:rsidR="00317611" w:rsidRPr="00047B1F" w:rsidRDefault="00317611" w:rsidP="00670228">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Programa Nacional de ITS y VIH /Sida, Sociedad Civil agencias de cooperación, Ministerio de Hacienda, Ministerio de Trabajo, Empresa Privada, entre otros.</w:t>
            </w:r>
          </w:p>
        </w:tc>
      </w:tr>
    </w:tbl>
    <w:p w14:paraId="0A441283" w14:textId="77777777" w:rsidR="00317611" w:rsidRDefault="00317611" w:rsidP="00317611"/>
    <w:p w14:paraId="7086EB47" w14:textId="77777777" w:rsidR="000B1070" w:rsidRDefault="000B1070" w:rsidP="003176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42"/>
        <w:gridCol w:w="604"/>
        <w:gridCol w:w="550"/>
        <w:gridCol w:w="688"/>
        <w:gridCol w:w="505"/>
        <w:gridCol w:w="505"/>
      </w:tblGrid>
      <w:tr w:rsidR="00317611" w:rsidRPr="00047B1F" w14:paraId="3BEDAA7A" w14:textId="77777777" w:rsidTr="00670228">
        <w:trPr>
          <w:trHeight w:val="400"/>
        </w:trPr>
        <w:tc>
          <w:tcPr>
            <w:tcW w:w="5000" w:type="pct"/>
            <w:gridSpan w:val="6"/>
            <w:shd w:val="clear" w:color="auto" w:fill="auto"/>
          </w:tcPr>
          <w:p w14:paraId="02FCEBC6" w14:textId="77777777" w:rsidR="00317611" w:rsidRPr="00EC5B63" w:rsidRDefault="00317611" w:rsidP="00670228">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 xml:space="preserve">Acciones / </w:t>
            </w:r>
            <w:r w:rsidRPr="00EE1739">
              <w:rPr>
                <w:rFonts w:ascii="Calibri" w:eastAsia="Times New Roman" w:hAnsi="Calibri" w:cs="Times New Roman"/>
                <w:b/>
                <w:color w:val="000000"/>
                <w:sz w:val="18"/>
                <w:szCs w:val="18"/>
                <w:lang w:val="es-SV" w:eastAsia="es-SV"/>
              </w:rPr>
              <w:t>Periodo de ejecución</w:t>
            </w:r>
          </w:p>
        </w:tc>
      </w:tr>
      <w:tr w:rsidR="00317611" w:rsidRPr="00047B1F" w14:paraId="55D7C2F2" w14:textId="77777777" w:rsidTr="00670228">
        <w:trPr>
          <w:trHeight w:val="420"/>
        </w:trPr>
        <w:tc>
          <w:tcPr>
            <w:tcW w:w="3904" w:type="pct"/>
            <w:shd w:val="clear" w:color="auto" w:fill="auto"/>
          </w:tcPr>
          <w:p w14:paraId="27B1CFDC" w14:textId="77777777" w:rsidR="00317611" w:rsidRPr="00EC5B63" w:rsidRDefault="00317611" w:rsidP="00670228">
            <w:pPr>
              <w:spacing w:after="0" w:line="240" w:lineRule="auto"/>
              <w:rPr>
                <w:rFonts w:ascii="Calibri" w:eastAsia="Times New Roman" w:hAnsi="Calibri" w:cs="Times New Roman"/>
                <w:b/>
                <w:color w:val="000000"/>
                <w:sz w:val="18"/>
                <w:szCs w:val="18"/>
                <w:lang w:val="es-SV" w:eastAsia="es-SV"/>
              </w:rPr>
            </w:pPr>
          </w:p>
        </w:tc>
        <w:tc>
          <w:tcPr>
            <w:tcW w:w="234" w:type="pct"/>
            <w:shd w:val="clear" w:color="auto" w:fill="auto"/>
          </w:tcPr>
          <w:p w14:paraId="6B7FE49D" w14:textId="77777777" w:rsidR="00317611" w:rsidRPr="00EC5B63" w:rsidRDefault="00317611" w:rsidP="00670228">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2019</w:t>
            </w:r>
          </w:p>
        </w:tc>
        <w:tc>
          <w:tcPr>
            <w:tcW w:w="213" w:type="pct"/>
            <w:shd w:val="clear" w:color="auto" w:fill="auto"/>
          </w:tcPr>
          <w:p w14:paraId="247255FF" w14:textId="77777777" w:rsidR="00317611" w:rsidRPr="00EC5B63" w:rsidRDefault="00317611" w:rsidP="00670228">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2020</w:t>
            </w:r>
          </w:p>
        </w:tc>
        <w:tc>
          <w:tcPr>
            <w:tcW w:w="266" w:type="pct"/>
            <w:shd w:val="clear" w:color="auto" w:fill="auto"/>
          </w:tcPr>
          <w:p w14:paraId="5159CDF6" w14:textId="77777777" w:rsidR="00317611" w:rsidRPr="00EC5B63" w:rsidRDefault="00317611" w:rsidP="00670228">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2021</w:t>
            </w:r>
          </w:p>
        </w:tc>
        <w:tc>
          <w:tcPr>
            <w:tcW w:w="191" w:type="pct"/>
            <w:shd w:val="clear" w:color="auto" w:fill="auto"/>
          </w:tcPr>
          <w:p w14:paraId="7D3F244A" w14:textId="77777777" w:rsidR="00317611" w:rsidRPr="00EC5B63" w:rsidRDefault="00317611" w:rsidP="00670228">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2022</w:t>
            </w:r>
          </w:p>
        </w:tc>
        <w:tc>
          <w:tcPr>
            <w:tcW w:w="191" w:type="pct"/>
            <w:shd w:val="clear" w:color="auto" w:fill="auto"/>
          </w:tcPr>
          <w:p w14:paraId="7A60277C" w14:textId="77777777" w:rsidR="00317611" w:rsidRPr="00EC5B63" w:rsidRDefault="00317611" w:rsidP="00670228">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2023</w:t>
            </w:r>
          </w:p>
        </w:tc>
      </w:tr>
      <w:tr w:rsidR="00317611" w:rsidRPr="00047B1F" w14:paraId="623FC40A" w14:textId="77777777" w:rsidTr="00670228">
        <w:trPr>
          <w:trHeight w:val="238"/>
        </w:trPr>
        <w:tc>
          <w:tcPr>
            <w:tcW w:w="3904" w:type="pct"/>
            <w:shd w:val="clear" w:color="auto" w:fill="auto"/>
            <w:hideMark/>
          </w:tcPr>
          <w:p w14:paraId="515EA457" w14:textId="77777777" w:rsidR="00317611" w:rsidRPr="00047B1F" w:rsidRDefault="00317611" w:rsidP="00670228">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Conformar la Comisión Nacional de Sostenibilidad de la Respuesta al VIH</w:t>
            </w:r>
          </w:p>
        </w:tc>
        <w:tc>
          <w:tcPr>
            <w:tcW w:w="234" w:type="pct"/>
            <w:shd w:val="clear" w:color="auto" w:fill="auto"/>
            <w:vAlign w:val="bottom"/>
            <w:hideMark/>
          </w:tcPr>
          <w:p w14:paraId="36D3830F" w14:textId="77777777" w:rsidR="00317611" w:rsidRDefault="00317611" w:rsidP="00670228">
            <w:pPr>
              <w:jc w:val="center"/>
              <w:rPr>
                <w:rFonts w:ascii="Calibri" w:hAnsi="Calibri"/>
                <w:color w:val="000000"/>
              </w:rPr>
            </w:pPr>
            <w:r>
              <w:rPr>
                <w:rFonts w:ascii="Calibri" w:hAnsi="Calibri"/>
                <w:color w:val="000000"/>
              </w:rPr>
              <w:t>x</w:t>
            </w:r>
          </w:p>
        </w:tc>
        <w:tc>
          <w:tcPr>
            <w:tcW w:w="213" w:type="pct"/>
            <w:shd w:val="clear" w:color="auto" w:fill="auto"/>
            <w:vAlign w:val="bottom"/>
            <w:hideMark/>
          </w:tcPr>
          <w:p w14:paraId="6B57AE0A" w14:textId="77777777" w:rsidR="00317611" w:rsidRDefault="00317611" w:rsidP="00670228">
            <w:pPr>
              <w:jc w:val="center"/>
              <w:rPr>
                <w:rFonts w:ascii="Calibri" w:hAnsi="Calibri"/>
                <w:color w:val="000000"/>
              </w:rPr>
            </w:pPr>
          </w:p>
        </w:tc>
        <w:tc>
          <w:tcPr>
            <w:tcW w:w="266" w:type="pct"/>
            <w:shd w:val="clear" w:color="auto" w:fill="auto"/>
            <w:vAlign w:val="bottom"/>
            <w:hideMark/>
          </w:tcPr>
          <w:p w14:paraId="1DBC9C70" w14:textId="77777777" w:rsidR="00317611" w:rsidRDefault="00317611" w:rsidP="00670228">
            <w:pPr>
              <w:jc w:val="center"/>
              <w:rPr>
                <w:rFonts w:ascii="Calibri" w:hAnsi="Calibri"/>
                <w:color w:val="000000"/>
              </w:rPr>
            </w:pPr>
          </w:p>
        </w:tc>
        <w:tc>
          <w:tcPr>
            <w:tcW w:w="191" w:type="pct"/>
            <w:shd w:val="clear" w:color="auto" w:fill="auto"/>
            <w:vAlign w:val="bottom"/>
            <w:hideMark/>
          </w:tcPr>
          <w:p w14:paraId="67CA3041" w14:textId="77777777" w:rsidR="00317611" w:rsidRDefault="00317611" w:rsidP="00670228">
            <w:pPr>
              <w:jc w:val="center"/>
              <w:rPr>
                <w:rFonts w:ascii="Calibri" w:hAnsi="Calibri"/>
                <w:color w:val="000000"/>
              </w:rPr>
            </w:pPr>
          </w:p>
        </w:tc>
        <w:tc>
          <w:tcPr>
            <w:tcW w:w="191" w:type="pct"/>
            <w:shd w:val="clear" w:color="auto" w:fill="auto"/>
            <w:vAlign w:val="bottom"/>
            <w:hideMark/>
          </w:tcPr>
          <w:p w14:paraId="52AA16F6" w14:textId="77777777" w:rsidR="00317611" w:rsidRDefault="00317611" w:rsidP="00670228">
            <w:pPr>
              <w:jc w:val="center"/>
              <w:rPr>
                <w:rFonts w:ascii="Calibri" w:hAnsi="Calibri"/>
                <w:color w:val="000000"/>
              </w:rPr>
            </w:pPr>
          </w:p>
        </w:tc>
      </w:tr>
      <w:tr w:rsidR="00317611" w:rsidRPr="00047B1F" w14:paraId="37B52487" w14:textId="77777777" w:rsidTr="00670228">
        <w:trPr>
          <w:trHeight w:val="491"/>
        </w:trPr>
        <w:tc>
          <w:tcPr>
            <w:tcW w:w="3904" w:type="pct"/>
            <w:shd w:val="clear" w:color="auto" w:fill="auto"/>
            <w:hideMark/>
          </w:tcPr>
          <w:p w14:paraId="4350AA52" w14:textId="77777777" w:rsidR="00317611" w:rsidRPr="00047B1F" w:rsidRDefault="00317611" w:rsidP="00670228">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Aprobar la Est</w:t>
            </w:r>
            <w:r>
              <w:rPr>
                <w:rFonts w:ascii="Calibri" w:eastAsia="Times New Roman" w:hAnsi="Calibri" w:cs="Times New Roman"/>
                <w:color w:val="000000"/>
                <w:sz w:val="18"/>
                <w:szCs w:val="18"/>
                <w:lang w:val="es-SV" w:eastAsia="es-SV"/>
              </w:rPr>
              <w:t>rategia Nacional de Sostenibilidad</w:t>
            </w:r>
            <w:r w:rsidRPr="00047B1F">
              <w:rPr>
                <w:rFonts w:ascii="Calibri" w:eastAsia="Times New Roman" w:hAnsi="Calibri" w:cs="Times New Roman"/>
                <w:color w:val="000000"/>
                <w:sz w:val="18"/>
                <w:szCs w:val="18"/>
                <w:lang w:val="es-SV" w:eastAsia="es-SV"/>
              </w:rPr>
              <w:t xml:space="preserve"> en VI</w:t>
            </w:r>
            <w:r>
              <w:rPr>
                <w:rFonts w:ascii="Calibri" w:eastAsia="Times New Roman" w:hAnsi="Calibri" w:cs="Times New Roman"/>
                <w:color w:val="000000"/>
                <w:sz w:val="18"/>
                <w:szCs w:val="18"/>
                <w:lang w:val="es-SV" w:eastAsia="es-SV"/>
              </w:rPr>
              <w:t>H por la Comisión Nacional de S</w:t>
            </w:r>
            <w:r w:rsidRPr="00047B1F">
              <w:rPr>
                <w:rFonts w:ascii="Calibri" w:eastAsia="Times New Roman" w:hAnsi="Calibri" w:cs="Times New Roman"/>
                <w:color w:val="000000"/>
                <w:sz w:val="18"/>
                <w:szCs w:val="18"/>
                <w:lang w:val="es-SV" w:eastAsia="es-SV"/>
              </w:rPr>
              <w:t>o</w:t>
            </w:r>
            <w:r>
              <w:rPr>
                <w:rFonts w:ascii="Calibri" w:eastAsia="Times New Roman" w:hAnsi="Calibri" w:cs="Times New Roman"/>
                <w:color w:val="000000"/>
                <w:sz w:val="18"/>
                <w:szCs w:val="18"/>
                <w:lang w:val="es-SV" w:eastAsia="es-SV"/>
              </w:rPr>
              <w:t>s</w:t>
            </w:r>
            <w:r w:rsidRPr="00047B1F">
              <w:rPr>
                <w:rFonts w:ascii="Calibri" w:eastAsia="Times New Roman" w:hAnsi="Calibri" w:cs="Times New Roman"/>
                <w:color w:val="000000"/>
                <w:sz w:val="18"/>
                <w:szCs w:val="18"/>
                <w:lang w:val="es-SV" w:eastAsia="es-SV"/>
              </w:rPr>
              <w:t>tenibilidad</w:t>
            </w:r>
          </w:p>
        </w:tc>
        <w:tc>
          <w:tcPr>
            <w:tcW w:w="234" w:type="pct"/>
            <w:shd w:val="clear" w:color="auto" w:fill="auto"/>
            <w:vAlign w:val="bottom"/>
            <w:hideMark/>
          </w:tcPr>
          <w:p w14:paraId="08A2DAD8" w14:textId="77777777" w:rsidR="00317611" w:rsidRDefault="00317611" w:rsidP="00670228">
            <w:pPr>
              <w:rPr>
                <w:rFonts w:ascii="Calibri" w:hAnsi="Calibri"/>
                <w:color w:val="000000"/>
              </w:rPr>
            </w:pPr>
            <w:r>
              <w:rPr>
                <w:rFonts w:ascii="Calibri" w:hAnsi="Calibri"/>
                <w:color w:val="000000"/>
              </w:rPr>
              <w:t>x</w:t>
            </w:r>
          </w:p>
        </w:tc>
        <w:tc>
          <w:tcPr>
            <w:tcW w:w="213" w:type="pct"/>
            <w:shd w:val="clear" w:color="auto" w:fill="auto"/>
            <w:vAlign w:val="bottom"/>
            <w:hideMark/>
          </w:tcPr>
          <w:p w14:paraId="6AB235C8" w14:textId="77777777" w:rsidR="00317611" w:rsidRDefault="00317611" w:rsidP="00670228">
            <w:pPr>
              <w:rPr>
                <w:rFonts w:ascii="Calibri" w:hAnsi="Calibri"/>
                <w:color w:val="000000"/>
              </w:rPr>
            </w:pPr>
          </w:p>
        </w:tc>
        <w:tc>
          <w:tcPr>
            <w:tcW w:w="266" w:type="pct"/>
            <w:shd w:val="clear" w:color="auto" w:fill="auto"/>
            <w:vAlign w:val="bottom"/>
            <w:hideMark/>
          </w:tcPr>
          <w:p w14:paraId="51C62507" w14:textId="77777777" w:rsidR="00317611" w:rsidRDefault="00317611" w:rsidP="00670228">
            <w:pPr>
              <w:jc w:val="center"/>
              <w:rPr>
                <w:rFonts w:ascii="Calibri" w:hAnsi="Calibri"/>
                <w:color w:val="000000"/>
              </w:rPr>
            </w:pPr>
          </w:p>
        </w:tc>
        <w:tc>
          <w:tcPr>
            <w:tcW w:w="191" w:type="pct"/>
            <w:shd w:val="clear" w:color="auto" w:fill="auto"/>
            <w:vAlign w:val="bottom"/>
            <w:hideMark/>
          </w:tcPr>
          <w:p w14:paraId="3987628C" w14:textId="77777777" w:rsidR="00317611" w:rsidRDefault="00317611" w:rsidP="00670228">
            <w:pPr>
              <w:rPr>
                <w:rFonts w:ascii="Calibri" w:hAnsi="Calibri"/>
                <w:color w:val="000000"/>
              </w:rPr>
            </w:pPr>
          </w:p>
        </w:tc>
        <w:tc>
          <w:tcPr>
            <w:tcW w:w="191" w:type="pct"/>
            <w:shd w:val="clear" w:color="auto" w:fill="auto"/>
            <w:vAlign w:val="bottom"/>
            <w:hideMark/>
          </w:tcPr>
          <w:p w14:paraId="19DC6902" w14:textId="77777777" w:rsidR="00317611" w:rsidRDefault="00317611" w:rsidP="00670228">
            <w:pPr>
              <w:rPr>
                <w:rFonts w:ascii="Calibri" w:hAnsi="Calibri"/>
                <w:color w:val="000000"/>
              </w:rPr>
            </w:pPr>
          </w:p>
        </w:tc>
      </w:tr>
      <w:tr w:rsidR="00317611" w:rsidRPr="00047B1F" w14:paraId="79470624" w14:textId="77777777" w:rsidTr="00670228">
        <w:trPr>
          <w:trHeight w:val="278"/>
        </w:trPr>
        <w:tc>
          <w:tcPr>
            <w:tcW w:w="3904" w:type="pct"/>
            <w:shd w:val="clear" w:color="auto" w:fill="auto"/>
            <w:hideMark/>
          </w:tcPr>
          <w:p w14:paraId="3B472EBA" w14:textId="77777777" w:rsidR="00317611" w:rsidRPr="00047B1F" w:rsidRDefault="00317611" w:rsidP="00670228">
            <w:pPr>
              <w:spacing w:after="0" w:line="240" w:lineRule="auto"/>
              <w:rPr>
                <w:rFonts w:ascii="Calibri" w:eastAsia="Times New Roman" w:hAnsi="Calibri" w:cs="Times New Roman"/>
                <w:color w:val="000000"/>
                <w:sz w:val="18"/>
                <w:szCs w:val="18"/>
                <w:lang w:val="es-SV" w:eastAsia="es-SV"/>
              </w:rPr>
            </w:pPr>
            <w:r w:rsidRPr="00047B1F">
              <w:rPr>
                <w:rFonts w:ascii="Calibri" w:eastAsia="Times New Roman" w:hAnsi="Calibri" w:cs="Times New Roman"/>
                <w:color w:val="000000"/>
                <w:sz w:val="18"/>
                <w:szCs w:val="18"/>
                <w:lang w:val="es-SV" w:eastAsia="es-SV"/>
              </w:rPr>
              <w:t>Establecer reuniones periódicas para la toma de decisiones</w:t>
            </w:r>
          </w:p>
        </w:tc>
        <w:tc>
          <w:tcPr>
            <w:tcW w:w="234" w:type="pct"/>
            <w:shd w:val="clear" w:color="auto" w:fill="auto"/>
            <w:vAlign w:val="bottom"/>
            <w:hideMark/>
          </w:tcPr>
          <w:p w14:paraId="34D86DB0" w14:textId="77777777" w:rsidR="00317611" w:rsidRDefault="00317611" w:rsidP="00670228">
            <w:pPr>
              <w:jc w:val="center"/>
              <w:rPr>
                <w:rFonts w:ascii="Calibri" w:hAnsi="Calibri"/>
                <w:color w:val="000000"/>
              </w:rPr>
            </w:pPr>
            <w:r>
              <w:rPr>
                <w:rFonts w:ascii="Calibri" w:hAnsi="Calibri"/>
                <w:color w:val="000000"/>
              </w:rPr>
              <w:t>x</w:t>
            </w:r>
          </w:p>
        </w:tc>
        <w:tc>
          <w:tcPr>
            <w:tcW w:w="213" w:type="pct"/>
            <w:shd w:val="clear" w:color="auto" w:fill="auto"/>
            <w:vAlign w:val="bottom"/>
            <w:hideMark/>
          </w:tcPr>
          <w:p w14:paraId="6DF4C3CA" w14:textId="77777777" w:rsidR="00317611" w:rsidRDefault="00317611" w:rsidP="00670228">
            <w:pPr>
              <w:jc w:val="center"/>
              <w:rPr>
                <w:rFonts w:ascii="Calibri" w:hAnsi="Calibri"/>
                <w:color w:val="000000"/>
              </w:rPr>
            </w:pPr>
            <w:r>
              <w:rPr>
                <w:rFonts w:ascii="Calibri" w:hAnsi="Calibri"/>
                <w:color w:val="000000"/>
              </w:rPr>
              <w:t>x</w:t>
            </w:r>
          </w:p>
        </w:tc>
        <w:tc>
          <w:tcPr>
            <w:tcW w:w="266" w:type="pct"/>
            <w:shd w:val="clear" w:color="auto" w:fill="auto"/>
            <w:vAlign w:val="bottom"/>
            <w:hideMark/>
          </w:tcPr>
          <w:p w14:paraId="620807D4" w14:textId="77777777" w:rsidR="00317611" w:rsidRDefault="00317611" w:rsidP="00670228">
            <w:pPr>
              <w:jc w:val="center"/>
              <w:rPr>
                <w:rFonts w:ascii="Calibri" w:hAnsi="Calibri"/>
                <w:color w:val="000000"/>
              </w:rPr>
            </w:pPr>
            <w:r>
              <w:rPr>
                <w:rFonts w:ascii="Calibri" w:hAnsi="Calibri"/>
                <w:color w:val="000000"/>
              </w:rPr>
              <w:t>x</w:t>
            </w:r>
          </w:p>
        </w:tc>
        <w:tc>
          <w:tcPr>
            <w:tcW w:w="191" w:type="pct"/>
            <w:shd w:val="clear" w:color="auto" w:fill="auto"/>
            <w:vAlign w:val="bottom"/>
            <w:hideMark/>
          </w:tcPr>
          <w:p w14:paraId="69213C23" w14:textId="77777777" w:rsidR="00317611" w:rsidRDefault="00317611" w:rsidP="00670228">
            <w:pPr>
              <w:jc w:val="center"/>
              <w:rPr>
                <w:rFonts w:ascii="Calibri" w:hAnsi="Calibri"/>
                <w:color w:val="000000"/>
              </w:rPr>
            </w:pPr>
            <w:r>
              <w:rPr>
                <w:rFonts w:ascii="Calibri" w:hAnsi="Calibri"/>
                <w:color w:val="000000"/>
              </w:rPr>
              <w:t>x</w:t>
            </w:r>
          </w:p>
        </w:tc>
        <w:tc>
          <w:tcPr>
            <w:tcW w:w="191" w:type="pct"/>
            <w:shd w:val="clear" w:color="auto" w:fill="auto"/>
            <w:vAlign w:val="bottom"/>
            <w:hideMark/>
          </w:tcPr>
          <w:p w14:paraId="3B0CE8AD" w14:textId="77777777" w:rsidR="00317611" w:rsidRDefault="00317611" w:rsidP="00670228">
            <w:pPr>
              <w:jc w:val="center"/>
              <w:rPr>
                <w:rFonts w:ascii="Calibri" w:hAnsi="Calibri"/>
                <w:color w:val="000000"/>
              </w:rPr>
            </w:pPr>
            <w:r>
              <w:rPr>
                <w:rFonts w:ascii="Calibri" w:hAnsi="Calibri"/>
                <w:color w:val="000000"/>
              </w:rPr>
              <w:t>x</w:t>
            </w:r>
          </w:p>
        </w:tc>
      </w:tr>
      <w:tr w:rsidR="00317611" w:rsidRPr="00047B1F" w14:paraId="5551B09C" w14:textId="77777777" w:rsidTr="00670228">
        <w:trPr>
          <w:trHeight w:val="278"/>
        </w:trPr>
        <w:tc>
          <w:tcPr>
            <w:tcW w:w="3904" w:type="pct"/>
            <w:shd w:val="clear" w:color="auto" w:fill="auto"/>
          </w:tcPr>
          <w:p w14:paraId="34C3965A" w14:textId="77777777" w:rsidR="00317611" w:rsidRPr="00047B1F" w:rsidRDefault="00317611" w:rsidP="00670228">
            <w:pPr>
              <w:spacing w:after="0" w:line="240" w:lineRule="auto"/>
              <w:rPr>
                <w:rFonts w:ascii="Calibri" w:eastAsia="Times New Roman" w:hAnsi="Calibri" w:cs="Times New Roman"/>
                <w:color w:val="000000"/>
                <w:sz w:val="18"/>
                <w:szCs w:val="18"/>
                <w:lang w:val="es-SV" w:eastAsia="es-SV"/>
              </w:rPr>
            </w:pPr>
            <w:r w:rsidRPr="00317611">
              <w:rPr>
                <w:rFonts w:ascii="Calibri" w:eastAsia="Times New Roman" w:hAnsi="Calibri" w:cs="Times New Roman"/>
                <w:color w:val="000000"/>
                <w:sz w:val="18"/>
                <w:szCs w:val="18"/>
                <w:lang w:val="es-SV" w:eastAsia="es-SV"/>
              </w:rPr>
              <w:t>Desarrollo e implementación de Curso Formal de Profesionalización de ONGs</w:t>
            </w:r>
          </w:p>
        </w:tc>
        <w:tc>
          <w:tcPr>
            <w:tcW w:w="234" w:type="pct"/>
            <w:shd w:val="clear" w:color="auto" w:fill="auto"/>
            <w:vAlign w:val="bottom"/>
          </w:tcPr>
          <w:p w14:paraId="4E6BDD86" w14:textId="77777777" w:rsidR="00317611" w:rsidRDefault="00317611" w:rsidP="00670228">
            <w:pPr>
              <w:jc w:val="center"/>
              <w:rPr>
                <w:rFonts w:ascii="Calibri" w:hAnsi="Calibri"/>
                <w:color w:val="000000"/>
              </w:rPr>
            </w:pPr>
          </w:p>
        </w:tc>
        <w:tc>
          <w:tcPr>
            <w:tcW w:w="213" w:type="pct"/>
            <w:shd w:val="clear" w:color="auto" w:fill="auto"/>
            <w:vAlign w:val="bottom"/>
          </w:tcPr>
          <w:p w14:paraId="1B1E4DED" w14:textId="77777777" w:rsidR="00317611" w:rsidRDefault="00317611" w:rsidP="00670228">
            <w:pPr>
              <w:jc w:val="center"/>
              <w:rPr>
                <w:rFonts w:ascii="Calibri" w:hAnsi="Calibri"/>
                <w:color w:val="000000"/>
              </w:rPr>
            </w:pPr>
          </w:p>
        </w:tc>
        <w:tc>
          <w:tcPr>
            <w:tcW w:w="266" w:type="pct"/>
            <w:shd w:val="clear" w:color="auto" w:fill="auto"/>
            <w:vAlign w:val="bottom"/>
          </w:tcPr>
          <w:p w14:paraId="74A03451" w14:textId="77777777" w:rsidR="00317611" w:rsidRDefault="00317611" w:rsidP="00670228">
            <w:pPr>
              <w:jc w:val="center"/>
              <w:rPr>
                <w:rFonts w:ascii="Calibri" w:hAnsi="Calibri"/>
                <w:color w:val="000000"/>
              </w:rPr>
            </w:pPr>
          </w:p>
        </w:tc>
        <w:tc>
          <w:tcPr>
            <w:tcW w:w="191" w:type="pct"/>
            <w:shd w:val="clear" w:color="auto" w:fill="auto"/>
            <w:vAlign w:val="bottom"/>
          </w:tcPr>
          <w:p w14:paraId="4104029C" w14:textId="77777777" w:rsidR="00317611" w:rsidRDefault="00317611" w:rsidP="00670228">
            <w:pPr>
              <w:jc w:val="center"/>
              <w:rPr>
                <w:rFonts w:ascii="Calibri" w:hAnsi="Calibri"/>
                <w:color w:val="000000"/>
              </w:rPr>
            </w:pPr>
          </w:p>
        </w:tc>
        <w:tc>
          <w:tcPr>
            <w:tcW w:w="191" w:type="pct"/>
            <w:shd w:val="clear" w:color="auto" w:fill="auto"/>
            <w:vAlign w:val="bottom"/>
          </w:tcPr>
          <w:p w14:paraId="51E4E5D3" w14:textId="77777777" w:rsidR="00317611" w:rsidRDefault="00317611" w:rsidP="00670228">
            <w:pPr>
              <w:jc w:val="center"/>
              <w:rPr>
                <w:rFonts w:ascii="Calibri" w:hAnsi="Calibri"/>
                <w:color w:val="000000"/>
              </w:rPr>
            </w:pPr>
          </w:p>
        </w:tc>
      </w:tr>
    </w:tbl>
    <w:p w14:paraId="39F12C29" w14:textId="77777777" w:rsidR="00701D51" w:rsidRDefault="00701D51" w:rsidP="005C7E77">
      <w:pPr>
        <w:rPr>
          <w:b/>
        </w:rPr>
      </w:pPr>
    </w:p>
    <w:p w14:paraId="7437F26A" w14:textId="77777777" w:rsidR="00701D51" w:rsidRDefault="00701D51" w:rsidP="005C7E77">
      <w:pPr>
        <w:rPr>
          <w:b/>
        </w:rPr>
      </w:pPr>
    </w:p>
    <w:p w14:paraId="215BBE53" w14:textId="77777777" w:rsidR="005C7E77" w:rsidRDefault="002E37AF" w:rsidP="008131CF">
      <w:pPr>
        <w:pStyle w:val="Ttulo3"/>
      </w:pPr>
      <w:bookmarkStart w:id="27" w:name="_Toc15275143"/>
      <w:r w:rsidRPr="008131CF">
        <w:t>3.5</w:t>
      </w:r>
      <w:r w:rsidR="008D5BA7" w:rsidRPr="008131CF">
        <w:t>.4</w:t>
      </w:r>
      <w:r w:rsidR="000B1070" w:rsidRPr="008131CF">
        <w:t xml:space="preserve"> </w:t>
      </w:r>
      <w:r w:rsidRPr="008131CF">
        <w:t>Ejes transversales</w:t>
      </w:r>
      <w:bookmarkEnd w:id="27"/>
      <w:r w:rsidRPr="008131CF">
        <w:t xml:space="preserve"> </w:t>
      </w:r>
    </w:p>
    <w:p w14:paraId="57A14CB2" w14:textId="77777777" w:rsidR="002E37AF" w:rsidRPr="002E37AF" w:rsidRDefault="002E37AF" w:rsidP="002E37AF"/>
    <w:p w14:paraId="62081AA2" w14:textId="5F63A57A" w:rsidR="005C7E77" w:rsidRDefault="005C7E77" w:rsidP="00E84ED3">
      <w:pPr>
        <w:jc w:val="both"/>
      </w:pPr>
      <w:r>
        <w:t>La estrategia de sostenibilidad cuenta con 3 ejes trasversales:</w:t>
      </w:r>
      <w:r w:rsidR="00E84ED3">
        <w:t xml:space="preserve"> </w:t>
      </w:r>
      <w:r w:rsidR="002B7EE6">
        <w:t>1.</w:t>
      </w:r>
      <w:r w:rsidR="002B7EE6" w:rsidRPr="00855C15">
        <w:t xml:space="preserve"> Políticas</w:t>
      </w:r>
      <w:r w:rsidRPr="00855C15">
        <w:t xml:space="preserve"> que influyen en la sostenibilidad</w:t>
      </w:r>
      <w:r w:rsidR="00E84ED3">
        <w:t xml:space="preserve">; 2. </w:t>
      </w:r>
      <w:r>
        <w:t>Eliminación de barreras que impiden el acceso a servicios, o cambios estructurales para la sostenibilidad, o la adopción de modelos diferenciados, o la compra a precios reducidos, etc.</w:t>
      </w:r>
      <w:r w:rsidR="00E84ED3">
        <w:t xml:space="preserve">; 3. </w:t>
      </w:r>
      <w:r>
        <w:t>Información estratégica necesaria para la toma de decisiones vinculadas con la sostenibilidad de la respuesta al VIH en sus diferentes aristas</w:t>
      </w:r>
      <w:r w:rsidR="00E84ED3">
        <w:t>.</w:t>
      </w:r>
    </w:p>
    <w:p w14:paraId="6BF2AE1D" w14:textId="77777777" w:rsidR="00495E06" w:rsidRDefault="00495E06" w:rsidP="00495E06">
      <w:pPr>
        <w:pStyle w:val="Prrafodelista"/>
      </w:pPr>
    </w:p>
    <w:p w14:paraId="580E72A3" w14:textId="77777777" w:rsidR="00D7176D" w:rsidRPr="00E84ED3" w:rsidRDefault="00E84ED3" w:rsidP="00E84ED3">
      <w:pPr>
        <w:rPr>
          <w:b/>
          <w:bCs/>
        </w:rPr>
      </w:pPr>
      <w:r>
        <w:rPr>
          <w:b/>
          <w:bCs/>
        </w:rPr>
        <w:t xml:space="preserve">3.5.4.1 </w:t>
      </w:r>
      <w:r w:rsidR="00D7176D" w:rsidRPr="00E84ED3">
        <w:rPr>
          <w:b/>
          <w:bCs/>
        </w:rPr>
        <w:t>Políticas que influyen en la sostenibilidad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8948"/>
        <w:gridCol w:w="546"/>
        <w:gridCol w:w="546"/>
        <w:gridCol w:w="546"/>
        <w:gridCol w:w="546"/>
        <w:gridCol w:w="548"/>
      </w:tblGrid>
      <w:tr w:rsidR="00D7176D" w:rsidRPr="00047B1F" w14:paraId="1AF73142" w14:textId="77777777" w:rsidTr="008131CF">
        <w:trPr>
          <w:trHeight w:val="400"/>
        </w:trPr>
        <w:tc>
          <w:tcPr>
            <w:tcW w:w="506" w:type="pct"/>
            <w:shd w:val="clear" w:color="auto" w:fill="C5E0B3" w:themeFill="accent6" w:themeFillTint="66"/>
          </w:tcPr>
          <w:p w14:paraId="3D50CAD4" w14:textId="77777777" w:rsidR="00D7176D" w:rsidRDefault="00D7176D" w:rsidP="00670228">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Eje transversal</w:t>
            </w:r>
          </w:p>
        </w:tc>
        <w:tc>
          <w:tcPr>
            <w:tcW w:w="4494" w:type="pct"/>
            <w:gridSpan w:val="6"/>
            <w:shd w:val="clear" w:color="auto" w:fill="C5E0B3" w:themeFill="accent6" w:themeFillTint="66"/>
          </w:tcPr>
          <w:p w14:paraId="5F820B45" w14:textId="77777777" w:rsidR="00D7176D" w:rsidRPr="00AA0A8B" w:rsidRDefault="00D7176D" w:rsidP="00670228">
            <w:pPr>
              <w:spacing w:after="0" w:line="240" w:lineRule="auto"/>
              <w:jc w:val="center"/>
              <w:rPr>
                <w:rFonts w:ascii="Calibri" w:eastAsia="Times New Roman" w:hAnsi="Calibri" w:cs="Times New Roman"/>
                <w:b/>
                <w:color w:val="000000"/>
                <w:sz w:val="20"/>
                <w:szCs w:val="20"/>
                <w:lang w:val="es-SV" w:eastAsia="es-SV"/>
              </w:rPr>
            </w:pPr>
            <w:r w:rsidRPr="00AA0A8B">
              <w:rPr>
                <w:rFonts w:ascii="Calibri" w:eastAsia="Times New Roman" w:hAnsi="Calibri" w:cs="Times New Roman"/>
                <w:b/>
                <w:color w:val="000000"/>
                <w:sz w:val="20"/>
                <w:szCs w:val="20"/>
                <w:lang w:val="es-SV" w:eastAsia="es-SV"/>
              </w:rPr>
              <w:t>Acciones / Periodo de ejecución</w:t>
            </w:r>
          </w:p>
        </w:tc>
      </w:tr>
      <w:tr w:rsidR="00D7176D" w:rsidRPr="00047B1F" w14:paraId="6A1BCDB0" w14:textId="77777777" w:rsidTr="008131CF">
        <w:trPr>
          <w:trHeight w:val="70"/>
        </w:trPr>
        <w:tc>
          <w:tcPr>
            <w:tcW w:w="506" w:type="pct"/>
            <w:vMerge w:val="restart"/>
            <w:shd w:val="clear" w:color="auto" w:fill="C5E0B3" w:themeFill="accent6" w:themeFillTint="66"/>
          </w:tcPr>
          <w:p w14:paraId="182966A1" w14:textId="77777777" w:rsidR="00D7176D" w:rsidRDefault="00D7176D" w:rsidP="00670228">
            <w:pPr>
              <w:rPr>
                <w:rFonts w:ascii="Calibri" w:eastAsia="Times New Roman" w:hAnsi="Calibri" w:cs="Times New Roman"/>
                <w:b/>
                <w:bCs/>
                <w:color w:val="000000"/>
                <w:sz w:val="18"/>
                <w:szCs w:val="18"/>
                <w:lang w:eastAsia="es-SV"/>
              </w:rPr>
            </w:pPr>
            <w:r>
              <w:rPr>
                <w:rFonts w:ascii="Calibri" w:eastAsia="Times New Roman" w:hAnsi="Calibri" w:cs="Times New Roman"/>
                <w:b/>
                <w:bCs/>
                <w:color w:val="000000"/>
                <w:sz w:val="18"/>
                <w:szCs w:val="18"/>
                <w:lang w:eastAsia="es-SV"/>
              </w:rPr>
              <w:t>Políticas</w:t>
            </w:r>
            <w:r w:rsidR="00E84ED3">
              <w:rPr>
                <w:rFonts w:ascii="Calibri" w:eastAsia="Times New Roman" w:hAnsi="Calibri" w:cs="Times New Roman"/>
                <w:b/>
                <w:bCs/>
                <w:color w:val="000000"/>
                <w:sz w:val="18"/>
                <w:szCs w:val="18"/>
                <w:lang w:eastAsia="es-SV"/>
              </w:rPr>
              <w:t xml:space="preserve"> </w:t>
            </w:r>
            <w:r>
              <w:rPr>
                <w:rFonts w:ascii="Calibri" w:eastAsia="Times New Roman" w:hAnsi="Calibri" w:cs="Times New Roman"/>
                <w:b/>
                <w:bCs/>
                <w:color w:val="000000"/>
                <w:sz w:val="18"/>
                <w:szCs w:val="18"/>
                <w:lang w:eastAsia="es-SV"/>
              </w:rPr>
              <w:t xml:space="preserve"> que influyen en la sostenibilidad</w:t>
            </w:r>
          </w:p>
        </w:tc>
        <w:tc>
          <w:tcPr>
            <w:tcW w:w="3443" w:type="pct"/>
            <w:shd w:val="clear" w:color="auto" w:fill="C5E0B3" w:themeFill="accent6" w:themeFillTint="66"/>
          </w:tcPr>
          <w:p w14:paraId="0752E411" w14:textId="77777777" w:rsidR="00D7176D" w:rsidRDefault="00D7176D" w:rsidP="00670228">
            <w:pPr>
              <w:rPr>
                <w:sz w:val="20"/>
                <w:szCs w:val="20"/>
              </w:rPr>
            </w:pPr>
          </w:p>
        </w:tc>
        <w:tc>
          <w:tcPr>
            <w:tcW w:w="210" w:type="pct"/>
            <w:shd w:val="clear" w:color="auto" w:fill="C5E0B3" w:themeFill="accent6" w:themeFillTint="66"/>
          </w:tcPr>
          <w:p w14:paraId="12040EC9" w14:textId="77777777" w:rsidR="00D7176D" w:rsidRPr="00AA0A8B" w:rsidRDefault="00D7176D" w:rsidP="00670228">
            <w:pPr>
              <w:spacing w:after="0" w:line="240" w:lineRule="auto"/>
              <w:jc w:val="center"/>
              <w:rPr>
                <w:rFonts w:ascii="Calibri" w:eastAsia="Times New Roman" w:hAnsi="Calibri" w:cs="Times New Roman"/>
                <w:b/>
                <w:color w:val="000000"/>
                <w:sz w:val="20"/>
                <w:szCs w:val="20"/>
                <w:lang w:val="es-SV" w:eastAsia="es-SV"/>
              </w:rPr>
            </w:pPr>
            <w:r w:rsidRPr="00AA0A8B">
              <w:rPr>
                <w:rFonts w:ascii="Calibri" w:eastAsia="Times New Roman" w:hAnsi="Calibri" w:cs="Times New Roman"/>
                <w:b/>
                <w:color w:val="000000"/>
                <w:sz w:val="20"/>
                <w:szCs w:val="20"/>
                <w:lang w:val="es-SV" w:eastAsia="es-SV"/>
              </w:rPr>
              <w:t>2019</w:t>
            </w:r>
          </w:p>
        </w:tc>
        <w:tc>
          <w:tcPr>
            <w:tcW w:w="210" w:type="pct"/>
            <w:shd w:val="clear" w:color="auto" w:fill="C5E0B3" w:themeFill="accent6" w:themeFillTint="66"/>
          </w:tcPr>
          <w:p w14:paraId="40B7E7BF" w14:textId="77777777" w:rsidR="00D7176D" w:rsidRPr="00AA0A8B" w:rsidRDefault="00D7176D" w:rsidP="00670228">
            <w:pPr>
              <w:spacing w:after="0" w:line="240" w:lineRule="auto"/>
              <w:jc w:val="center"/>
              <w:rPr>
                <w:rFonts w:ascii="Calibri" w:eastAsia="Times New Roman" w:hAnsi="Calibri" w:cs="Times New Roman"/>
                <w:b/>
                <w:color w:val="000000"/>
                <w:sz w:val="20"/>
                <w:szCs w:val="20"/>
                <w:lang w:val="es-SV" w:eastAsia="es-SV"/>
              </w:rPr>
            </w:pPr>
            <w:r w:rsidRPr="00AA0A8B">
              <w:rPr>
                <w:rFonts w:ascii="Calibri" w:eastAsia="Times New Roman" w:hAnsi="Calibri" w:cs="Times New Roman"/>
                <w:b/>
                <w:color w:val="000000"/>
                <w:sz w:val="20"/>
                <w:szCs w:val="20"/>
                <w:lang w:val="es-SV" w:eastAsia="es-SV"/>
              </w:rPr>
              <w:t>2020</w:t>
            </w:r>
          </w:p>
        </w:tc>
        <w:tc>
          <w:tcPr>
            <w:tcW w:w="210" w:type="pct"/>
            <w:shd w:val="clear" w:color="auto" w:fill="C5E0B3" w:themeFill="accent6" w:themeFillTint="66"/>
          </w:tcPr>
          <w:p w14:paraId="6A426319" w14:textId="77777777" w:rsidR="00D7176D" w:rsidRPr="00AA0A8B" w:rsidRDefault="00D7176D" w:rsidP="00670228">
            <w:pPr>
              <w:spacing w:after="0" w:line="240" w:lineRule="auto"/>
              <w:jc w:val="center"/>
              <w:rPr>
                <w:rFonts w:ascii="Calibri" w:eastAsia="Times New Roman" w:hAnsi="Calibri" w:cs="Times New Roman"/>
                <w:b/>
                <w:color w:val="000000"/>
                <w:sz w:val="20"/>
                <w:szCs w:val="20"/>
                <w:lang w:val="es-SV" w:eastAsia="es-SV"/>
              </w:rPr>
            </w:pPr>
            <w:r w:rsidRPr="00AA0A8B">
              <w:rPr>
                <w:rFonts w:ascii="Calibri" w:eastAsia="Times New Roman" w:hAnsi="Calibri" w:cs="Times New Roman"/>
                <w:b/>
                <w:color w:val="000000"/>
                <w:sz w:val="20"/>
                <w:szCs w:val="20"/>
                <w:lang w:val="es-SV" w:eastAsia="es-SV"/>
              </w:rPr>
              <w:t>2021</w:t>
            </w:r>
          </w:p>
        </w:tc>
        <w:tc>
          <w:tcPr>
            <w:tcW w:w="210" w:type="pct"/>
            <w:shd w:val="clear" w:color="auto" w:fill="C5E0B3" w:themeFill="accent6" w:themeFillTint="66"/>
          </w:tcPr>
          <w:p w14:paraId="0FE0B8AF" w14:textId="77777777" w:rsidR="00D7176D" w:rsidRPr="00AA0A8B" w:rsidRDefault="00D7176D" w:rsidP="00670228">
            <w:pPr>
              <w:spacing w:after="0" w:line="240" w:lineRule="auto"/>
              <w:jc w:val="center"/>
              <w:rPr>
                <w:rFonts w:ascii="Calibri" w:eastAsia="Times New Roman" w:hAnsi="Calibri" w:cs="Times New Roman"/>
                <w:b/>
                <w:color w:val="000000"/>
                <w:sz w:val="20"/>
                <w:szCs w:val="20"/>
                <w:lang w:val="es-SV" w:eastAsia="es-SV"/>
              </w:rPr>
            </w:pPr>
            <w:r w:rsidRPr="00AA0A8B">
              <w:rPr>
                <w:rFonts w:ascii="Calibri" w:eastAsia="Times New Roman" w:hAnsi="Calibri" w:cs="Times New Roman"/>
                <w:b/>
                <w:color w:val="000000"/>
                <w:sz w:val="20"/>
                <w:szCs w:val="20"/>
                <w:lang w:val="es-SV" w:eastAsia="es-SV"/>
              </w:rPr>
              <w:t>2022</w:t>
            </w:r>
          </w:p>
        </w:tc>
        <w:tc>
          <w:tcPr>
            <w:tcW w:w="211" w:type="pct"/>
            <w:shd w:val="clear" w:color="auto" w:fill="C5E0B3" w:themeFill="accent6" w:themeFillTint="66"/>
          </w:tcPr>
          <w:p w14:paraId="3B19DC0E" w14:textId="77777777" w:rsidR="00D7176D" w:rsidRPr="00AA0A8B" w:rsidRDefault="00D7176D" w:rsidP="00670228">
            <w:pPr>
              <w:spacing w:after="0" w:line="240" w:lineRule="auto"/>
              <w:jc w:val="center"/>
              <w:rPr>
                <w:rFonts w:ascii="Calibri" w:eastAsia="Times New Roman" w:hAnsi="Calibri" w:cs="Times New Roman"/>
                <w:b/>
                <w:color w:val="000000"/>
                <w:sz w:val="20"/>
                <w:szCs w:val="20"/>
                <w:lang w:val="es-SV" w:eastAsia="es-SV"/>
              </w:rPr>
            </w:pPr>
            <w:r w:rsidRPr="00AA0A8B">
              <w:rPr>
                <w:rFonts w:ascii="Calibri" w:eastAsia="Times New Roman" w:hAnsi="Calibri" w:cs="Times New Roman"/>
                <w:b/>
                <w:color w:val="000000"/>
                <w:sz w:val="20"/>
                <w:szCs w:val="20"/>
                <w:lang w:val="es-SV" w:eastAsia="es-SV"/>
              </w:rPr>
              <w:t>2023</w:t>
            </w:r>
          </w:p>
        </w:tc>
      </w:tr>
      <w:tr w:rsidR="00D7176D" w:rsidRPr="00047B1F" w14:paraId="7D9879F9" w14:textId="77777777" w:rsidTr="008131CF">
        <w:trPr>
          <w:trHeight w:val="625"/>
        </w:trPr>
        <w:tc>
          <w:tcPr>
            <w:tcW w:w="506" w:type="pct"/>
            <w:vMerge/>
            <w:shd w:val="clear" w:color="auto" w:fill="C5E0B3" w:themeFill="accent6" w:themeFillTint="66"/>
          </w:tcPr>
          <w:p w14:paraId="47AED984" w14:textId="77777777" w:rsidR="00D7176D" w:rsidRPr="00E94293" w:rsidRDefault="00D7176D" w:rsidP="00670228"/>
        </w:tc>
        <w:tc>
          <w:tcPr>
            <w:tcW w:w="3443" w:type="pct"/>
            <w:shd w:val="clear" w:color="auto" w:fill="auto"/>
          </w:tcPr>
          <w:p w14:paraId="19DB6B1B" w14:textId="77777777" w:rsidR="00D7176D" w:rsidRPr="00AA0A8B" w:rsidRDefault="00D7176D" w:rsidP="00670228">
            <w:pPr>
              <w:rPr>
                <w:sz w:val="20"/>
                <w:szCs w:val="20"/>
              </w:rPr>
            </w:pPr>
            <w:r>
              <w:rPr>
                <w:sz w:val="20"/>
                <w:szCs w:val="20"/>
              </w:rPr>
              <w:t>I</w:t>
            </w:r>
            <w:r w:rsidRPr="00AA0A8B">
              <w:rPr>
                <w:sz w:val="20"/>
                <w:szCs w:val="20"/>
              </w:rPr>
              <w:t>nstitucionalizar los diferentes modelos diferenciados de entrega de servicios para mejorar adherencia y atención de coinfección TB-VIH</w:t>
            </w:r>
          </w:p>
        </w:tc>
        <w:tc>
          <w:tcPr>
            <w:tcW w:w="210" w:type="pct"/>
            <w:shd w:val="clear" w:color="auto" w:fill="auto"/>
          </w:tcPr>
          <w:p w14:paraId="11A8AF99" w14:textId="77777777" w:rsidR="00D7176D" w:rsidRDefault="00D7176D" w:rsidP="00670228">
            <w:r w:rsidRPr="00BF5448">
              <w:rPr>
                <w:rFonts w:ascii="Calibri" w:hAnsi="Calibri"/>
                <w:color w:val="000000"/>
                <w:sz w:val="20"/>
                <w:szCs w:val="20"/>
              </w:rPr>
              <w:t>X</w:t>
            </w:r>
          </w:p>
        </w:tc>
        <w:tc>
          <w:tcPr>
            <w:tcW w:w="210" w:type="pct"/>
            <w:shd w:val="clear" w:color="auto" w:fill="auto"/>
          </w:tcPr>
          <w:p w14:paraId="0F652A52" w14:textId="77777777" w:rsidR="00D7176D" w:rsidRDefault="00D7176D" w:rsidP="00670228">
            <w:r w:rsidRPr="00BF5448">
              <w:rPr>
                <w:rFonts w:ascii="Calibri" w:hAnsi="Calibri"/>
                <w:color w:val="000000"/>
                <w:sz w:val="20"/>
                <w:szCs w:val="20"/>
              </w:rPr>
              <w:t>X</w:t>
            </w:r>
          </w:p>
        </w:tc>
        <w:tc>
          <w:tcPr>
            <w:tcW w:w="210" w:type="pct"/>
            <w:shd w:val="clear" w:color="auto" w:fill="auto"/>
          </w:tcPr>
          <w:p w14:paraId="371545EF" w14:textId="77777777" w:rsidR="00D7176D" w:rsidRPr="00AA0A8B" w:rsidRDefault="00D7176D" w:rsidP="00670228">
            <w:pPr>
              <w:spacing w:after="0" w:line="240" w:lineRule="auto"/>
              <w:jc w:val="center"/>
              <w:rPr>
                <w:rFonts w:ascii="Calibri" w:eastAsia="Times New Roman" w:hAnsi="Calibri" w:cs="Times New Roman"/>
                <w:b/>
                <w:color w:val="000000"/>
                <w:sz w:val="20"/>
                <w:szCs w:val="20"/>
                <w:lang w:val="es-SV" w:eastAsia="es-SV"/>
              </w:rPr>
            </w:pPr>
          </w:p>
        </w:tc>
        <w:tc>
          <w:tcPr>
            <w:tcW w:w="210" w:type="pct"/>
            <w:shd w:val="clear" w:color="auto" w:fill="auto"/>
          </w:tcPr>
          <w:p w14:paraId="4628B9DD" w14:textId="77777777" w:rsidR="00D7176D" w:rsidRPr="00AA0A8B" w:rsidRDefault="00D7176D" w:rsidP="00670228">
            <w:pPr>
              <w:spacing w:after="0" w:line="240" w:lineRule="auto"/>
              <w:jc w:val="center"/>
              <w:rPr>
                <w:rFonts w:ascii="Calibri" w:eastAsia="Times New Roman" w:hAnsi="Calibri" w:cs="Times New Roman"/>
                <w:b/>
                <w:color w:val="000000"/>
                <w:sz w:val="20"/>
                <w:szCs w:val="20"/>
                <w:lang w:val="es-SV" w:eastAsia="es-SV"/>
              </w:rPr>
            </w:pPr>
          </w:p>
        </w:tc>
        <w:tc>
          <w:tcPr>
            <w:tcW w:w="211" w:type="pct"/>
            <w:shd w:val="clear" w:color="auto" w:fill="auto"/>
          </w:tcPr>
          <w:p w14:paraId="236F3D89" w14:textId="77777777" w:rsidR="00D7176D" w:rsidRPr="00AA0A8B" w:rsidRDefault="00D7176D" w:rsidP="00670228">
            <w:pPr>
              <w:spacing w:after="0" w:line="240" w:lineRule="auto"/>
              <w:jc w:val="center"/>
              <w:rPr>
                <w:rFonts w:ascii="Calibri" w:eastAsia="Times New Roman" w:hAnsi="Calibri" w:cs="Times New Roman"/>
                <w:b/>
                <w:color w:val="000000"/>
                <w:sz w:val="20"/>
                <w:szCs w:val="20"/>
                <w:lang w:val="es-SV" w:eastAsia="es-SV"/>
              </w:rPr>
            </w:pPr>
          </w:p>
        </w:tc>
      </w:tr>
      <w:tr w:rsidR="00D7176D" w:rsidRPr="00047B1F" w14:paraId="139A4992" w14:textId="77777777" w:rsidTr="008131CF">
        <w:trPr>
          <w:trHeight w:val="310"/>
        </w:trPr>
        <w:tc>
          <w:tcPr>
            <w:tcW w:w="506" w:type="pct"/>
            <w:vMerge/>
            <w:shd w:val="clear" w:color="auto" w:fill="C5E0B3" w:themeFill="accent6" w:themeFillTint="66"/>
          </w:tcPr>
          <w:p w14:paraId="5D8C310D" w14:textId="77777777" w:rsidR="00D7176D" w:rsidRPr="00E94293" w:rsidRDefault="00D7176D" w:rsidP="00670228"/>
        </w:tc>
        <w:tc>
          <w:tcPr>
            <w:tcW w:w="3443" w:type="pct"/>
            <w:shd w:val="clear" w:color="auto" w:fill="auto"/>
            <w:hideMark/>
          </w:tcPr>
          <w:p w14:paraId="6642B9A1" w14:textId="77777777" w:rsidR="00D7176D" w:rsidRPr="00AA0A8B" w:rsidRDefault="00D7176D" w:rsidP="00670228">
            <w:pPr>
              <w:rPr>
                <w:sz w:val="20"/>
                <w:szCs w:val="20"/>
              </w:rPr>
            </w:pPr>
            <w:r w:rsidRPr="00AA0A8B">
              <w:rPr>
                <w:sz w:val="20"/>
                <w:szCs w:val="20"/>
              </w:rPr>
              <w:t>Institucionalización del proceso de mejora de la calidad</w:t>
            </w:r>
          </w:p>
        </w:tc>
        <w:tc>
          <w:tcPr>
            <w:tcW w:w="210" w:type="pct"/>
            <w:shd w:val="clear" w:color="auto" w:fill="auto"/>
            <w:vAlign w:val="bottom"/>
            <w:hideMark/>
          </w:tcPr>
          <w:p w14:paraId="28D843A2" w14:textId="77777777" w:rsidR="00D7176D" w:rsidRPr="00AA0A8B" w:rsidRDefault="00D7176D" w:rsidP="00670228">
            <w:pPr>
              <w:jc w:val="center"/>
              <w:rPr>
                <w:rFonts w:ascii="Calibri" w:hAnsi="Calibri"/>
                <w:color w:val="000000"/>
                <w:sz w:val="20"/>
                <w:szCs w:val="20"/>
              </w:rPr>
            </w:pPr>
            <w:r w:rsidRPr="00AA0A8B">
              <w:rPr>
                <w:rFonts w:ascii="Calibri" w:hAnsi="Calibri"/>
                <w:color w:val="000000"/>
                <w:sz w:val="20"/>
                <w:szCs w:val="20"/>
              </w:rPr>
              <w:t>X</w:t>
            </w:r>
          </w:p>
        </w:tc>
        <w:tc>
          <w:tcPr>
            <w:tcW w:w="210" w:type="pct"/>
            <w:shd w:val="clear" w:color="auto" w:fill="auto"/>
            <w:vAlign w:val="bottom"/>
            <w:hideMark/>
          </w:tcPr>
          <w:p w14:paraId="0BA77825" w14:textId="77777777" w:rsidR="00D7176D" w:rsidRPr="00AA0A8B" w:rsidRDefault="00D7176D" w:rsidP="00670228">
            <w:pPr>
              <w:jc w:val="center"/>
              <w:rPr>
                <w:rFonts w:ascii="Calibri" w:hAnsi="Calibri"/>
                <w:color w:val="000000"/>
                <w:sz w:val="20"/>
                <w:szCs w:val="20"/>
              </w:rPr>
            </w:pPr>
          </w:p>
        </w:tc>
        <w:tc>
          <w:tcPr>
            <w:tcW w:w="210" w:type="pct"/>
            <w:shd w:val="clear" w:color="auto" w:fill="auto"/>
            <w:vAlign w:val="bottom"/>
            <w:hideMark/>
          </w:tcPr>
          <w:p w14:paraId="32B8D233" w14:textId="77777777" w:rsidR="00D7176D" w:rsidRPr="00AA0A8B" w:rsidRDefault="00D7176D" w:rsidP="00670228">
            <w:pPr>
              <w:jc w:val="center"/>
              <w:rPr>
                <w:rFonts w:ascii="Calibri" w:hAnsi="Calibri"/>
                <w:color w:val="000000"/>
                <w:sz w:val="20"/>
                <w:szCs w:val="20"/>
              </w:rPr>
            </w:pPr>
          </w:p>
        </w:tc>
        <w:tc>
          <w:tcPr>
            <w:tcW w:w="210" w:type="pct"/>
            <w:shd w:val="clear" w:color="auto" w:fill="auto"/>
            <w:vAlign w:val="bottom"/>
            <w:hideMark/>
          </w:tcPr>
          <w:p w14:paraId="7764AF30" w14:textId="77777777" w:rsidR="00D7176D" w:rsidRPr="00AA0A8B" w:rsidRDefault="00D7176D" w:rsidP="00670228">
            <w:pPr>
              <w:jc w:val="center"/>
              <w:rPr>
                <w:rFonts w:ascii="Calibri" w:hAnsi="Calibri"/>
                <w:color w:val="000000"/>
                <w:sz w:val="20"/>
                <w:szCs w:val="20"/>
              </w:rPr>
            </w:pPr>
          </w:p>
        </w:tc>
        <w:tc>
          <w:tcPr>
            <w:tcW w:w="211" w:type="pct"/>
            <w:shd w:val="clear" w:color="auto" w:fill="auto"/>
            <w:vAlign w:val="bottom"/>
            <w:hideMark/>
          </w:tcPr>
          <w:p w14:paraId="6CA1BB45" w14:textId="77777777" w:rsidR="00D7176D" w:rsidRPr="00AA0A8B" w:rsidRDefault="00D7176D" w:rsidP="00670228">
            <w:pPr>
              <w:jc w:val="center"/>
              <w:rPr>
                <w:rFonts w:ascii="Calibri" w:hAnsi="Calibri"/>
                <w:color w:val="000000"/>
                <w:sz w:val="20"/>
                <w:szCs w:val="20"/>
              </w:rPr>
            </w:pPr>
          </w:p>
        </w:tc>
      </w:tr>
      <w:tr w:rsidR="00D7176D" w:rsidRPr="00047B1F" w14:paraId="315F59D9" w14:textId="77777777" w:rsidTr="008131CF">
        <w:trPr>
          <w:trHeight w:val="201"/>
        </w:trPr>
        <w:tc>
          <w:tcPr>
            <w:tcW w:w="506" w:type="pct"/>
            <w:vMerge/>
            <w:shd w:val="clear" w:color="auto" w:fill="C5E0B3" w:themeFill="accent6" w:themeFillTint="66"/>
          </w:tcPr>
          <w:p w14:paraId="21051120" w14:textId="77777777" w:rsidR="00D7176D" w:rsidRPr="00E94293" w:rsidRDefault="00D7176D" w:rsidP="00670228"/>
        </w:tc>
        <w:tc>
          <w:tcPr>
            <w:tcW w:w="3443" w:type="pct"/>
            <w:shd w:val="clear" w:color="auto" w:fill="auto"/>
            <w:hideMark/>
          </w:tcPr>
          <w:p w14:paraId="5A6EBD1C" w14:textId="77777777" w:rsidR="00D7176D" w:rsidRPr="00AA0A8B" w:rsidRDefault="00D7176D" w:rsidP="00670228">
            <w:pPr>
              <w:rPr>
                <w:sz w:val="20"/>
                <w:szCs w:val="20"/>
              </w:rPr>
            </w:pPr>
            <w:r w:rsidRPr="00AA0A8B">
              <w:rPr>
                <w:sz w:val="20"/>
                <w:szCs w:val="20"/>
              </w:rPr>
              <w:t>Planes institucionales  integrales que impulsan y mejoran el desempeño de la cadena de suministro</w:t>
            </w:r>
          </w:p>
        </w:tc>
        <w:tc>
          <w:tcPr>
            <w:tcW w:w="210" w:type="pct"/>
            <w:shd w:val="clear" w:color="auto" w:fill="auto"/>
            <w:vAlign w:val="bottom"/>
            <w:hideMark/>
          </w:tcPr>
          <w:p w14:paraId="6559B5C2" w14:textId="77777777" w:rsidR="00D7176D" w:rsidRPr="00AA0A8B" w:rsidRDefault="00D7176D" w:rsidP="00670228">
            <w:pPr>
              <w:rPr>
                <w:rFonts w:ascii="Calibri" w:hAnsi="Calibri"/>
                <w:color w:val="000000"/>
                <w:sz w:val="20"/>
                <w:szCs w:val="20"/>
              </w:rPr>
            </w:pPr>
            <w:r w:rsidRPr="00AA0A8B">
              <w:rPr>
                <w:rFonts w:ascii="Calibri" w:hAnsi="Calibri"/>
                <w:color w:val="000000"/>
                <w:sz w:val="20"/>
                <w:szCs w:val="20"/>
              </w:rPr>
              <w:t>X</w:t>
            </w:r>
          </w:p>
        </w:tc>
        <w:tc>
          <w:tcPr>
            <w:tcW w:w="210" w:type="pct"/>
            <w:shd w:val="clear" w:color="auto" w:fill="auto"/>
            <w:vAlign w:val="bottom"/>
            <w:hideMark/>
          </w:tcPr>
          <w:p w14:paraId="3D9EC478" w14:textId="77777777" w:rsidR="00D7176D" w:rsidRPr="00AA0A8B" w:rsidRDefault="00D7176D" w:rsidP="00670228">
            <w:pPr>
              <w:rPr>
                <w:rFonts w:ascii="Calibri" w:hAnsi="Calibri"/>
                <w:color w:val="000000"/>
                <w:sz w:val="20"/>
                <w:szCs w:val="20"/>
              </w:rPr>
            </w:pPr>
          </w:p>
        </w:tc>
        <w:tc>
          <w:tcPr>
            <w:tcW w:w="210" w:type="pct"/>
            <w:shd w:val="clear" w:color="auto" w:fill="auto"/>
            <w:vAlign w:val="bottom"/>
            <w:hideMark/>
          </w:tcPr>
          <w:p w14:paraId="0EE40624" w14:textId="77777777" w:rsidR="00D7176D" w:rsidRPr="00AA0A8B" w:rsidRDefault="00D7176D" w:rsidP="00670228">
            <w:pPr>
              <w:jc w:val="center"/>
              <w:rPr>
                <w:rFonts w:ascii="Calibri" w:hAnsi="Calibri"/>
                <w:color w:val="000000"/>
                <w:sz w:val="20"/>
                <w:szCs w:val="20"/>
              </w:rPr>
            </w:pPr>
          </w:p>
        </w:tc>
        <w:tc>
          <w:tcPr>
            <w:tcW w:w="210" w:type="pct"/>
            <w:shd w:val="clear" w:color="auto" w:fill="auto"/>
            <w:vAlign w:val="bottom"/>
            <w:hideMark/>
          </w:tcPr>
          <w:p w14:paraId="5CCC3EAF" w14:textId="77777777" w:rsidR="00D7176D" w:rsidRPr="00AA0A8B" w:rsidRDefault="00D7176D" w:rsidP="00670228">
            <w:pPr>
              <w:rPr>
                <w:rFonts w:ascii="Calibri" w:hAnsi="Calibri"/>
                <w:color w:val="000000"/>
                <w:sz w:val="20"/>
                <w:szCs w:val="20"/>
              </w:rPr>
            </w:pPr>
          </w:p>
        </w:tc>
        <w:tc>
          <w:tcPr>
            <w:tcW w:w="211" w:type="pct"/>
            <w:shd w:val="clear" w:color="auto" w:fill="auto"/>
            <w:vAlign w:val="bottom"/>
            <w:hideMark/>
          </w:tcPr>
          <w:p w14:paraId="228DB4D7" w14:textId="77777777" w:rsidR="00D7176D" w:rsidRPr="00AA0A8B" w:rsidRDefault="00D7176D" w:rsidP="00670228">
            <w:pPr>
              <w:rPr>
                <w:rFonts w:ascii="Calibri" w:hAnsi="Calibri"/>
                <w:color w:val="000000"/>
                <w:sz w:val="20"/>
                <w:szCs w:val="20"/>
              </w:rPr>
            </w:pPr>
          </w:p>
        </w:tc>
      </w:tr>
      <w:tr w:rsidR="00D7176D" w:rsidRPr="00047B1F" w14:paraId="25A58370" w14:textId="77777777" w:rsidTr="008131CF">
        <w:trPr>
          <w:trHeight w:val="278"/>
        </w:trPr>
        <w:tc>
          <w:tcPr>
            <w:tcW w:w="506" w:type="pct"/>
            <w:vMerge/>
            <w:shd w:val="clear" w:color="auto" w:fill="C5E0B3" w:themeFill="accent6" w:themeFillTint="66"/>
          </w:tcPr>
          <w:p w14:paraId="3206A716" w14:textId="77777777" w:rsidR="00D7176D" w:rsidRPr="00E94293" w:rsidRDefault="00D7176D" w:rsidP="00670228"/>
        </w:tc>
        <w:tc>
          <w:tcPr>
            <w:tcW w:w="3443" w:type="pct"/>
            <w:shd w:val="clear" w:color="auto" w:fill="auto"/>
            <w:hideMark/>
          </w:tcPr>
          <w:p w14:paraId="4444B4E2" w14:textId="77777777" w:rsidR="00D7176D" w:rsidRPr="00AA0A8B" w:rsidRDefault="00D7176D" w:rsidP="00670228">
            <w:pPr>
              <w:rPr>
                <w:sz w:val="20"/>
                <w:szCs w:val="20"/>
              </w:rPr>
            </w:pPr>
            <w:r w:rsidRPr="00AA0A8B">
              <w:rPr>
                <w:sz w:val="20"/>
                <w:szCs w:val="20"/>
              </w:rPr>
              <w:t>Desarrollar y mantener actualizado el National Master Supply Chain "</w:t>
            </w:r>
          </w:p>
        </w:tc>
        <w:tc>
          <w:tcPr>
            <w:tcW w:w="210" w:type="pct"/>
            <w:shd w:val="clear" w:color="auto" w:fill="auto"/>
            <w:vAlign w:val="bottom"/>
            <w:hideMark/>
          </w:tcPr>
          <w:p w14:paraId="1ADC1D4B" w14:textId="77777777" w:rsidR="00D7176D" w:rsidRPr="00AA0A8B" w:rsidRDefault="00D7176D" w:rsidP="00670228">
            <w:pPr>
              <w:jc w:val="center"/>
              <w:rPr>
                <w:rFonts w:ascii="Calibri" w:hAnsi="Calibri"/>
                <w:color w:val="000000"/>
                <w:sz w:val="20"/>
                <w:szCs w:val="20"/>
              </w:rPr>
            </w:pPr>
            <w:r w:rsidRPr="00AA0A8B">
              <w:rPr>
                <w:rFonts w:ascii="Calibri" w:hAnsi="Calibri"/>
                <w:color w:val="000000"/>
                <w:sz w:val="20"/>
                <w:szCs w:val="20"/>
              </w:rPr>
              <w:t>X</w:t>
            </w:r>
          </w:p>
        </w:tc>
        <w:tc>
          <w:tcPr>
            <w:tcW w:w="210" w:type="pct"/>
            <w:shd w:val="clear" w:color="auto" w:fill="auto"/>
            <w:vAlign w:val="bottom"/>
            <w:hideMark/>
          </w:tcPr>
          <w:p w14:paraId="095C7BE6" w14:textId="77777777" w:rsidR="00D7176D" w:rsidRPr="00AA0A8B" w:rsidRDefault="00D7176D" w:rsidP="00670228">
            <w:pPr>
              <w:jc w:val="center"/>
              <w:rPr>
                <w:rFonts w:ascii="Calibri" w:hAnsi="Calibri"/>
                <w:color w:val="000000"/>
                <w:sz w:val="20"/>
                <w:szCs w:val="20"/>
              </w:rPr>
            </w:pPr>
            <w:r w:rsidRPr="00AA0A8B">
              <w:rPr>
                <w:rFonts w:ascii="Calibri" w:hAnsi="Calibri"/>
                <w:color w:val="000000"/>
                <w:sz w:val="20"/>
                <w:szCs w:val="20"/>
              </w:rPr>
              <w:t>X</w:t>
            </w:r>
          </w:p>
        </w:tc>
        <w:tc>
          <w:tcPr>
            <w:tcW w:w="210" w:type="pct"/>
            <w:shd w:val="clear" w:color="auto" w:fill="auto"/>
            <w:vAlign w:val="bottom"/>
            <w:hideMark/>
          </w:tcPr>
          <w:p w14:paraId="3C09DC21" w14:textId="77777777" w:rsidR="00D7176D" w:rsidRPr="00AA0A8B" w:rsidRDefault="00D7176D" w:rsidP="00670228">
            <w:pPr>
              <w:jc w:val="center"/>
              <w:rPr>
                <w:rFonts w:ascii="Calibri" w:hAnsi="Calibri"/>
                <w:color w:val="000000"/>
                <w:sz w:val="20"/>
                <w:szCs w:val="20"/>
              </w:rPr>
            </w:pPr>
            <w:r w:rsidRPr="00AA0A8B">
              <w:rPr>
                <w:rFonts w:ascii="Calibri" w:hAnsi="Calibri"/>
                <w:color w:val="000000"/>
                <w:sz w:val="20"/>
                <w:szCs w:val="20"/>
              </w:rPr>
              <w:t>X</w:t>
            </w:r>
          </w:p>
        </w:tc>
        <w:tc>
          <w:tcPr>
            <w:tcW w:w="210" w:type="pct"/>
            <w:shd w:val="clear" w:color="auto" w:fill="auto"/>
            <w:vAlign w:val="bottom"/>
            <w:hideMark/>
          </w:tcPr>
          <w:p w14:paraId="614EB2F5" w14:textId="77777777" w:rsidR="00D7176D" w:rsidRPr="00AA0A8B" w:rsidRDefault="00D7176D" w:rsidP="00670228">
            <w:pPr>
              <w:jc w:val="center"/>
              <w:rPr>
                <w:rFonts w:ascii="Calibri" w:hAnsi="Calibri"/>
                <w:color w:val="000000"/>
                <w:sz w:val="20"/>
                <w:szCs w:val="20"/>
              </w:rPr>
            </w:pPr>
            <w:r w:rsidRPr="00AA0A8B">
              <w:rPr>
                <w:rFonts w:ascii="Calibri" w:hAnsi="Calibri"/>
                <w:color w:val="000000"/>
                <w:sz w:val="20"/>
                <w:szCs w:val="20"/>
              </w:rPr>
              <w:t>X</w:t>
            </w:r>
          </w:p>
        </w:tc>
        <w:tc>
          <w:tcPr>
            <w:tcW w:w="211" w:type="pct"/>
            <w:shd w:val="clear" w:color="auto" w:fill="auto"/>
            <w:vAlign w:val="bottom"/>
            <w:hideMark/>
          </w:tcPr>
          <w:p w14:paraId="23343A19" w14:textId="77777777" w:rsidR="00D7176D" w:rsidRPr="00AA0A8B" w:rsidRDefault="00D7176D" w:rsidP="00670228">
            <w:pPr>
              <w:jc w:val="center"/>
              <w:rPr>
                <w:rFonts w:ascii="Calibri" w:hAnsi="Calibri"/>
                <w:color w:val="000000"/>
                <w:sz w:val="20"/>
                <w:szCs w:val="20"/>
              </w:rPr>
            </w:pPr>
            <w:r w:rsidRPr="00AA0A8B">
              <w:rPr>
                <w:rFonts w:ascii="Calibri" w:hAnsi="Calibri"/>
                <w:color w:val="000000"/>
                <w:sz w:val="20"/>
                <w:szCs w:val="20"/>
              </w:rPr>
              <w:t>X</w:t>
            </w:r>
          </w:p>
        </w:tc>
      </w:tr>
      <w:tr w:rsidR="00D7176D" w:rsidRPr="00047B1F" w14:paraId="3C471335" w14:textId="77777777" w:rsidTr="008131CF">
        <w:trPr>
          <w:trHeight w:val="200"/>
        </w:trPr>
        <w:tc>
          <w:tcPr>
            <w:tcW w:w="506" w:type="pct"/>
            <w:vMerge/>
            <w:shd w:val="clear" w:color="auto" w:fill="C5E0B3" w:themeFill="accent6" w:themeFillTint="66"/>
          </w:tcPr>
          <w:p w14:paraId="59B0158F" w14:textId="77777777" w:rsidR="00D7176D" w:rsidRPr="00E94293" w:rsidRDefault="00D7176D" w:rsidP="00670228"/>
        </w:tc>
        <w:tc>
          <w:tcPr>
            <w:tcW w:w="3443" w:type="pct"/>
            <w:shd w:val="clear" w:color="auto" w:fill="auto"/>
          </w:tcPr>
          <w:p w14:paraId="5337FFCA" w14:textId="77777777" w:rsidR="00D7176D" w:rsidRPr="00AA0A8B" w:rsidRDefault="00D7176D" w:rsidP="00670228">
            <w:pPr>
              <w:rPr>
                <w:sz w:val="20"/>
                <w:szCs w:val="20"/>
              </w:rPr>
            </w:pPr>
            <w:r w:rsidRPr="00AA0A8B">
              <w:rPr>
                <w:sz w:val="20"/>
                <w:szCs w:val="20"/>
              </w:rPr>
              <w:t>Elaborar la Estrategia Nacional de Sostenibilidad junto con su  plan de  implementación y plan de MyE</w:t>
            </w:r>
          </w:p>
        </w:tc>
        <w:tc>
          <w:tcPr>
            <w:tcW w:w="210" w:type="pct"/>
            <w:shd w:val="clear" w:color="auto" w:fill="auto"/>
            <w:vAlign w:val="bottom"/>
          </w:tcPr>
          <w:p w14:paraId="265CD75A" w14:textId="77777777" w:rsidR="00D7176D" w:rsidRPr="00AA0A8B" w:rsidRDefault="00D7176D" w:rsidP="00670228">
            <w:pPr>
              <w:jc w:val="center"/>
              <w:rPr>
                <w:rFonts w:ascii="Calibri" w:hAnsi="Calibri"/>
                <w:color w:val="000000"/>
                <w:sz w:val="20"/>
                <w:szCs w:val="20"/>
              </w:rPr>
            </w:pPr>
            <w:r w:rsidRPr="00AA0A8B">
              <w:rPr>
                <w:rFonts w:ascii="Calibri" w:hAnsi="Calibri"/>
                <w:color w:val="000000"/>
                <w:sz w:val="20"/>
                <w:szCs w:val="20"/>
              </w:rPr>
              <w:t>X</w:t>
            </w:r>
          </w:p>
        </w:tc>
        <w:tc>
          <w:tcPr>
            <w:tcW w:w="210" w:type="pct"/>
            <w:shd w:val="clear" w:color="auto" w:fill="auto"/>
            <w:vAlign w:val="bottom"/>
          </w:tcPr>
          <w:p w14:paraId="52BE71E8" w14:textId="77777777" w:rsidR="00D7176D" w:rsidRPr="00AA0A8B" w:rsidRDefault="00D7176D" w:rsidP="00670228">
            <w:pPr>
              <w:jc w:val="center"/>
              <w:rPr>
                <w:rFonts w:ascii="Calibri" w:hAnsi="Calibri"/>
                <w:color w:val="000000"/>
                <w:sz w:val="20"/>
                <w:szCs w:val="20"/>
              </w:rPr>
            </w:pPr>
            <w:r w:rsidRPr="00AA0A8B">
              <w:rPr>
                <w:rFonts w:ascii="Calibri" w:hAnsi="Calibri"/>
                <w:color w:val="000000"/>
                <w:sz w:val="20"/>
                <w:szCs w:val="20"/>
              </w:rPr>
              <w:t>X</w:t>
            </w:r>
          </w:p>
        </w:tc>
        <w:tc>
          <w:tcPr>
            <w:tcW w:w="210" w:type="pct"/>
            <w:shd w:val="clear" w:color="auto" w:fill="auto"/>
            <w:vAlign w:val="bottom"/>
          </w:tcPr>
          <w:p w14:paraId="6F24C5CB" w14:textId="77777777" w:rsidR="00D7176D" w:rsidRPr="00AA0A8B" w:rsidRDefault="00D7176D" w:rsidP="00670228">
            <w:pPr>
              <w:jc w:val="center"/>
              <w:rPr>
                <w:rFonts w:ascii="Calibri" w:hAnsi="Calibri"/>
                <w:color w:val="000000"/>
                <w:sz w:val="20"/>
                <w:szCs w:val="20"/>
              </w:rPr>
            </w:pPr>
          </w:p>
        </w:tc>
        <w:tc>
          <w:tcPr>
            <w:tcW w:w="210" w:type="pct"/>
            <w:shd w:val="clear" w:color="auto" w:fill="auto"/>
            <w:vAlign w:val="bottom"/>
          </w:tcPr>
          <w:p w14:paraId="70C4E7E4" w14:textId="77777777" w:rsidR="00D7176D" w:rsidRPr="00AA0A8B" w:rsidRDefault="00D7176D" w:rsidP="00670228">
            <w:pPr>
              <w:jc w:val="center"/>
              <w:rPr>
                <w:rFonts w:ascii="Calibri" w:hAnsi="Calibri"/>
                <w:color w:val="000000"/>
                <w:sz w:val="20"/>
                <w:szCs w:val="20"/>
              </w:rPr>
            </w:pPr>
          </w:p>
        </w:tc>
        <w:tc>
          <w:tcPr>
            <w:tcW w:w="211" w:type="pct"/>
            <w:shd w:val="clear" w:color="auto" w:fill="auto"/>
            <w:vAlign w:val="bottom"/>
          </w:tcPr>
          <w:p w14:paraId="4D010C70" w14:textId="77777777" w:rsidR="00D7176D" w:rsidRPr="00AA0A8B" w:rsidRDefault="00D7176D" w:rsidP="00670228">
            <w:pPr>
              <w:jc w:val="center"/>
              <w:rPr>
                <w:rFonts w:ascii="Calibri" w:hAnsi="Calibri"/>
                <w:color w:val="000000"/>
                <w:sz w:val="20"/>
                <w:szCs w:val="20"/>
              </w:rPr>
            </w:pPr>
          </w:p>
        </w:tc>
      </w:tr>
      <w:tr w:rsidR="00D7176D" w:rsidRPr="00047B1F" w14:paraId="5AA861B5" w14:textId="77777777" w:rsidTr="008131CF">
        <w:trPr>
          <w:trHeight w:val="292"/>
        </w:trPr>
        <w:tc>
          <w:tcPr>
            <w:tcW w:w="506" w:type="pct"/>
            <w:vMerge/>
            <w:shd w:val="clear" w:color="auto" w:fill="C5E0B3" w:themeFill="accent6" w:themeFillTint="66"/>
          </w:tcPr>
          <w:p w14:paraId="0DB8AF06" w14:textId="77777777" w:rsidR="00D7176D" w:rsidRPr="00B21623" w:rsidRDefault="00D7176D" w:rsidP="00670228"/>
        </w:tc>
        <w:tc>
          <w:tcPr>
            <w:tcW w:w="3443" w:type="pct"/>
            <w:shd w:val="clear" w:color="auto" w:fill="auto"/>
          </w:tcPr>
          <w:p w14:paraId="011F39B2" w14:textId="77777777" w:rsidR="00D7176D" w:rsidRPr="00AA0A8B" w:rsidRDefault="00D7176D" w:rsidP="00670228">
            <w:pPr>
              <w:rPr>
                <w:sz w:val="20"/>
                <w:szCs w:val="20"/>
              </w:rPr>
            </w:pPr>
            <w:r w:rsidRPr="00AA0A8B">
              <w:rPr>
                <w:sz w:val="20"/>
                <w:szCs w:val="20"/>
              </w:rPr>
              <w:t>Guía Clínica de Atención de Personas con VIH incorporando T&amp;S.</w:t>
            </w:r>
          </w:p>
        </w:tc>
        <w:tc>
          <w:tcPr>
            <w:tcW w:w="210" w:type="pct"/>
            <w:shd w:val="clear" w:color="auto" w:fill="auto"/>
            <w:vAlign w:val="bottom"/>
          </w:tcPr>
          <w:p w14:paraId="25F52434" w14:textId="77777777" w:rsidR="00D7176D" w:rsidRPr="00AA0A8B" w:rsidRDefault="00D7176D" w:rsidP="00670228">
            <w:pPr>
              <w:jc w:val="center"/>
              <w:rPr>
                <w:rFonts w:ascii="Calibri" w:hAnsi="Calibri"/>
                <w:color w:val="000000"/>
                <w:sz w:val="20"/>
                <w:szCs w:val="20"/>
              </w:rPr>
            </w:pPr>
            <w:r w:rsidRPr="00AA0A8B">
              <w:rPr>
                <w:rFonts w:ascii="Calibri" w:hAnsi="Calibri"/>
                <w:color w:val="000000"/>
                <w:sz w:val="20"/>
                <w:szCs w:val="20"/>
              </w:rPr>
              <w:t>X</w:t>
            </w:r>
          </w:p>
        </w:tc>
        <w:tc>
          <w:tcPr>
            <w:tcW w:w="210" w:type="pct"/>
            <w:shd w:val="clear" w:color="auto" w:fill="auto"/>
            <w:vAlign w:val="bottom"/>
          </w:tcPr>
          <w:p w14:paraId="487A9DC2" w14:textId="77777777" w:rsidR="00D7176D" w:rsidRPr="00AA0A8B" w:rsidRDefault="00D7176D" w:rsidP="00670228">
            <w:pPr>
              <w:jc w:val="center"/>
              <w:rPr>
                <w:rFonts w:ascii="Calibri" w:hAnsi="Calibri"/>
                <w:color w:val="000000"/>
                <w:sz w:val="20"/>
                <w:szCs w:val="20"/>
              </w:rPr>
            </w:pPr>
          </w:p>
        </w:tc>
        <w:tc>
          <w:tcPr>
            <w:tcW w:w="210" w:type="pct"/>
            <w:shd w:val="clear" w:color="auto" w:fill="auto"/>
            <w:vAlign w:val="bottom"/>
          </w:tcPr>
          <w:p w14:paraId="2302E9AB" w14:textId="77777777" w:rsidR="00D7176D" w:rsidRPr="00AA0A8B" w:rsidRDefault="00D7176D" w:rsidP="00670228">
            <w:pPr>
              <w:jc w:val="center"/>
              <w:rPr>
                <w:rFonts w:ascii="Calibri" w:hAnsi="Calibri"/>
                <w:color w:val="000000"/>
                <w:sz w:val="20"/>
                <w:szCs w:val="20"/>
              </w:rPr>
            </w:pPr>
          </w:p>
        </w:tc>
        <w:tc>
          <w:tcPr>
            <w:tcW w:w="210" w:type="pct"/>
            <w:shd w:val="clear" w:color="auto" w:fill="auto"/>
            <w:vAlign w:val="bottom"/>
          </w:tcPr>
          <w:p w14:paraId="41CAFA2C" w14:textId="77777777" w:rsidR="00D7176D" w:rsidRPr="00AA0A8B" w:rsidRDefault="00D7176D" w:rsidP="00670228">
            <w:pPr>
              <w:jc w:val="center"/>
              <w:rPr>
                <w:rFonts w:ascii="Calibri" w:hAnsi="Calibri"/>
                <w:color w:val="000000"/>
                <w:sz w:val="20"/>
                <w:szCs w:val="20"/>
              </w:rPr>
            </w:pPr>
          </w:p>
        </w:tc>
        <w:tc>
          <w:tcPr>
            <w:tcW w:w="211" w:type="pct"/>
            <w:shd w:val="clear" w:color="auto" w:fill="auto"/>
            <w:vAlign w:val="bottom"/>
          </w:tcPr>
          <w:p w14:paraId="22EC348A" w14:textId="77777777" w:rsidR="00D7176D" w:rsidRPr="00AA0A8B" w:rsidRDefault="00D7176D" w:rsidP="00670228">
            <w:pPr>
              <w:jc w:val="center"/>
              <w:rPr>
                <w:rFonts w:ascii="Calibri" w:hAnsi="Calibri"/>
                <w:color w:val="000000"/>
                <w:sz w:val="20"/>
                <w:szCs w:val="20"/>
              </w:rPr>
            </w:pPr>
          </w:p>
        </w:tc>
      </w:tr>
      <w:tr w:rsidR="00D7176D" w:rsidRPr="00047B1F" w14:paraId="33EAC9B8" w14:textId="77777777" w:rsidTr="008131CF">
        <w:trPr>
          <w:trHeight w:val="311"/>
        </w:trPr>
        <w:tc>
          <w:tcPr>
            <w:tcW w:w="506" w:type="pct"/>
            <w:vMerge/>
            <w:shd w:val="clear" w:color="auto" w:fill="C5E0B3" w:themeFill="accent6" w:themeFillTint="66"/>
          </w:tcPr>
          <w:p w14:paraId="08B932DA" w14:textId="77777777" w:rsidR="00D7176D" w:rsidRPr="00B21623" w:rsidRDefault="00D7176D" w:rsidP="00670228"/>
        </w:tc>
        <w:tc>
          <w:tcPr>
            <w:tcW w:w="3443" w:type="pct"/>
            <w:shd w:val="clear" w:color="auto" w:fill="auto"/>
          </w:tcPr>
          <w:p w14:paraId="43E07D5B" w14:textId="77777777" w:rsidR="00D7176D" w:rsidRPr="00AA0A8B" w:rsidRDefault="00D7176D" w:rsidP="00670228">
            <w:pPr>
              <w:rPr>
                <w:sz w:val="20"/>
                <w:szCs w:val="20"/>
              </w:rPr>
            </w:pPr>
            <w:r w:rsidRPr="00AA0A8B">
              <w:rPr>
                <w:sz w:val="20"/>
                <w:szCs w:val="20"/>
              </w:rPr>
              <w:t>Reforma al Listado Institucional de Medicamentos esenciales LIME para la  incorporación de  ARV en el primer nivel  de  atención.</w:t>
            </w:r>
          </w:p>
        </w:tc>
        <w:tc>
          <w:tcPr>
            <w:tcW w:w="210" w:type="pct"/>
            <w:shd w:val="clear" w:color="auto" w:fill="auto"/>
            <w:vAlign w:val="bottom"/>
          </w:tcPr>
          <w:p w14:paraId="1635F3B0" w14:textId="77777777" w:rsidR="00D7176D" w:rsidRPr="00AA0A8B" w:rsidRDefault="00D7176D" w:rsidP="00670228">
            <w:pPr>
              <w:jc w:val="center"/>
              <w:rPr>
                <w:rFonts w:ascii="Calibri" w:hAnsi="Calibri"/>
                <w:color w:val="000000"/>
                <w:sz w:val="20"/>
                <w:szCs w:val="20"/>
              </w:rPr>
            </w:pPr>
            <w:r w:rsidRPr="00AA0A8B">
              <w:rPr>
                <w:rFonts w:ascii="Calibri" w:hAnsi="Calibri"/>
                <w:color w:val="000000"/>
                <w:sz w:val="20"/>
                <w:szCs w:val="20"/>
              </w:rPr>
              <w:t>X</w:t>
            </w:r>
          </w:p>
        </w:tc>
        <w:tc>
          <w:tcPr>
            <w:tcW w:w="210" w:type="pct"/>
            <w:shd w:val="clear" w:color="auto" w:fill="auto"/>
            <w:vAlign w:val="bottom"/>
          </w:tcPr>
          <w:p w14:paraId="2ED2626F" w14:textId="77777777" w:rsidR="00D7176D" w:rsidRPr="00AA0A8B" w:rsidRDefault="00D7176D" w:rsidP="00670228">
            <w:pPr>
              <w:jc w:val="center"/>
              <w:rPr>
                <w:rFonts w:ascii="Calibri" w:hAnsi="Calibri"/>
                <w:color w:val="000000"/>
                <w:sz w:val="20"/>
                <w:szCs w:val="20"/>
              </w:rPr>
            </w:pPr>
          </w:p>
        </w:tc>
        <w:tc>
          <w:tcPr>
            <w:tcW w:w="210" w:type="pct"/>
            <w:shd w:val="clear" w:color="auto" w:fill="auto"/>
            <w:vAlign w:val="bottom"/>
          </w:tcPr>
          <w:p w14:paraId="5816F857" w14:textId="77777777" w:rsidR="00D7176D" w:rsidRPr="00AA0A8B" w:rsidRDefault="00D7176D" w:rsidP="00670228">
            <w:pPr>
              <w:jc w:val="center"/>
              <w:rPr>
                <w:rFonts w:ascii="Calibri" w:hAnsi="Calibri"/>
                <w:color w:val="000000"/>
                <w:sz w:val="20"/>
                <w:szCs w:val="20"/>
              </w:rPr>
            </w:pPr>
          </w:p>
        </w:tc>
        <w:tc>
          <w:tcPr>
            <w:tcW w:w="210" w:type="pct"/>
            <w:shd w:val="clear" w:color="auto" w:fill="auto"/>
            <w:vAlign w:val="bottom"/>
          </w:tcPr>
          <w:p w14:paraId="04420E68" w14:textId="77777777" w:rsidR="00D7176D" w:rsidRPr="00AA0A8B" w:rsidRDefault="00D7176D" w:rsidP="00670228">
            <w:pPr>
              <w:jc w:val="center"/>
              <w:rPr>
                <w:rFonts w:ascii="Calibri" w:hAnsi="Calibri"/>
                <w:color w:val="000000"/>
                <w:sz w:val="20"/>
                <w:szCs w:val="20"/>
              </w:rPr>
            </w:pPr>
          </w:p>
        </w:tc>
        <w:tc>
          <w:tcPr>
            <w:tcW w:w="211" w:type="pct"/>
            <w:shd w:val="clear" w:color="auto" w:fill="auto"/>
            <w:vAlign w:val="bottom"/>
          </w:tcPr>
          <w:p w14:paraId="752F555D" w14:textId="77777777" w:rsidR="00D7176D" w:rsidRPr="00AA0A8B" w:rsidRDefault="00D7176D" w:rsidP="00670228">
            <w:pPr>
              <w:jc w:val="center"/>
              <w:rPr>
                <w:rFonts w:ascii="Calibri" w:hAnsi="Calibri"/>
                <w:color w:val="000000"/>
                <w:sz w:val="20"/>
                <w:szCs w:val="20"/>
              </w:rPr>
            </w:pPr>
          </w:p>
        </w:tc>
      </w:tr>
      <w:tr w:rsidR="00D7176D" w:rsidRPr="00047B1F" w14:paraId="5AEEF2FE" w14:textId="77777777" w:rsidTr="008131CF">
        <w:trPr>
          <w:trHeight w:val="278"/>
        </w:trPr>
        <w:tc>
          <w:tcPr>
            <w:tcW w:w="506" w:type="pct"/>
            <w:vMerge/>
            <w:shd w:val="clear" w:color="auto" w:fill="C5E0B3" w:themeFill="accent6" w:themeFillTint="66"/>
          </w:tcPr>
          <w:p w14:paraId="51497847" w14:textId="77777777" w:rsidR="00D7176D" w:rsidRPr="00B21623" w:rsidRDefault="00D7176D" w:rsidP="00670228"/>
        </w:tc>
        <w:tc>
          <w:tcPr>
            <w:tcW w:w="3443" w:type="pct"/>
            <w:shd w:val="clear" w:color="auto" w:fill="auto"/>
          </w:tcPr>
          <w:p w14:paraId="0A980CDE" w14:textId="77777777" w:rsidR="00D7176D" w:rsidRPr="00AA0A8B" w:rsidRDefault="00D7176D" w:rsidP="00670228">
            <w:pPr>
              <w:rPr>
                <w:sz w:val="20"/>
                <w:szCs w:val="20"/>
              </w:rPr>
            </w:pPr>
            <w:r w:rsidRPr="00AA0A8B">
              <w:rPr>
                <w:sz w:val="20"/>
                <w:szCs w:val="20"/>
              </w:rPr>
              <w:t>Reforma a la  Ley  del  IVA para  exonerar los medicamentos antirretrovirales</w:t>
            </w:r>
          </w:p>
        </w:tc>
        <w:tc>
          <w:tcPr>
            <w:tcW w:w="210" w:type="pct"/>
            <w:shd w:val="clear" w:color="auto" w:fill="auto"/>
            <w:vAlign w:val="bottom"/>
          </w:tcPr>
          <w:p w14:paraId="063268A9" w14:textId="77777777" w:rsidR="00D7176D" w:rsidRPr="00AA0A8B" w:rsidRDefault="00D7176D" w:rsidP="00670228">
            <w:pPr>
              <w:jc w:val="center"/>
              <w:rPr>
                <w:rFonts w:ascii="Calibri" w:hAnsi="Calibri"/>
                <w:color w:val="000000"/>
                <w:sz w:val="20"/>
                <w:szCs w:val="20"/>
              </w:rPr>
            </w:pPr>
            <w:r w:rsidRPr="00AA0A8B">
              <w:rPr>
                <w:rFonts w:ascii="Calibri" w:hAnsi="Calibri"/>
                <w:color w:val="000000"/>
                <w:sz w:val="20"/>
                <w:szCs w:val="20"/>
              </w:rPr>
              <w:t>X</w:t>
            </w:r>
          </w:p>
        </w:tc>
        <w:tc>
          <w:tcPr>
            <w:tcW w:w="210" w:type="pct"/>
            <w:shd w:val="clear" w:color="auto" w:fill="auto"/>
            <w:vAlign w:val="bottom"/>
          </w:tcPr>
          <w:p w14:paraId="56E5BDDC" w14:textId="77777777" w:rsidR="00D7176D" w:rsidRPr="00AA0A8B" w:rsidRDefault="00D7176D" w:rsidP="00670228">
            <w:pPr>
              <w:jc w:val="center"/>
              <w:rPr>
                <w:rFonts w:ascii="Calibri" w:hAnsi="Calibri"/>
                <w:color w:val="000000"/>
                <w:sz w:val="20"/>
                <w:szCs w:val="20"/>
              </w:rPr>
            </w:pPr>
            <w:r w:rsidRPr="00AA0A8B">
              <w:rPr>
                <w:rFonts w:ascii="Calibri" w:hAnsi="Calibri"/>
                <w:color w:val="000000"/>
                <w:sz w:val="20"/>
                <w:szCs w:val="20"/>
              </w:rPr>
              <w:t>X</w:t>
            </w:r>
          </w:p>
        </w:tc>
        <w:tc>
          <w:tcPr>
            <w:tcW w:w="210" w:type="pct"/>
            <w:shd w:val="clear" w:color="auto" w:fill="auto"/>
            <w:vAlign w:val="bottom"/>
          </w:tcPr>
          <w:p w14:paraId="46B1900A" w14:textId="77777777" w:rsidR="00D7176D" w:rsidRPr="00AA0A8B" w:rsidRDefault="00D7176D" w:rsidP="00670228">
            <w:pPr>
              <w:jc w:val="center"/>
              <w:rPr>
                <w:rFonts w:ascii="Calibri" w:hAnsi="Calibri"/>
                <w:color w:val="000000"/>
                <w:sz w:val="20"/>
                <w:szCs w:val="20"/>
              </w:rPr>
            </w:pPr>
          </w:p>
        </w:tc>
        <w:tc>
          <w:tcPr>
            <w:tcW w:w="210" w:type="pct"/>
            <w:shd w:val="clear" w:color="auto" w:fill="auto"/>
            <w:vAlign w:val="bottom"/>
          </w:tcPr>
          <w:p w14:paraId="24EFB7C9" w14:textId="77777777" w:rsidR="00D7176D" w:rsidRPr="00AA0A8B" w:rsidRDefault="00D7176D" w:rsidP="00670228">
            <w:pPr>
              <w:jc w:val="center"/>
              <w:rPr>
                <w:rFonts w:ascii="Calibri" w:hAnsi="Calibri"/>
                <w:color w:val="000000"/>
                <w:sz w:val="20"/>
                <w:szCs w:val="20"/>
              </w:rPr>
            </w:pPr>
          </w:p>
        </w:tc>
        <w:tc>
          <w:tcPr>
            <w:tcW w:w="211" w:type="pct"/>
            <w:shd w:val="clear" w:color="auto" w:fill="auto"/>
            <w:vAlign w:val="bottom"/>
          </w:tcPr>
          <w:p w14:paraId="1B6A5FEE" w14:textId="77777777" w:rsidR="00D7176D" w:rsidRPr="00AA0A8B" w:rsidRDefault="00D7176D" w:rsidP="00670228">
            <w:pPr>
              <w:jc w:val="center"/>
              <w:rPr>
                <w:rFonts w:ascii="Calibri" w:hAnsi="Calibri"/>
                <w:color w:val="000000"/>
                <w:sz w:val="20"/>
                <w:szCs w:val="20"/>
              </w:rPr>
            </w:pPr>
          </w:p>
        </w:tc>
      </w:tr>
      <w:tr w:rsidR="00D7176D" w:rsidRPr="00047B1F" w14:paraId="68E23835" w14:textId="77777777" w:rsidTr="008131CF">
        <w:trPr>
          <w:trHeight w:val="278"/>
        </w:trPr>
        <w:tc>
          <w:tcPr>
            <w:tcW w:w="506" w:type="pct"/>
            <w:vMerge/>
            <w:shd w:val="clear" w:color="auto" w:fill="C5E0B3" w:themeFill="accent6" w:themeFillTint="66"/>
          </w:tcPr>
          <w:p w14:paraId="1BECE9B2" w14:textId="77777777" w:rsidR="00D7176D" w:rsidRPr="00B21623" w:rsidRDefault="00D7176D" w:rsidP="00670228"/>
        </w:tc>
        <w:tc>
          <w:tcPr>
            <w:tcW w:w="3443" w:type="pct"/>
            <w:shd w:val="clear" w:color="auto" w:fill="auto"/>
          </w:tcPr>
          <w:p w14:paraId="6ACE08F5" w14:textId="77777777" w:rsidR="00D7176D" w:rsidRPr="00AA0A8B" w:rsidRDefault="00D7176D" w:rsidP="00670228">
            <w:pPr>
              <w:rPr>
                <w:sz w:val="20"/>
                <w:szCs w:val="20"/>
              </w:rPr>
            </w:pPr>
            <w:r w:rsidRPr="00AA0A8B">
              <w:rPr>
                <w:sz w:val="20"/>
                <w:szCs w:val="20"/>
              </w:rPr>
              <w:t>Apoyo político que permita establecer e implement</w:t>
            </w:r>
            <w:r>
              <w:rPr>
                <w:sz w:val="20"/>
                <w:szCs w:val="20"/>
              </w:rPr>
              <w:t>ar servicios de tratamiento VIH</w:t>
            </w:r>
            <w:r w:rsidRPr="00AA0A8B">
              <w:rPr>
                <w:sz w:val="20"/>
                <w:szCs w:val="20"/>
              </w:rPr>
              <w:t xml:space="preserve"> potenciando su expansión y sostenibilidad. </w:t>
            </w:r>
          </w:p>
        </w:tc>
        <w:tc>
          <w:tcPr>
            <w:tcW w:w="210" w:type="pct"/>
            <w:shd w:val="clear" w:color="auto" w:fill="auto"/>
            <w:vAlign w:val="bottom"/>
          </w:tcPr>
          <w:p w14:paraId="7D3AA127" w14:textId="77777777" w:rsidR="00D7176D" w:rsidRPr="00AA0A8B" w:rsidRDefault="00D7176D" w:rsidP="00670228">
            <w:pPr>
              <w:jc w:val="center"/>
              <w:rPr>
                <w:rFonts w:ascii="Calibri" w:hAnsi="Calibri"/>
                <w:color w:val="000000"/>
                <w:sz w:val="20"/>
                <w:szCs w:val="20"/>
              </w:rPr>
            </w:pPr>
            <w:r w:rsidRPr="00AA0A8B">
              <w:rPr>
                <w:rFonts w:ascii="Calibri" w:hAnsi="Calibri"/>
                <w:color w:val="000000"/>
                <w:sz w:val="20"/>
                <w:szCs w:val="20"/>
              </w:rPr>
              <w:t>X</w:t>
            </w:r>
          </w:p>
        </w:tc>
        <w:tc>
          <w:tcPr>
            <w:tcW w:w="210" w:type="pct"/>
            <w:shd w:val="clear" w:color="auto" w:fill="auto"/>
            <w:vAlign w:val="bottom"/>
          </w:tcPr>
          <w:p w14:paraId="4D4542A3" w14:textId="77777777" w:rsidR="00D7176D" w:rsidRPr="00AA0A8B" w:rsidRDefault="00D7176D" w:rsidP="00670228">
            <w:pPr>
              <w:jc w:val="center"/>
              <w:rPr>
                <w:rFonts w:ascii="Calibri" w:hAnsi="Calibri"/>
                <w:color w:val="000000"/>
                <w:sz w:val="20"/>
                <w:szCs w:val="20"/>
              </w:rPr>
            </w:pPr>
            <w:r w:rsidRPr="00AA0A8B">
              <w:rPr>
                <w:rFonts w:ascii="Calibri" w:hAnsi="Calibri"/>
                <w:color w:val="000000"/>
                <w:sz w:val="20"/>
                <w:szCs w:val="20"/>
              </w:rPr>
              <w:t>X</w:t>
            </w:r>
          </w:p>
        </w:tc>
        <w:tc>
          <w:tcPr>
            <w:tcW w:w="210" w:type="pct"/>
            <w:shd w:val="clear" w:color="auto" w:fill="auto"/>
            <w:vAlign w:val="bottom"/>
          </w:tcPr>
          <w:p w14:paraId="751A4F96" w14:textId="77777777" w:rsidR="00D7176D" w:rsidRPr="00AA0A8B" w:rsidRDefault="00D7176D" w:rsidP="00670228">
            <w:pPr>
              <w:jc w:val="center"/>
              <w:rPr>
                <w:rFonts w:ascii="Calibri" w:hAnsi="Calibri"/>
                <w:color w:val="000000"/>
                <w:sz w:val="20"/>
                <w:szCs w:val="20"/>
              </w:rPr>
            </w:pPr>
            <w:r w:rsidRPr="00AA0A8B">
              <w:rPr>
                <w:rFonts w:ascii="Calibri" w:hAnsi="Calibri"/>
                <w:color w:val="000000"/>
                <w:sz w:val="20"/>
                <w:szCs w:val="20"/>
              </w:rPr>
              <w:t>X</w:t>
            </w:r>
          </w:p>
        </w:tc>
        <w:tc>
          <w:tcPr>
            <w:tcW w:w="210" w:type="pct"/>
            <w:shd w:val="clear" w:color="auto" w:fill="auto"/>
            <w:vAlign w:val="bottom"/>
          </w:tcPr>
          <w:p w14:paraId="0D6C2EAC" w14:textId="77777777" w:rsidR="00D7176D" w:rsidRPr="00AA0A8B" w:rsidRDefault="00D7176D" w:rsidP="00670228">
            <w:pPr>
              <w:jc w:val="center"/>
              <w:rPr>
                <w:rFonts w:ascii="Calibri" w:hAnsi="Calibri"/>
                <w:color w:val="000000"/>
                <w:sz w:val="20"/>
                <w:szCs w:val="20"/>
              </w:rPr>
            </w:pPr>
          </w:p>
        </w:tc>
        <w:tc>
          <w:tcPr>
            <w:tcW w:w="211" w:type="pct"/>
            <w:shd w:val="clear" w:color="auto" w:fill="auto"/>
            <w:vAlign w:val="bottom"/>
          </w:tcPr>
          <w:p w14:paraId="0A4735A9" w14:textId="77777777" w:rsidR="00D7176D" w:rsidRPr="00AA0A8B" w:rsidRDefault="00D7176D" w:rsidP="00670228">
            <w:pPr>
              <w:jc w:val="center"/>
              <w:rPr>
                <w:rFonts w:ascii="Calibri" w:hAnsi="Calibri"/>
                <w:color w:val="000000"/>
                <w:sz w:val="20"/>
                <w:szCs w:val="20"/>
              </w:rPr>
            </w:pPr>
          </w:p>
        </w:tc>
      </w:tr>
      <w:tr w:rsidR="00D7176D" w:rsidRPr="00047B1F" w14:paraId="6AAD8F63" w14:textId="77777777" w:rsidTr="008131CF">
        <w:trPr>
          <w:trHeight w:val="278"/>
        </w:trPr>
        <w:tc>
          <w:tcPr>
            <w:tcW w:w="506" w:type="pct"/>
            <w:vMerge/>
            <w:shd w:val="clear" w:color="auto" w:fill="C5E0B3" w:themeFill="accent6" w:themeFillTint="66"/>
          </w:tcPr>
          <w:p w14:paraId="499342B6" w14:textId="77777777" w:rsidR="00D7176D" w:rsidRPr="00B21623" w:rsidRDefault="00D7176D" w:rsidP="00670228"/>
        </w:tc>
        <w:tc>
          <w:tcPr>
            <w:tcW w:w="3443" w:type="pct"/>
            <w:shd w:val="clear" w:color="auto" w:fill="auto"/>
          </w:tcPr>
          <w:p w14:paraId="31732AD1" w14:textId="77777777" w:rsidR="00D7176D" w:rsidRPr="00AA0A8B" w:rsidRDefault="00D7176D" w:rsidP="00670228">
            <w:pPr>
              <w:rPr>
                <w:sz w:val="20"/>
                <w:szCs w:val="20"/>
              </w:rPr>
            </w:pPr>
            <w:r w:rsidRPr="00AA0A8B">
              <w:rPr>
                <w:sz w:val="20"/>
                <w:szCs w:val="20"/>
              </w:rPr>
              <w:t>"Incorporación de la Vigilancia de TB en trabajadores de salud dentro de la Lineamientos técnicos para el control de infecciones con énfasis en TB</w:t>
            </w:r>
          </w:p>
        </w:tc>
        <w:tc>
          <w:tcPr>
            <w:tcW w:w="210" w:type="pct"/>
            <w:shd w:val="clear" w:color="auto" w:fill="auto"/>
            <w:vAlign w:val="bottom"/>
          </w:tcPr>
          <w:p w14:paraId="2A3E6094" w14:textId="77777777" w:rsidR="00D7176D" w:rsidRPr="00AA0A8B" w:rsidRDefault="00D7176D" w:rsidP="00670228">
            <w:pPr>
              <w:jc w:val="center"/>
              <w:rPr>
                <w:rFonts w:ascii="Calibri" w:hAnsi="Calibri"/>
                <w:color w:val="000000"/>
                <w:sz w:val="20"/>
                <w:szCs w:val="20"/>
              </w:rPr>
            </w:pPr>
            <w:r w:rsidRPr="00AA0A8B">
              <w:rPr>
                <w:rFonts w:ascii="Calibri" w:hAnsi="Calibri"/>
                <w:color w:val="000000"/>
                <w:sz w:val="20"/>
                <w:szCs w:val="20"/>
              </w:rPr>
              <w:t>X</w:t>
            </w:r>
          </w:p>
        </w:tc>
        <w:tc>
          <w:tcPr>
            <w:tcW w:w="210" w:type="pct"/>
            <w:shd w:val="clear" w:color="auto" w:fill="auto"/>
            <w:vAlign w:val="bottom"/>
          </w:tcPr>
          <w:p w14:paraId="360BE0A3" w14:textId="77777777" w:rsidR="00D7176D" w:rsidRPr="00AA0A8B" w:rsidRDefault="00D7176D" w:rsidP="00670228">
            <w:pPr>
              <w:jc w:val="center"/>
              <w:rPr>
                <w:rFonts w:ascii="Calibri" w:hAnsi="Calibri"/>
                <w:color w:val="000000"/>
                <w:sz w:val="20"/>
                <w:szCs w:val="20"/>
              </w:rPr>
            </w:pPr>
            <w:r w:rsidRPr="00AA0A8B">
              <w:rPr>
                <w:rFonts w:ascii="Calibri" w:hAnsi="Calibri"/>
                <w:color w:val="000000"/>
                <w:sz w:val="20"/>
                <w:szCs w:val="20"/>
              </w:rPr>
              <w:t>X</w:t>
            </w:r>
          </w:p>
        </w:tc>
        <w:tc>
          <w:tcPr>
            <w:tcW w:w="210" w:type="pct"/>
            <w:shd w:val="clear" w:color="auto" w:fill="auto"/>
            <w:vAlign w:val="bottom"/>
          </w:tcPr>
          <w:p w14:paraId="00B5A303" w14:textId="77777777" w:rsidR="00D7176D" w:rsidRPr="00AA0A8B" w:rsidRDefault="00D7176D" w:rsidP="00670228">
            <w:pPr>
              <w:jc w:val="center"/>
              <w:rPr>
                <w:rFonts w:ascii="Calibri" w:hAnsi="Calibri"/>
                <w:color w:val="000000"/>
                <w:sz w:val="20"/>
                <w:szCs w:val="20"/>
              </w:rPr>
            </w:pPr>
          </w:p>
        </w:tc>
        <w:tc>
          <w:tcPr>
            <w:tcW w:w="210" w:type="pct"/>
            <w:shd w:val="clear" w:color="auto" w:fill="auto"/>
            <w:vAlign w:val="bottom"/>
          </w:tcPr>
          <w:p w14:paraId="533B5CBE" w14:textId="77777777" w:rsidR="00D7176D" w:rsidRPr="00AA0A8B" w:rsidRDefault="00D7176D" w:rsidP="00670228">
            <w:pPr>
              <w:jc w:val="center"/>
              <w:rPr>
                <w:rFonts w:ascii="Calibri" w:hAnsi="Calibri"/>
                <w:color w:val="000000"/>
                <w:sz w:val="20"/>
                <w:szCs w:val="20"/>
              </w:rPr>
            </w:pPr>
          </w:p>
        </w:tc>
        <w:tc>
          <w:tcPr>
            <w:tcW w:w="211" w:type="pct"/>
            <w:shd w:val="clear" w:color="auto" w:fill="auto"/>
            <w:vAlign w:val="bottom"/>
          </w:tcPr>
          <w:p w14:paraId="2761B6C6" w14:textId="77777777" w:rsidR="00D7176D" w:rsidRPr="00AA0A8B" w:rsidRDefault="00D7176D" w:rsidP="00670228">
            <w:pPr>
              <w:jc w:val="center"/>
              <w:rPr>
                <w:rFonts w:ascii="Calibri" w:hAnsi="Calibri"/>
                <w:color w:val="000000"/>
                <w:sz w:val="20"/>
                <w:szCs w:val="20"/>
              </w:rPr>
            </w:pPr>
          </w:p>
        </w:tc>
      </w:tr>
    </w:tbl>
    <w:p w14:paraId="1F62B16B" w14:textId="77777777" w:rsidR="00D7176D" w:rsidRDefault="00D7176D" w:rsidP="005C7E77"/>
    <w:p w14:paraId="283D114A" w14:textId="77777777" w:rsidR="00670228" w:rsidRPr="00E84ED3" w:rsidRDefault="00E84ED3" w:rsidP="00E84ED3">
      <w:pPr>
        <w:rPr>
          <w:b/>
          <w:bCs/>
        </w:rPr>
      </w:pPr>
      <w:r w:rsidRPr="00E84ED3">
        <w:rPr>
          <w:b/>
          <w:bCs/>
        </w:rPr>
        <w:t xml:space="preserve">3.5.4.2 </w:t>
      </w:r>
      <w:r w:rsidR="00670228" w:rsidRPr="00E84ED3">
        <w:rPr>
          <w:b/>
          <w:bCs/>
        </w:rPr>
        <w:t>Eliminación de barreras que impiden el acceso a servicios, o cambios estructurales para la sostenibilidad, o la adopción de modelos diferenciados, o la compra a precios reducidos, etc.</w:t>
      </w:r>
    </w:p>
    <w:p w14:paraId="49CD1F4C" w14:textId="77777777" w:rsidR="00D7176D" w:rsidRDefault="00D7176D" w:rsidP="005C7E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8"/>
        <w:gridCol w:w="8245"/>
        <w:gridCol w:w="505"/>
        <w:gridCol w:w="505"/>
        <w:gridCol w:w="505"/>
        <w:gridCol w:w="505"/>
        <w:gridCol w:w="511"/>
      </w:tblGrid>
      <w:tr w:rsidR="00495E06" w:rsidRPr="00047B1F" w14:paraId="7724EC78" w14:textId="77777777" w:rsidTr="008131CF">
        <w:trPr>
          <w:trHeight w:val="400"/>
        </w:trPr>
        <w:tc>
          <w:tcPr>
            <w:tcW w:w="854" w:type="pct"/>
            <w:shd w:val="clear" w:color="auto" w:fill="C5E0B3" w:themeFill="accent6" w:themeFillTint="66"/>
          </w:tcPr>
          <w:p w14:paraId="5D367129" w14:textId="77777777" w:rsidR="0050520F" w:rsidRDefault="0050520F" w:rsidP="005353E5">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Eje</w:t>
            </w:r>
          </w:p>
        </w:tc>
        <w:tc>
          <w:tcPr>
            <w:tcW w:w="4146" w:type="pct"/>
            <w:gridSpan w:val="6"/>
            <w:shd w:val="clear" w:color="auto" w:fill="C5E0B3" w:themeFill="accent6" w:themeFillTint="66"/>
          </w:tcPr>
          <w:p w14:paraId="0CA027D6" w14:textId="77777777" w:rsidR="0050520F" w:rsidRPr="00EC5B63" w:rsidRDefault="0050520F" w:rsidP="005353E5">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 xml:space="preserve">Acciones / </w:t>
            </w:r>
            <w:r w:rsidRPr="00EE1739">
              <w:rPr>
                <w:rFonts w:ascii="Calibri" w:eastAsia="Times New Roman" w:hAnsi="Calibri" w:cs="Times New Roman"/>
                <w:b/>
                <w:color w:val="000000"/>
                <w:sz w:val="18"/>
                <w:szCs w:val="18"/>
                <w:lang w:val="es-SV" w:eastAsia="es-SV"/>
              </w:rPr>
              <w:t>Periodo de ejecución</w:t>
            </w:r>
          </w:p>
        </w:tc>
      </w:tr>
      <w:tr w:rsidR="00495E06" w:rsidRPr="00047B1F" w14:paraId="20D634B2" w14:textId="77777777" w:rsidTr="00E84ED3">
        <w:trPr>
          <w:trHeight w:val="420"/>
        </w:trPr>
        <w:tc>
          <w:tcPr>
            <w:tcW w:w="854" w:type="pct"/>
            <w:shd w:val="clear" w:color="auto" w:fill="C5E0B3" w:themeFill="accent6" w:themeFillTint="66"/>
          </w:tcPr>
          <w:p w14:paraId="5E90AC7B" w14:textId="77777777" w:rsidR="0050520F" w:rsidRDefault="0050520F" w:rsidP="005353E5"/>
        </w:tc>
        <w:tc>
          <w:tcPr>
            <w:tcW w:w="3173" w:type="pct"/>
            <w:shd w:val="clear" w:color="auto" w:fill="C5E0B3" w:themeFill="accent6" w:themeFillTint="66"/>
          </w:tcPr>
          <w:p w14:paraId="6F35D24F" w14:textId="77777777" w:rsidR="0050520F" w:rsidRPr="00321207" w:rsidRDefault="0050520F" w:rsidP="005353E5"/>
        </w:tc>
        <w:tc>
          <w:tcPr>
            <w:tcW w:w="194" w:type="pct"/>
            <w:shd w:val="clear" w:color="auto" w:fill="C5E0B3" w:themeFill="accent6" w:themeFillTint="66"/>
          </w:tcPr>
          <w:p w14:paraId="7ED2028D" w14:textId="77777777" w:rsidR="0050520F" w:rsidRPr="00EC5B63" w:rsidRDefault="0050520F" w:rsidP="005353E5">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2019</w:t>
            </w:r>
          </w:p>
        </w:tc>
        <w:tc>
          <w:tcPr>
            <w:tcW w:w="194" w:type="pct"/>
            <w:shd w:val="clear" w:color="auto" w:fill="C5E0B3" w:themeFill="accent6" w:themeFillTint="66"/>
          </w:tcPr>
          <w:p w14:paraId="59B8E41E" w14:textId="77777777" w:rsidR="0050520F" w:rsidRPr="00EC5B63" w:rsidRDefault="0050520F" w:rsidP="005353E5">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2020</w:t>
            </w:r>
          </w:p>
        </w:tc>
        <w:tc>
          <w:tcPr>
            <w:tcW w:w="194" w:type="pct"/>
            <w:shd w:val="clear" w:color="auto" w:fill="C5E0B3" w:themeFill="accent6" w:themeFillTint="66"/>
          </w:tcPr>
          <w:p w14:paraId="25142758" w14:textId="77777777" w:rsidR="0050520F" w:rsidRPr="00EC5B63" w:rsidRDefault="0050520F" w:rsidP="005353E5">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2021</w:t>
            </w:r>
          </w:p>
        </w:tc>
        <w:tc>
          <w:tcPr>
            <w:tcW w:w="194" w:type="pct"/>
            <w:shd w:val="clear" w:color="auto" w:fill="C5E0B3" w:themeFill="accent6" w:themeFillTint="66"/>
          </w:tcPr>
          <w:p w14:paraId="113629A6" w14:textId="77777777" w:rsidR="0050520F" w:rsidRPr="00EC5B63" w:rsidRDefault="0050520F" w:rsidP="005353E5">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2022</w:t>
            </w:r>
          </w:p>
        </w:tc>
        <w:tc>
          <w:tcPr>
            <w:tcW w:w="197" w:type="pct"/>
            <w:shd w:val="clear" w:color="auto" w:fill="C5E0B3" w:themeFill="accent6" w:themeFillTint="66"/>
          </w:tcPr>
          <w:p w14:paraId="65E86E23" w14:textId="77777777" w:rsidR="0050520F" w:rsidRPr="00EC5B63" w:rsidRDefault="0050520F" w:rsidP="005353E5">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2023</w:t>
            </w:r>
          </w:p>
        </w:tc>
      </w:tr>
      <w:tr w:rsidR="0050520F" w:rsidRPr="00047B1F" w14:paraId="43E74DFF" w14:textId="77777777" w:rsidTr="008131CF">
        <w:trPr>
          <w:trHeight w:val="420"/>
        </w:trPr>
        <w:tc>
          <w:tcPr>
            <w:tcW w:w="854" w:type="pct"/>
            <w:vMerge w:val="restart"/>
            <w:shd w:val="clear" w:color="auto" w:fill="C5E0B3" w:themeFill="accent6" w:themeFillTint="66"/>
          </w:tcPr>
          <w:p w14:paraId="54B04D6E" w14:textId="77777777" w:rsidR="0050520F" w:rsidRDefault="0050520F" w:rsidP="005353E5">
            <w:r>
              <w:t xml:space="preserve">Eliminación de barreras que impiden el acceso a servicios, o cambios estructurales para la sostenibilidad, </w:t>
            </w:r>
            <w:r>
              <w:lastRenderedPageBreak/>
              <w:t>o la adopción de modelos diferenciados, o la compra a precios reducidos, etc.</w:t>
            </w:r>
          </w:p>
          <w:p w14:paraId="0A975AB8" w14:textId="77777777" w:rsidR="0050520F" w:rsidRPr="00321207" w:rsidRDefault="0050520F" w:rsidP="005353E5"/>
        </w:tc>
        <w:tc>
          <w:tcPr>
            <w:tcW w:w="3173" w:type="pct"/>
            <w:shd w:val="clear" w:color="auto" w:fill="auto"/>
          </w:tcPr>
          <w:p w14:paraId="6B7FEB94" w14:textId="77777777" w:rsidR="0050520F" w:rsidRPr="00495E06" w:rsidRDefault="0050520F" w:rsidP="005353E5">
            <w:pPr>
              <w:rPr>
                <w:sz w:val="20"/>
                <w:szCs w:val="20"/>
              </w:rPr>
            </w:pPr>
            <w:r w:rsidRPr="00495E06">
              <w:rPr>
                <w:sz w:val="20"/>
                <w:szCs w:val="20"/>
              </w:rPr>
              <w:lastRenderedPageBreak/>
              <w:t>Agenda nacional de abogacía para la sostenibilidad en VIH, eliminación de barreras y generación de instrumentos políticos y legales de soporte para la sostenibilidad.</w:t>
            </w:r>
          </w:p>
        </w:tc>
        <w:tc>
          <w:tcPr>
            <w:tcW w:w="194" w:type="pct"/>
            <w:shd w:val="clear" w:color="auto" w:fill="auto"/>
          </w:tcPr>
          <w:p w14:paraId="257D8973" w14:textId="77777777" w:rsidR="0050520F" w:rsidRPr="00495E06" w:rsidRDefault="0050520F" w:rsidP="005353E5">
            <w:pPr>
              <w:spacing w:after="0" w:line="240" w:lineRule="auto"/>
              <w:jc w:val="center"/>
              <w:rPr>
                <w:rFonts w:ascii="Calibri" w:eastAsia="Times New Roman" w:hAnsi="Calibri" w:cs="Times New Roman"/>
                <w:color w:val="000000"/>
                <w:sz w:val="20"/>
                <w:szCs w:val="20"/>
                <w:lang w:val="es-SV" w:eastAsia="es-SV"/>
              </w:rPr>
            </w:pPr>
            <w:r w:rsidRPr="00495E06">
              <w:rPr>
                <w:rFonts w:ascii="Calibri" w:eastAsia="Times New Roman" w:hAnsi="Calibri" w:cs="Times New Roman"/>
                <w:color w:val="000000"/>
                <w:sz w:val="20"/>
                <w:szCs w:val="20"/>
                <w:lang w:val="es-SV" w:eastAsia="es-SV"/>
              </w:rPr>
              <w:t>X</w:t>
            </w:r>
          </w:p>
        </w:tc>
        <w:tc>
          <w:tcPr>
            <w:tcW w:w="194" w:type="pct"/>
            <w:shd w:val="clear" w:color="auto" w:fill="auto"/>
          </w:tcPr>
          <w:p w14:paraId="5C0EBDD8" w14:textId="77777777" w:rsidR="0050520F" w:rsidRPr="00495E06" w:rsidRDefault="0050520F" w:rsidP="005353E5">
            <w:pPr>
              <w:spacing w:after="0" w:line="240" w:lineRule="auto"/>
              <w:jc w:val="center"/>
              <w:rPr>
                <w:rFonts w:ascii="Calibri" w:eastAsia="Times New Roman" w:hAnsi="Calibri" w:cs="Times New Roman"/>
                <w:color w:val="000000"/>
                <w:sz w:val="20"/>
                <w:szCs w:val="20"/>
                <w:lang w:val="es-SV" w:eastAsia="es-SV"/>
              </w:rPr>
            </w:pPr>
            <w:r w:rsidRPr="00495E06">
              <w:rPr>
                <w:rFonts w:ascii="Calibri" w:eastAsia="Times New Roman" w:hAnsi="Calibri" w:cs="Times New Roman"/>
                <w:color w:val="000000"/>
                <w:sz w:val="20"/>
                <w:szCs w:val="20"/>
                <w:lang w:val="es-SV" w:eastAsia="es-SV"/>
              </w:rPr>
              <w:t>X</w:t>
            </w:r>
          </w:p>
        </w:tc>
        <w:tc>
          <w:tcPr>
            <w:tcW w:w="194" w:type="pct"/>
            <w:shd w:val="clear" w:color="auto" w:fill="auto"/>
          </w:tcPr>
          <w:p w14:paraId="3C95E2BB" w14:textId="77777777" w:rsidR="0050520F" w:rsidRPr="00495E06" w:rsidRDefault="0050520F" w:rsidP="005353E5">
            <w:pPr>
              <w:spacing w:after="0" w:line="240" w:lineRule="auto"/>
              <w:jc w:val="center"/>
              <w:rPr>
                <w:rFonts w:ascii="Calibri" w:eastAsia="Times New Roman" w:hAnsi="Calibri" w:cs="Times New Roman"/>
                <w:color w:val="000000"/>
                <w:sz w:val="20"/>
                <w:szCs w:val="20"/>
                <w:lang w:val="es-SV" w:eastAsia="es-SV"/>
              </w:rPr>
            </w:pPr>
          </w:p>
        </w:tc>
        <w:tc>
          <w:tcPr>
            <w:tcW w:w="194" w:type="pct"/>
            <w:shd w:val="clear" w:color="auto" w:fill="auto"/>
          </w:tcPr>
          <w:p w14:paraId="5D2802EA" w14:textId="77777777" w:rsidR="0050520F" w:rsidRPr="00495E06" w:rsidRDefault="0050520F" w:rsidP="005353E5">
            <w:pPr>
              <w:spacing w:after="0" w:line="240" w:lineRule="auto"/>
              <w:jc w:val="center"/>
              <w:rPr>
                <w:rFonts w:ascii="Calibri" w:eastAsia="Times New Roman" w:hAnsi="Calibri" w:cs="Times New Roman"/>
                <w:color w:val="000000"/>
                <w:sz w:val="20"/>
                <w:szCs w:val="20"/>
                <w:lang w:val="es-SV" w:eastAsia="es-SV"/>
              </w:rPr>
            </w:pPr>
          </w:p>
        </w:tc>
        <w:tc>
          <w:tcPr>
            <w:tcW w:w="197" w:type="pct"/>
            <w:shd w:val="clear" w:color="auto" w:fill="auto"/>
          </w:tcPr>
          <w:p w14:paraId="6304A2D2" w14:textId="77777777" w:rsidR="0050520F" w:rsidRPr="00495E06" w:rsidRDefault="0050520F" w:rsidP="005353E5">
            <w:pPr>
              <w:spacing w:after="0" w:line="240" w:lineRule="auto"/>
              <w:jc w:val="center"/>
              <w:rPr>
                <w:rFonts w:ascii="Calibri" w:eastAsia="Times New Roman" w:hAnsi="Calibri" w:cs="Times New Roman"/>
                <w:color w:val="000000"/>
                <w:sz w:val="20"/>
                <w:szCs w:val="20"/>
                <w:lang w:val="es-SV" w:eastAsia="es-SV"/>
              </w:rPr>
            </w:pPr>
          </w:p>
        </w:tc>
      </w:tr>
      <w:tr w:rsidR="0050520F" w:rsidRPr="00047B1F" w14:paraId="36DF801F" w14:textId="77777777" w:rsidTr="008131CF">
        <w:trPr>
          <w:trHeight w:val="238"/>
        </w:trPr>
        <w:tc>
          <w:tcPr>
            <w:tcW w:w="854" w:type="pct"/>
            <w:vMerge/>
            <w:shd w:val="clear" w:color="auto" w:fill="C5E0B3" w:themeFill="accent6" w:themeFillTint="66"/>
          </w:tcPr>
          <w:p w14:paraId="1BA80535" w14:textId="77777777" w:rsidR="0050520F" w:rsidRPr="00321207" w:rsidRDefault="0050520F" w:rsidP="005353E5"/>
        </w:tc>
        <w:tc>
          <w:tcPr>
            <w:tcW w:w="3173" w:type="pct"/>
            <w:shd w:val="clear" w:color="auto" w:fill="auto"/>
            <w:hideMark/>
          </w:tcPr>
          <w:p w14:paraId="17DC865E" w14:textId="77777777" w:rsidR="0050520F" w:rsidRPr="00495E06" w:rsidRDefault="0050520F" w:rsidP="005353E5">
            <w:pPr>
              <w:rPr>
                <w:sz w:val="20"/>
                <w:szCs w:val="20"/>
              </w:rPr>
            </w:pPr>
            <w:r w:rsidRPr="00495E06">
              <w:rPr>
                <w:sz w:val="20"/>
                <w:szCs w:val="20"/>
              </w:rPr>
              <w:t>Aprobación del Listado Institucional de Medicamentos esenciales LIME</w:t>
            </w:r>
          </w:p>
        </w:tc>
        <w:tc>
          <w:tcPr>
            <w:tcW w:w="194" w:type="pct"/>
            <w:shd w:val="clear" w:color="auto" w:fill="auto"/>
            <w:vAlign w:val="bottom"/>
            <w:hideMark/>
          </w:tcPr>
          <w:p w14:paraId="021B7BE6" w14:textId="77777777" w:rsidR="0050520F" w:rsidRPr="00495E06" w:rsidRDefault="0050520F" w:rsidP="005353E5">
            <w:pPr>
              <w:jc w:val="center"/>
              <w:rPr>
                <w:rFonts w:ascii="Calibri" w:hAnsi="Calibri"/>
                <w:color w:val="000000"/>
                <w:sz w:val="20"/>
                <w:szCs w:val="20"/>
              </w:rPr>
            </w:pPr>
            <w:r w:rsidRPr="00495E06">
              <w:rPr>
                <w:rFonts w:ascii="Calibri" w:hAnsi="Calibri"/>
                <w:color w:val="000000"/>
                <w:sz w:val="20"/>
                <w:szCs w:val="20"/>
              </w:rPr>
              <w:t>X</w:t>
            </w:r>
          </w:p>
        </w:tc>
        <w:tc>
          <w:tcPr>
            <w:tcW w:w="194" w:type="pct"/>
            <w:shd w:val="clear" w:color="auto" w:fill="auto"/>
            <w:vAlign w:val="bottom"/>
            <w:hideMark/>
          </w:tcPr>
          <w:p w14:paraId="736CDF6C" w14:textId="77777777" w:rsidR="0050520F" w:rsidRPr="00495E06" w:rsidRDefault="0050520F" w:rsidP="005353E5">
            <w:pPr>
              <w:jc w:val="center"/>
              <w:rPr>
                <w:rFonts w:ascii="Calibri" w:hAnsi="Calibri"/>
                <w:color w:val="000000"/>
                <w:sz w:val="20"/>
                <w:szCs w:val="20"/>
              </w:rPr>
            </w:pPr>
          </w:p>
        </w:tc>
        <w:tc>
          <w:tcPr>
            <w:tcW w:w="194" w:type="pct"/>
            <w:shd w:val="clear" w:color="auto" w:fill="auto"/>
            <w:vAlign w:val="bottom"/>
            <w:hideMark/>
          </w:tcPr>
          <w:p w14:paraId="32C42D45" w14:textId="77777777" w:rsidR="0050520F" w:rsidRPr="00495E06" w:rsidRDefault="0050520F" w:rsidP="005353E5">
            <w:pPr>
              <w:jc w:val="center"/>
              <w:rPr>
                <w:rFonts w:ascii="Calibri" w:hAnsi="Calibri"/>
                <w:color w:val="000000"/>
                <w:sz w:val="20"/>
                <w:szCs w:val="20"/>
              </w:rPr>
            </w:pPr>
          </w:p>
        </w:tc>
        <w:tc>
          <w:tcPr>
            <w:tcW w:w="194" w:type="pct"/>
            <w:shd w:val="clear" w:color="auto" w:fill="auto"/>
            <w:vAlign w:val="bottom"/>
            <w:hideMark/>
          </w:tcPr>
          <w:p w14:paraId="2B09845D" w14:textId="77777777" w:rsidR="0050520F" w:rsidRPr="00495E06" w:rsidRDefault="0050520F" w:rsidP="005353E5">
            <w:pPr>
              <w:jc w:val="center"/>
              <w:rPr>
                <w:rFonts w:ascii="Calibri" w:hAnsi="Calibri"/>
                <w:color w:val="000000"/>
                <w:sz w:val="20"/>
                <w:szCs w:val="20"/>
              </w:rPr>
            </w:pPr>
          </w:p>
        </w:tc>
        <w:tc>
          <w:tcPr>
            <w:tcW w:w="197" w:type="pct"/>
            <w:shd w:val="clear" w:color="auto" w:fill="auto"/>
            <w:vAlign w:val="bottom"/>
            <w:hideMark/>
          </w:tcPr>
          <w:p w14:paraId="2727A486" w14:textId="77777777" w:rsidR="0050520F" w:rsidRPr="00495E06" w:rsidRDefault="0050520F" w:rsidP="005353E5">
            <w:pPr>
              <w:jc w:val="center"/>
              <w:rPr>
                <w:rFonts w:ascii="Calibri" w:hAnsi="Calibri"/>
                <w:color w:val="000000"/>
                <w:sz w:val="20"/>
                <w:szCs w:val="20"/>
              </w:rPr>
            </w:pPr>
          </w:p>
        </w:tc>
      </w:tr>
      <w:tr w:rsidR="0050520F" w:rsidRPr="00047B1F" w14:paraId="79A8A8BD" w14:textId="77777777" w:rsidTr="008131CF">
        <w:trPr>
          <w:trHeight w:val="491"/>
        </w:trPr>
        <w:tc>
          <w:tcPr>
            <w:tcW w:w="854" w:type="pct"/>
            <w:vMerge/>
            <w:shd w:val="clear" w:color="auto" w:fill="C5E0B3" w:themeFill="accent6" w:themeFillTint="66"/>
          </w:tcPr>
          <w:p w14:paraId="3742FE21" w14:textId="77777777" w:rsidR="0050520F" w:rsidRPr="00321207" w:rsidRDefault="0050520F" w:rsidP="005353E5"/>
        </w:tc>
        <w:tc>
          <w:tcPr>
            <w:tcW w:w="3173" w:type="pct"/>
            <w:shd w:val="clear" w:color="auto" w:fill="auto"/>
            <w:hideMark/>
          </w:tcPr>
          <w:p w14:paraId="201BFBCD" w14:textId="77777777" w:rsidR="0050520F" w:rsidRPr="00495E06" w:rsidRDefault="0050520F" w:rsidP="005353E5">
            <w:pPr>
              <w:rPr>
                <w:sz w:val="20"/>
                <w:szCs w:val="20"/>
              </w:rPr>
            </w:pPr>
            <w:r w:rsidRPr="00495E06">
              <w:rPr>
                <w:sz w:val="20"/>
                <w:szCs w:val="20"/>
              </w:rPr>
              <w:t>Eliminación de barreras para la entrega de ARV en el primer nivel de atención</w:t>
            </w:r>
          </w:p>
        </w:tc>
        <w:tc>
          <w:tcPr>
            <w:tcW w:w="194" w:type="pct"/>
            <w:shd w:val="clear" w:color="auto" w:fill="auto"/>
            <w:vAlign w:val="bottom"/>
            <w:hideMark/>
          </w:tcPr>
          <w:p w14:paraId="6C97A9B5" w14:textId="77777777" w:rsidR="0050520F" w:rsidRPr="00495E06" w:rsidRDefault="0050520F" w:rsidP="005353E5">
            <w:pPr>
              <w:rPr>
                <w:rFonts w:ascii="Calibri" w:hAnsi="Calibri"/>
                <w:color w:val="000000"/>
                <w:sz w:val="20"/>
                <w:szCs w:val="20"/>
              </w:rPr>
            </w:pPr>
            <w:r w:rsidRPr="00495E06">
              <w:rPr>
                <w:rFonts w:ascii="Calibri" w:hAnsi="Calibri"/>
                <w:color w:val="000000"/>
                <w:sz w:val="20"/>
                <w:szCs w:val="20"/>
              </w:rPr>
              <w:t>X</w:t>
            </w:r>
          </w:p>
        </w:tc>
        <w:tc>
          <w:tcPr>
            <w:tcW w:w="194" w:type="pct"/>
            <w:shd w:val="clear" w:color="auto" w:fill="auto"/>
            <w:vAlign w:val="bottom"/>
            <w:hideMark/>
          </w:tcPr>
          <w:p w14:paraId="1156747A" w14:textId="77777777" w:rsidR="0050520F" w:rsidRPr="00495E06" w:rsidRDefault="0050520F" w:rsidP="005353E5">
            <w:pPr>
              <w:rPr>
                <w:rFonts w:ascii="Calibri" w:hAnsi="Calibri"/>
                <w:color w:val="000000"/>
                <w:sz w:val="20"/>
                <w:szCs w:val="20"/>
              </w:rPr>
            </w:pPr>
            <w:r w:rsidRPr="00495E06">
              <w:rPr>
                <w:rFonts w:ascii="Calibri" w:hAnsi="Calibri"/>
                <w:color w:val="000000"/>
                <w:sz w:val="20"/>
                <w:szCs w:val="20"/>
              </w:rPr>
              <w:t>X</w:t>
            </w:r>
          </w:p>
        </w:tc>
        <w:tc>
          <w:tcPr>
            <w:tcW w:w="194" w:type="pct"/>
            <w:shd w:val="clear" w:color="auto" w:fill="auto"/>
            <w:vAlign w:val="bottom"/>
            <w:hideMark/>
          </w:tcPr>
          <w:p w14:paraId="3CBF1934" w14:textId="77777777" w:rsidR="0050520F" w:rsidRPr="00495E06" w:rsidRDefault="0050520F" w:rsidP="005353E5">
            <w:pPr>
              <w:jc w:val="center"/>
              <w:rPr>
                <w:rFonts w:ascii="Calibri" w:hAnsi="Calibri"/>
                <w:color w:val="000000"/>
                <w:sz w:val="20"/>
                <w:szCs w:val="20"/>
              </w:rPr>
            </w:pPr>
          </w:p>
        </w:tc>
        <w:tc>
          <w:tcPr>
            <w:tcW w:w="194" w:type="pct"/>
            <w:shd w:val="clear" w:color="auto" w:fill="auto"/>
            <w:vAlign w:val="bottom"/>
            <w:hideMark/>
          </w:tcPr>
          <w:p w14:paraId="0A36B22A" w14:textId="77777777" w:rsidR="0050520F" w:rsidRPr="00495E06" w:rsidRDefault="0050520F" w:rsidP="005353E5">
            <w:pPr>
              <w:rPr>
                <w:rFonts w:ascii="Calibri" w:hAnsi="Calibri"/>
                <w:color w:val="000000"/>
                <w:sz w:val="20"/>
                <w:szCs w:val="20"/>
              </w:rPr>
            </w:pPr>
          </w:p>
        </w:tc>
        <w:tc>
          <w:tcPr>
            <w:tcW w:w="197" w:type="pct"/>
            <w:shd w:val="clear" w:color="auto" w:fill="auto"/>
            <w:vAlign w:val="bottom"/>
            <w:hideMark/>
          </w:tcPr>
          <w:p w14:paraId="6F5DB9AA" w14:textId="77777777" w:rsidR="0050520F" w:rsidRPr="00495E06" w:rsidRDefault="0050520F" w:rsidP="005353E5">
            <w:pPr>
              <w:rPr>
                <w:rFonts w:ascii="Calibri" w:hAnsi="Calibri"/>
                <w:color w:val="000000"/>
                <w:sz w:val="20"/>
                <w:szCs w:val="20"/>
              </w:rPr>
            </w:pPr>
          </w:p>
        </w:tc>
      </w:tr>
      <w:tr w:rsidR="0050520F" w:rsidRPr="00047B1F" w14:paraId="07F0C31C" w14:textId="77777777" w:rsidTr="008131CF">
        <w:trPr>
          <w:trHeight w:val="278"/>
        </w:trPr>
        <w:tc>
          <w:tcPr>
            <w:tcW w:w="854" w:type="pct"/>
            <w:vMerge/>
            <w:shd w:val="clear" w:color="auto" w:fill="C5E0B3" w:themeFill="accent6" w:themeFillTint="66"/>
          </w:tcPr>
          <w:p w14:paraId="565E4FC6" w14:textId="77777777" w:rsidR="0050520F" w:rsidRPr="00321207" w:rsidRDefault="0050520F" w:rsidP="005353E5"/>
        </w:tc>
        <w:tc>
          <w:tcPr>
            <w:tcW w:w="3173" w:type="pct"/>
            <w:shd w:val="clear" w:color="auto" w:fill="auto"/>
            <w:hideMark/>
          </w:tcPr>
          <w:p w14:paraId="7B27352B" w14:textId="77777777" w:rsidR="0050520F" w:rsidRPr="00495E06" w:rsidRDefault="0050520F" w:rsidP="005353E5">
            <w:pPr>
              <w:rPr>
                <w:sz w:val="20"/>
                <w:szCs w:val="20"/>
              </w:rPr>
            </w:pPr>
            <w:r w:rsidRPr="00495E06">
              <w:rPr>
                <w:sz w:val="20"/>
                <w:szCs w:val="20"/>
              </w:rPr>
              <w:t>"Planes de acción de organizaciones de la sociedad civil para la reducción de brechas de los DSS en VIH en KP</w:t>
            </w:r>
          </w:p>
        </w:tc>
        <w:tc>
          <w:tcPr>
            <w:tcW w:w="194" w:type="pct"/>
            <w:shd w:val="clear" w:color="auto" w:fill="auto"/>
            <w:vAlign w:val="bottom"/>
            <w:hideMark/>
          </w:tcPr>
          <w:p w14:paraId="2A2FB573" w14:textId="77777777" w:rsidR="0050520F" w:rsidRPr="00495E06" w:rsidRDefault="0050520F" w:rsidP="005353E5">
            <w:pPr>
              <w:jc w:val="center"/>
              <w:rPr>
                <w:rFonts w:ascii="Calibri" w:hAnsi="Calibri"/>
                <w:color w:val="000000"/>
                <w:sz w:val="20"/>
                <w:szCs w:val="20"/>
              </w:rPr>
            </w:pPr>
            <w:r w:rsidRPr="00495E06">
              <w:rPr>
                <w:rFonts w:ascii="Calibri" w:hAnsi="Calibri"/>
                <w:color w:val="000000"/>
                <w:sz w:val="20"/>
                <w:szCs w:val="20"/>
              </w:rPr>
              <w:t>X</w:t>
            </w:r>
          </w:p>
        </w:tc>
        <w:tc>
          <w:tcPr>
            <w:tcW w:w="194" w:type="pct"/>
            <w:shd w:val="clear" w:color="auto" w:fill="auto"/>
            <w:vAlign w:val="bottom"/>
            <w:hideMark/>
          </w:tcPr>
          <w:p w14:paraId="0350B5F4" w14:textId="77777777" w:rsidR="0050520F" w:rsidRPr="00495E06" w:rsidRDefault="0050520F" w:rsidP="005353E5">
            <w:pPr>
              <w:jc w:val="center"/>
              <w:rPr>
                <w:rFonts w:ascii="Calibri" w:hAnsi="Calibri"/>
                <w:color w:val="000000"/>
                <w:sz w:val="20"/>
                <w:szCs w:val="20"/>
              </w:rPr>
            </w:pPr>
            <w:r w:rsidRPr="00495E06">
              <w:rPr>
                <w:rFonts w:ascii="Calibri" w:hAnsi="Calibri"/>
                <w:color w:val="000000"/>
                <w:sz w:val="20"/>
                <w:szCs w:val="20"/>
              </w:rPr>
              <w:t>X</w:t>
            </w:r>
          </w:p>
        </w:tc>
        <w:tc>
          <w:tcPr>
            <w:tcW w:w="194" w:type="pct"/>
            <w:shd w:val="clear" w:color="auto" w:fill="auto"/>
            <w:vAlign w:val="bottom"/>
            <w:hideMark/>
          </w:tcPr>
          <w:p w14:paraId="4A60F575" w14:textId="77777777" w:rsidR="0050520F" w:rsidRPr="00495E06" w:rsidRDefault="0050520F" w:rsidP="005353E5">
            <w:pPr>
              <w:jc w:val="center"/>
              <w:rPr>
                <w:rFonts w:ascii="Calibri" w:hAnsi="Calibri"/>
                <w:color w:val="000000"/>
                <w:sz w:val="20"/>
                <w:szCs w:val="20"/>
              </w:rPr>
            </w:pPr>
            <w:r w:rsidRPr="00495E06">
              <w:rPr>
                <w:rFonts w:ascii="Calibri" w:hAnsi="Calibri"/>
                <w:color w:val="000000"/>
                <w:sz w:val="20"/>
                <w:szCs w:val="20"/>
              </w:rPr>
              <w:t>X</w:t>
            </w:r>
          </w:p>
        </w:tc>
        <w:tc>
          <w:tcPr>
            <w:tcW w:w="194" w:type="pct"/>
            <w:shd w:val="clear" w:color="auto" w:fill="auto"/>
            <w:vAlign w:val="bottom"/>
            <w:hideMark/>
          </w:tcPr>
          <w:p w14:paraId="04B55C9B" w14:textId="77777777" w:rsidR="0050520F" w:rsidRPr="00495E06" w:rsidRDefault="0050520F" w:rsidP="005353E5">
            <w:pPr>
              <w:jc w:val="center"/>
              <w:rPr>
                <w:rFonts w:ascii="Calibri" w:hAnsi="Calibri"/>
                <w:color w:val="000000"/>
                <w:sz w:val="20"/>
                <w:szCs w:val="20"/>
              </w:rPr>
            </w:pPr>
            <w:r w:rsidRPr="00495E06">
              <w:rPr>
                <w:rFonts w:ascii="Calibri" w:hAnsi="Calibri"/>
                <w:color w:val="000000"/>
                <w:sz w:val="20"/>
                <w:szCs w:val="20"/>
              </w:rPr>
              <w:t>X</w:t>
            </w:r>
          </w:p>
        </w:tc>
        <w:tc>
          <w:tcPr>
            <w:tcW w:w="197" w:type="pct"/>
            <w:shd w:val="clear" w:color="auto" w:fill="auto"/>
            <w:vAlign w:val="bottom"/>
            <w:hideMark/>
          </w:tcPr>
          <w:p w14:paraId="3CAE5B49" w14:textId="77777777" w:rsidR="0050520F" w:rsidRPr="00495E06" w:rsidRDefault="0050520F" w:rsidP="005353E5">
            <w:pPr>
              <w:jc w:val="center"/>
              <w:rPr>
                <w:rFonts w:ascii="Calibri" w:hAnsi="Calibri"/>
                <w:color w:val="000000"/>
                <w:sz w:val="20"/>
                <w:szCs w:val="20"/>
              </w:rPr>
            </w:pPr>
            <w:r w:rsidRPr="00495E06">
              <w:rPr>
                <w:rFonts w:ascii="Calibri" w:hAnsi="Calibri"/>
                <w:color w:val="000000"/>
                <w:sz w:val="20"/>
                <w:szCs w:val="20"/>
              </w:rPr>
              <w:t>X</w:t>
            </w:r>
          </w:p>
        </w:tc>
      </w:tr>
      <w:tr w:rsidR="0050520F" w:rsidRPr="00047B1F" w14:paraId="151E7D55" w14:textId="77777777" w:rsidTr="008131CF">
        <w:trPr>
          <w:trHeight w:val="278"/>
        </w:trPr>
        <w:tc>
          <w:tcPr>
            <w:tcW w:w="854" w:type="pct"/>
            <w:vMerge/>
            <w:shd w:val="clear" w:color="auto" w:fill="C5E0B3" w:themeFill="accent6" w:themeFillTint="66"/>
          </w:tcPr>
          <w:p w14:paraId="3A79B681" w14:textId="77777777" w:rsidR="0050520F" w:rsidRPr="00321207" w:rsidRDefault="0050520F" w:rsidP="005353E5"/>
        </w:tc>
        <w:tc>
          <w:tcPr>
            <w:tcW w:w="3173" w:type="pct"/>
            <w:shd w:val="clear" w:color="auto" w:fill="auto"/>
          </w:tcPr>
          <w:p w14:paraId="6A5B4894" w14:textId="77777777" w:rsidR="0050520F" w:rsidRPr="00495E06" w:rsidRDefault="0050520F" w:rsidP="005353E5">
            <w:pPr>
              <w:rPr>
                <w:sz w:val="20"/>
                <w:szCs w:val="20"/>
              </w:rPr>
            </w:pPr>
            <w:r w:rsidRPr="00495E06">
              <w:rPr>
                <w:sz w:val="20"/>
                <w:szCs w:val="20"/>
              </w:rPr>
              <w:t>Planes de abogacía para la reducción de barreras estructurales que afectan el acceso a los servicios de salud"</w:t>
            </w:r>
          </w:p>
        </w:tc>
        <w:tc>
          <w:tcPr>
            <w:tcW w:w="194" w:type="pct"/>
            <w:shd w:val="clear" w:color="auto" w:fill="auto"/>
            <w:vAlign w:val="bottom"/>
          </w:tcPr>
          <w:p w14:paraId="4AFC4E2D" w14:textId="77777777" w:rsidR="0050520F" w:rsidRPr="00495E06" w:rsidRDefault="0050520F" w:rsidP="005353E5">
            <w:pPr>
              <w:jc w:val="center"/>
              <w:rPr>
                <w:rFonts w:ascii="Calibri" w:hAnsi="Calibri"/>
                <w:color w:val="000000"/>
                <w:sz w:val="20"/>
                <w:szCs w:val="20"/>
              </w:rPr>
            </w:pPr>
            <w:r w:rsidRPr="00495E06">
              <w:rPr>
                <w:rFonts w:ascii="Calibri" w:hAnsi="Calibri"/>
                <w:color w:val="000000"/>
                <w:sz w:val="20"/>
                <w:szCs w:val="20"/>
              </w:rPr>
              <w:t>X</w:t>
            </w:r>
          </w:p>
        </w:tc>
        <w:tc>
          <w:tcPr>
            <w:tcW w:w="194" w:type="pct"/>
            <w:shd w:val="clear" w:color="auto" w:fill="auto"/>
            <w:vAlign w:val="bottom"/>
          </w:tcPr>
          <w:p w14:paraId="4C4FEA37" w14:textId="77777777" w:rsidR="0050520F" w:rsidRPr="00495E06" w:rsidRDefault="0050520F" w:rsidP="005353E5">
            <w:pPr>
              <w:jc w:val="center"/>
              <w:rPr>
                <w:rFonts w:ascii="Calibri" w:hAnsi="Calibri"/>
                <w:color w:val="000000"/>
                <w:sz w:val="20"/>
                <w:szCs w:val="20"/>
              </w:rPr>
            </w:pPr>
            <w:r w:rsidRPr="00495E06">
              <w:rPr>
                <w:rFonts w:ascii="Calibri" w:hAnsi="Calibri"/>
                <w:color w:val="000000"/>
                <w:sz w:val="20"/>
                <w:szCs w:val="20"/>
              </w:rPr>
              <w:t>X</w:t>
            </w:r>
          </w:p>
        </w:tc>
        <w:tc>
          <w:tcPr>
            <w:tcW w:w="194" w:type="pct"/>
            <w:shd w:val="clear" w:color="auto" w:fill="auto"/>
            <w:vAlign w:val="bottom"/>
          </w:tcPr>
          <w:p w14:paraId="30D91FF7" w14:textId="77777777" w:rsidR="0050520F" w:rsidRPr="00495E06" w:rsidRDefault="0050520F" w:rsidP="005353E5">
            <w:pPr>
              <w:jc w:val="center"/>
              <w:rPr>
                <w:rFonts w:ascii="Calibri" w:hAnsi="Calibri"/>
                <w:color w:val="000000"/>
                <w:sz w:val="20"/>
                <w:szCs w:val="20"/>
              </w:rPr>
            </w:pPr>
            <w:r w:rsidRPr="00495E06">
              <w:rPr>
                <w:rFonts w:ascii="Calibri" w:hAnsi="Calibri"/>
                <w:color w:val="000000"/>
                <w:sz w:val="20"/>
                <w:szCs w:val="20"/>
              </w:rPr>
              <w:t>X</w:t>
            </w:r>
          </w:p>
        </w:tc>
        <w:tc>
          <w:tcPr>
            <w:tcW w:w="194" w:type="pct"/>
            <w:shd w:val="clear" w:color="auto" w:fill="auto"/>
            <w:vAlign w:val="bottom"/>
          </w:tcPr>
          <w:p w14:paraId="14AC145C" w14:textId="77777777" w:rsidR="0050520F" w:rsidRPr="00495E06" w:rsidRDefault="0050520F" w:rsidP="005353E5">
            <w:pPr>
              <w:jc w:val="center"/>
              <w:rPr>
                <w:rFonts w:ascii="Calibri" w:hAnsi="Calibri"/>
                <w:color w:val="000000"/>
                <w:sz w:val="20"/>
                <w:szCs w:val="20"/>
              </w:rPr>
            </w:pPr>
            <w:r w:rsidRPr="00495E06">
              <w:rPr>
                <w:rFonts w:ascii="Calibri" w:hAnsi="Calibri"/>
                <w:color w:val="000000"/>
                <w:sz w:val="20"/>
                <w:szCs w:val="20"/>
              </w:rPr>
              <w:t>X</w:t>
            </w:r>
          </w:p>
        </w:tc>
        <w:tc>
          <w:tcPr>
            <w:tcW w:w="197" w:type="pct"/>
            <w:shd w:val="clear" w:color="auto" w:fill="auto"/>
            <w:vAlign w:val="bottom"/>
          </w:tcPr>
          <w:p w14:paraId="2895C7CB" w14:textId="77777777" w:rsidR="0050520F" w:rsidRPr="00495E06" w:rsidRDefault="0050520F" w:rsidP="005353E5">
            <w:pPr>
              <w:jc w:val="center"/>
              <w:rPr>
                <w:rFonts w:ascii="Calibri" w:hAnsi="Calibri"/>
                <w:color w:val="000000"/>
                <w:sz w:val="20"/>
                <w:szCs w:val="20"/>
              </w:rPr>
            </w:pPr>
            <w:r w:rsidRPr="00495E06">
              <w:rPr>
                <w:rFonts w:ascii="Calibri" w:hAnsi="Calibri"/>
                <w:color w:val="000000"/>
                <w:sz w:val="20"/>
                <w:szCs w:val="20"/>
              </w:rPr>
              <w:t>X</w:t>
            </w:r>
          </w:p>
        </w:tc>
      </w:tr>
      <w:tr w:rsidR="0050520F" w:rsidRPr="00047B1F" w14:paraId="676BFA9B" w14:textId="77777777" w:rsidTr="008131CF">
        <w:trPr>
          <w:trHeight w:val="278"/>
        </w:trPr>
        <w:tc>
          <w:tcPr>
            <w:tcW w:w="854" w:type="pct"/>
            <w:vMerge/>
            <w:shd w:val="clear" w:color="auto" w:fill="C5E0B3" w:themeFill="accent6" w:themeFillTint="66"/>
          </w:tcPr>
          <w:p w14:paraId="4DBADD66" w14:textId="77777777" w:rsidR="0050520F" w:rsidRPr="00321207" w:rsidRDefault="0050520F" w:rsidP="005353E5"/>
        </w:tc>
        <w:tc>
          <w:tcPr>
            <w:tcW w:w="3173" w:type="pct"/>
            <w:shd w:val="clear" w:color="auto" w:fill="auto"/>
          </w:tcPr>
          <w:p w14:paraId="14CC82C0" w14:textId="77777777" w:rsidR="0050520F" w:rsidRPr="00495E06" w:rsidRDefault="0050520F" w:rsidP="005353E5">
            <w:pPr>
              <w:rPr>
                <w:sz w:val="20"/>
                <w:szCs w:val="20"/>
              </w:rPr>
            </w:pPr>
            <w:r w:rsidRPr="00495E06">
              <w:rPr>
                <w:sz w:val="20"/>
                <w:szCs w:val="20"/>
              </w:rPr>
              <w:t xml:space="preserve">Actualizar guías normativas y de monitoreo: de vigilancia centinela en poblaciones clave (VICITS) incorporando modalidades innovadoras, y para notificación de parejas para incrementar nuevos diagnósticos </w:t>
            </w:r>
          </w:p>
        </w:tc>
        <w:tc>
          <w:tcPr>
            <w:tcW w:w="194" w:type="pct"/>
            <w:shd w:val="clear" w:color="auto" w:fill="auto"/>
            <w:vAlign w:val="bottom"/>
          </w:tcPr>
          <w:p w14:paraId="04C0BA6C" w14:textId="77777777" w:rsidR="0050520F" w:rsidRPr="00495E06" w:rsidRDefault="0050520F" w:rsidP="005353E5">
            <w:pPr>
              <w:jc w:val="center"/>
              <w:rPr>
                <w:rFonts w:ascii="Calibri" w:hAnsi="Calibri"/>
                <w:color w:val="000000"/>
                <w:sz w:val="20"/>
                <w:szCs w:val="20"/>
              </w:rPr>
            </w:pPr>
          </w:p>
        </w:tc>
        <w:tc>
          <w:tcPr>
            <w:tcW w:w="194" w:type="pct"/>
            <w:shd w:val="clear" w:color="auto" w:fill="auto"/>
            <w:vAlign w:val="bottom"/>
          </w:tcPr>
          <w:p w14:paraId="70BC7D53" w14:textId="77777777" w:rsidR="0050520F" w:rsidRPr="00495E06" w:rsidRDefault="0050520F" w:rsidP="005353E5">
            <w:pPr>
              <w:jc w:val="center"/>
              <w:rPr>
                <w:rFonts w:ascii="Calibri" w:hAnsi="Calibri"/>
                <w:color w:val="000000"/>
                <w:sz w:val="20"/>
                <w:szCs w:val="20"/>
              </w:rPr>
            </w:pPr>
            <w:r w:rsidRPr="00495E06">
              <w:rPr>
                <w:rFonts w:ascii="Calibri" w:hAnsi="Calibri"/>
                <w:color w:val="000000"/>
                <w:sz w:val="20"/>
                <w:szCs w:val="20"/>
              </w:rPr>
              <w:t>X</w:t>
            </w:r>
          </w:p>
        </w:tc>
        <w:tc>
          <w:tcPr>
            <w:tcW w:w="194" w:type="pct"/>
            <w:shd w:val="clear" w:color="auto" w:fill="auto"/>
            <w:vAlign w:val="bottom"/>
          </w:tcPr>
          <w:p w14:paraId="0A20CCEC" w14:textId="77777777" w:rsidR="0050520F" w:rsidRPr="00495E06" w:rsidRDefault="0050520F" w:rsidP="005353E5">
            <w:pPr>
              <w:jc w:val="center"/>
              <w:rPr>
                <w:rFonts w:ascii="Calibri" w:hAnsi="Calibri"/>
                <w:color w:val="000000"/>
                <w:sz w:val="20"/>
                <w:szCs w:val="20"/>
              </w:rPr>
            </w:pPr>
          </w:p>
        </w:tc>
        <w:tc>
          <w:tcPr>
            <w:tcW w:w="194" w:type="pct"/>
            <w:shd w:val="clear" w:color="auto" w:fill="auto"/>
            <w:vAlign w:val="bottom"/>
          </w:tcPr>
          <w:p w14:paraId="27621F46" w14:textId="77777777" w:rsidR="0050520F" w:rsidRPr="00495E06" w:rsidRDefault="0050520F" w:rsidP="005353E5">
            <w:pPr>
              <w:jc w:val="center"/>
              <w:rPr>
                <w:rFonts w:ascii="Calibri" w:hAnsi="Calibri"/>
                <w:color w:val="000000"/>
                <w:sz w:val="20"/>
                <w:szCs w:val="20"/>
              </w:rPr>
            </w:pPr>
          </w:p>
        </w:tc>
        <w:tc>
          <w:tcPr>
            <w:tcW w:w="197" w:type="pct"/>
            <w:shd w:val="clear" w:color="auto" w:fill="auto"/>
            <w:vAlign w:val="bottom"/>
          </w:tcPr>
          <w:p w14:paraId="7A569A57" w14:textId="77777777" w:rsidR="0050520F" w:rsidRPr="00495E06" w:rsidRDefault="0050520F" w:rsidP="005353E5">
            <w:pPr>
              <w:jc w:val="center"/>
              <w:rPr>
                <w:rFonts w:ascii="Calibri" w:hAnsi="Calibri"/>
                <w:color w:val="000000"/>
                <w:sz w:val="20"/>
                <w:szCs w:val="20"/>
              </w:rPr>
            </w:pPr>
          </w:p>
        </w:tc>
      </w:tr>
    </w:tbl>
    <w:p w14:paraId="347A0804" w14:textId="77777777" w:rsidR="00D7176D" w:rsidRDefault="00D7176D" w:rsidP="005C7E77"/>
    <w:p w14:paraId="48925705" w14:textId="77777777" w:rsidR="00D7176D" w:rsidRPr="00E84ED3" w:rsidRDefault="00E84ED3" w:rsidP="00E84ED3">
      <w:pPr>
        <w:rPr>
          <w:b/>
          <w:bCs/>
        </w:rPr>
      </w:pPr>
      <w:r w:rsidRPr="00E84ED3">
        <w:rPr>
          <w:b/>
          <w:bCs/>
        </w:rPr>
        <w:t xml:space="preserve">3.5.4.3. </w:t>
      </w:r>
      <w:r w:rsidR="0050520F" w:rsidRPr="00E84ED3">
        <w:rPr>
          <w:b/>
          <w:bCs/>
        </w:rPr>
        <w:t>Información estratégica necesaria para la toma de decisiones vinculadas con la sostenibilidad de la respuesta al VIH en sus diferentes aristas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0"/>
        <w:gridCol w:w="8383"/>
        <w:gridCol w:w="505"/>
        <w:gridCol w:w="505"/>
        <w:gridCol w:w="505"/>
        <w:gridCol w:w="505"/>
        <w:gridCol w:w="521"/>
      </w:tblGrid>
      <w:tr w:rsidR="00495E06" w:rsidRPr="00047B1F" w14:paraId="1F2EC082" w14:textId="77777777" w:rsidTr="008131CF">
        <w:trPr>
          <w:trHeight w:val="400"/>
          <w:tblHeader/>
        </w:trPr>
        <w:tc>
          <w:tcPr>
            <w:tcW w:w="797" w:type="pct"/>
            <w:shd w:val="clear" w:color="auto" w:fill="C5E0B3" w:themeFill="accent6" w:themeFillTint="66"/>
          </w:tcPr>
          <w:p w14:paraId="3121454A" w14:textId="77777777" w:rsidR="00495E06" w:rsidRDefault="00495E06" w:rsidP="005353E5">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Eje transversal</w:t>
            </w:r>
          </w:p>
        </w:tc>
        <w:tc>
          <w:tcPr>
            <w:tcW w:w="4203" w:type="pct"/>
            <w:gridSpan w:val="6"/>
            <w:shd w:val="clear" w:color="auto" w:fill="C5E0B3" w:themeFill="accent6" w:themeFillTint="66"/>
          </w:tcPr>
          <w:p w14:paraId="646C05FE" w14:textId="77777777" w:rsidR="00495E06" w:rsidRPr="00EC5B63" w:rsidRDefault="00495E06" w:rsidP="005353E5">
            <w:pPr>
              <w:spacing w:after="0" w:line="240" w:lineRule="auto"/>
              <w:jc w:val="center"/>
              <w:rPr>
                <w:rFonts w:ascii="Calibri" w:eastAsia="Times New Roman" w:hAnsi="Calibri" w:cs="Times New Roman"/>
                <w:b/>
                <w:color w:val="000000"/>
                <w:sz w:val="18"/>
                <w:szCs w:val="18"/>
                <w:lang w:val="es-SV" w:eastAsia="es-SV"/>
              </w:rPr>
            </w:pPr>
            <w:r>
              <w:rPr>
                <w:rFonts w:ascii="Calibri" w:eastAsia="Times New Roman" w:hAnsi="Calibri" w:cs="Times New Roman"/>
                <w:b/>
                <w:color w:val="000000"/>
                <w:sz w:val="18"/>
                <w:szCs w:val="18"/>
                <w:lang w:val="es-SV" w:eastAsia="es-SV"/>
              </w:rPr>
              <w:t xml:space="preserve">Acciones / </w:t>
            </w:r>
            <w:r w:rsidRPr="00EE1739">
              <w:rPr>
                <w:rFonts w:ascii="Calibri" w:eastAsia="Times New Roman" w:hAnsi="Calibri" w:cs="Times New Roman"/>
                <w:b/>
                <w:color w:val="000000"/>
                <w:sz w:val="18"/>
                <w:szCs w:val="18"/>
                <w:lang w:val="es-SV" w:eastAsia="es-SV"/>
              </w:rPr>
              <w:t>Periodo de ejecución</w:t>
            </w:r>
          </w:p>
        </w:tc>
      </w:tr>
      <w:tr w:rsidR="00495E06" w:rsidRPr="00047B1F" w14:paraId="61B91A89" w14:textId="77777777" w:rsidTr="008131CF">
        <w:trPr>
          <w:trHeight w:val="420"/>
          <w:tblHeader/>
        </w:trPr>
        <w:tc>
          <w:tcPr>
            <w:tcW w:w="797" w:type="pct"/>
            <w:shd w:val="clear" w:color="auto" w:fill="C5E0B3" w:themeFill="accent6" w:themeFillTint="66"/>
          </w:tcPr>
          <w:p w14:paraId="5F9C0FE5" w14:textId="77777777" w:rsidR="00495E06" w:rsidRDefault="00495E06" w:rsidP="005353E5"/>
        </w:tc>
        <w:tc>
          <w:tcPr>
            <w:tcW w:w="3226" w:type="pct"/>
            <w:shd w:val="clear" w:color="auto" w:fill="C5E0B3" w:themeFill="accent6" w:themeFillTint="66"/>
          </w:tcPr>
          <w:p w14:paraId="011AA7C6" w14:textId="77777777" w:rsidR="00495E06" w:rsidRPr="006E5B00" w:rsidRDefault="00495E06" w:rsidP="005353E5">
            <w:pPr>
              <w:spacing w:after="0" w:line="240" w:lineRule="auto"/>
            </w:pPr>
          </w:p>
        </w:tc>
        <w:tc>
          <w:tcPr>
            <w:tcW w:w="194" w:type="pct"/>
            <w:shd w:val="clear" w:color="auto" w:fill="C5E0B3" w:themeFill="accent6" w:themeFillTint="66"/>
          </w:tcPr>
          <w:p w14:paraId="76A319C3" w14:textId="77777777" w:rsidR="00495E06" w:rsidRPr="00495E06" w:rsidRDefault="00495E06" w:rsidP="005353E5">
            <w:pPr>
              <w:spacing w:after="0" w:line="240" w:lineRule="auto"/>
              <w:jc w:val="center"/>
              <w:rPr>
                <w:rFonts w:ascii="Calibri" w:eastAsia="Times New Roman" w:hAnsi="Calibri" w:cs="Times New Roman"/>
                <w:b/>
                <w:color w:val="000000"/>
                <w:sz w:val="18"/>
                <w:szCs w:val="18"/>
                <w:lang w:val="es-SV" w:eastAsia="es-SV"/>
              </w:rPr>
            </w:pPr>
            <w:r w:rsidRPr="00495E06">
              <w:rPr>
                <w:rFonts w:ascii="Calibri" w:eastAsia="Times New Roman" w:hAnsi="Calibri" w:cs="Times New Roman"/>
                <w:b/>
                <w:color w:val="000000"/>
                <w:sz w:val="18"/>
                <w:szCs w:val="18"/>
                <w:lang w:val="es-SV" w:eastAsia="es-SV"/>
              </w:rPr>
              <w:t>2019</w:t>
            </w:r>
          </w:p>
        </w:tc>
        <w:tc>
          <w:tcPr>
            <w:tcW w:w="194" w:type="pct"/>
            <w:shd w:val="clear" w:color="auto" w:fill="C5E0B3" w:themeFill="accent6" w:themeFillTint="66"/>
          </w:tcPr>
          <w:p w14:paraId="6A204EF1" w14:textId="77777777" w:rsidR="00495E06" w:rsidRPr="00495E06" w:rsidRDefault="00495E06" w:rsidP="005353E5">
            <w:pPr>
              <w:spacing w:after="0" w:line="240" w:lineRule="auto"/>
              <w:jc w:val="center"/>
              <w:rPr>
                <w:rFonts w:ascii="Calibri" w:eastAsia="Times New Roman" w:hAnsi="Calibri" w:cs="Times New Roman"/>
                <w:b/>
                <w:color w:val="000000"/>
                <w:sz w:val="18"/>
                <w:szCs w:val="18"/>
                <w:lang w:val="es-SV" w:eastAsia="es-SV"/>
              </w:rPr>
            </w:pPr>
            <w:r w:rsidRPr="00495E06">
              <w:rPr>
                <w:rFonts w:ascii="Calibri" w:eastAsia="Times New Roman" w:hAnsi="Calibri" w:cs="Times New Roman"/>
                <w:b/>
                <w:color w:val="000000"/>
                <w:sz w:val="18"/>
                <w:szCs w:val="18"/>
                <w:lang w:val="es-SV" w:eastAsia="es-SV"/>
              </w:rPr>
              <w:t>2020</w:t>
            </w:r>
          </w:p>
        </w:tc>
        <w:tc>
          <w:tcPr>
            <w:tcW w:w="194" w:type="pct"/>
            <w:shd w:val="clear" w:color="auto" w:fill="C5E0B3" w:themeFill="accent6" w:themeFillTint="66"/>
          </w:tcPr>
          <w:p w14:paraId="748157BA" w14:textId="77777777" w:rsidR="00495E06" w:rsidRPr="00495E06" w:rsidRDefault="00495E06" w:rsidP="005353E5">
            <w:pPr>
              <w:spacing w:after="0" w:line="240" w:lineRule="auto"/>
              <w:jc w:val="center"/>
              <w:rPr>
                <w:rFonts w:ascii="Calibri" w:eastAsia="Times New Roman" w:hAnsi="Calibri" w:cs="Times New Roman"/>
                <w:b/>
                <w:color w:val="000000"/>
                <w:sz w:val="18"/>
                <w:szCs w:val="18"/>
                <w:lang w:val="es-SV" w:eastAsia="es-SV"/>
              </w:rPr>
            </w:pPr>
            <w:r w:rsidRPr="00495E06">
              <w:rPr>
                <w:rFonts w:ascii="Calibri" w:eastAsia="Times New Roman" w:hAnsi="Calibri" w:cs="Times New Roman"/>
                <w:b/>
                <w:color w:val="000000"/>
                <w:sz w:val="18"/>
                <w:szCs w:val="18"/>
                <w:lang w:val="es-SV" w:eastAsia="es-SV"/>
              </w:rPr>
              <w:t>2021</w:t>
            </w:r>
          </w:p>
        </w:tc>
        <w:tc>
          <w:tcPr>
            <w:tcW w:w="194" w:type="pct"/>
            <w:shd w:val="clear" w:color="auto" w:fill="C5E0B3" w:themeFill="accent6" w:themeFillTint="66"/>
          </w:tcPr>
          <w:p w14:paraId="210F7528" w14:textId="77777777" w:rsidR="00495E06" w:rsidRPr="00495E06" w:rsidRDefault="00495E06" w:rsidP="005353E5">
            <w:pPr>
              <w:spacing w:after="0" w:line="240" w:lineRule="auto"/>
              <w:jc w:val="center"/>
              <w:rPr>
                <w:rFonts w:ascii="Calibri" w:eastAsia="Times New Roman" w:hAnsi="Calibri" w:cs="Times New Roman"/>
                <w:b/>
                <w:color w:val="000000"/>
                <w:sz w:val="18"/>
                <w:szCs w:val="18"/>
                <w:lang w:val="es-SV" w:eastAsia="es-SV"/>
              </w:rPr>
            </w:pPr>
            <w:r w:rsidRPr="00495E06">
              <w:rPr>
                <w:rFonts w:ascii="Calibri" w:eastAsia="Times New Roman" w:hAnsi="Calibri" w:cs="Times New Roman"/>
                <w:b/>
                <w:color w:val="000000"/>
                <w:sz w:val="18"/>
                <w:szCs w:val="18"/>
                <w:lang w:val="es-SV" w:eastAsia="es-SV"/>
              </w:rPr>
              <w:t>2022</w:t>
            </w:r>
          </w:p>
        </w:tc>
        <w:tc>
          <w:tcPr>
            <w:tcW w:w="200" w:type="pct"/>
            <w:shd w:val="clear" w:color="auto" w:fill="C5E0B3" w:themeFill="accent6" w:themeFillTint="66"/>
          </w:tcPr>
          <w:p w14:paraId="690E394C" w14:textId="77777777" w:rsidR="00495E06" w:rsidRPr="00495E06" w:rsidRDefault="00495E06" w:rsidP="005353E5">
            <w:pPr>
              <w:spacing w:after="0" w:line="240" w:lineRule="auto"/>
              <w:jc w:val="center"/>
              <w:rPr>
                <w:rFonts w:ascii="Calibri" w:eastAsia="Times New Roman" w:hAnsi="Calibri" w:cs="Times New Roman"/>
                <w:b/>
                <w:color w:val="000000"/>
                <w:sz w:val="18"/>
                <w:szCs w:val="18"/>
                <w:lang w:val="es-SV" w:eastAsia="es-SV"/>
              </w:rPr>
            </w:pPr>
            <w:r w:rsidRPr="00495E06">
              <w:rPr>
                <w:rFonts w:ascii="Calibri" w:eastAsia="Times New Roman" w:hAnsi="Calibri" w:cs="Times New Roman"/>
                <w:b/>
                <w:color w:val="000000"/>
                <w:sz w:val="18"/>
                <w:szCs w:val="18"/>
                <w:lang w:val="es-SV" w:eastAsia="es-SV"/>
              </w:rPr>
              <w:t>2023</w:t>
            </w:r>
          </w:p>
        </w:tc>
      </w:tr>
      <w:tr w:rsidR="00495E06" w:rsidRPr="00047B1F" w14:paraId="737D0B43" w14:textId="77777777" w:rsidTr="008131CF">
        <w:trPr>
          <w:trHeight w:val="420"/>
        </w:trPr>
        <w:tc>
          <w:tcPr>
            <w:tcW w:w="797" w:type="pct"/>
            <w:vMerge w:val="restart"/>
            <w:shd w:val="clear" w:color="auto" w:fill="C5E0B3" w:themeFill="accent6" w:themeFillTint="66"/>
          </w:tcPr>
          <w:p w14:paraId="153BD243" w14:textId="77777777" w:rsidR="00495E06" w:rsidRDefault="00495E06" w:rsidP="005353E5">
            <w:r>
              <w:t>Información estratégica necesaria para la toma de decisiones vinculadas con la sostenibilidad de la respuesta al VIH en sus diferentes aristas</w:t>
            </w:r>
          </w:p>
          <w:p w14:paraId="32FE1BAC" w14:textId="77777777" w:rsidR="00495E06" w:rsidRPr="006E5B00" w:rsidRDefault="00495E06" w:rsidP="005353E5">
            <w:pPr>
              <w:spacing w:after="0" w:line="240" w:lineRule="auto"/>
            </w:pPr>
          </w:p>
        </w:tc>
        <w:tc>
          <w:tcPr>
            <w:tcW w:w="3226" w:type="pct"/>
            <w:shd w:val="clear" w:color="auto" w:fill="auto"/>
          </w:tcPr>
          <w:p w14:paraId="59786C53" w14:textId="77777777" w:rsidR="00495E06" w:rsidRPr="00495E06" w:rsidRDefault="00495E06" w:rsidP="005353E5">
            <w:pPr>
              <w:spacing w:after="0" w:line="240" w:lineRule="auto"/>
              <w:rPr>
                <w:rFonts w:cstheme="minorHAnsi"/>
                <w:sz w:val="20"/>
                <w:szCs w:val="20"/>
              </w:rPr>
            </w:pPr>
            <w:r w:rsidRPr="00495E06">
              <w:rPr>
                <w:rFonts w:cstheme="minorHAnsi"/>
                <w:sz w:val="20"/>
                <w:szCs w:val="20"/>
              </w:rPr>
              <w:t xml:space="preserve">Investigación sobre la factibilidad de pruebas autoadministrable dirigidas a poblaciones clave, incluyendo estimación de tamaño de mercado y estudio cualitativo, de una prueba autoadministrable dirigida a KP.  </w:t>
            </w:r>
          </w:p>
        </w:tc>
        <w:tc>
          <w:tcPr>
            <w:tcW w:w="194" w:type="pct"/>
            <w:shd w:val="clear" w:color="auto" w:fill="auto"/>
          </w:tcPr>
          <w:p w14:paraId="7BE099FE" w14:textId="77777777" w:rsidR="00495E06" w:rsidRPr="00495E06" w:rsidRDefault="00495E06" w:rsidP="005353E5">
            <w:pPr>
              <w:spacing w:after="0" w:line="240" w:lineRule="auto"/>
              <w:jc w:val="center"/>
              <w:rPr>
                <w:rFonts w:eastAsia="Times New Roman" w:cstheme="minorHAnsi"/>
                <w:color w:val="000000"/>
                <w:sz w:val="20"/>
                <w:szCs w:val="20"/>
                <w:lang w:val="es-SV" w:eastAsia="es-SV"/>
              </w:rPr>
            </w:pPr>
            <w:r w:rsidRPr="00495E06">
              <w:rPr>
                <w:rFonts w:eastAsia="Times New Roman" w:cstheme="minorHAnsi"/>
                <w:color w:val="000000"/>
                <w:sz w:val="20"/>
                <w:szCs w:val="20"/>
                <w:lang w:val="es-SV" w:eastAsia="es-SV"/>
              </w:rPr>
              <w:t>X</w:t>
            </w:r>
          </w:p>
        </w:tc>
        <w:tc>
          <w:tcPr>
            <w:tcW w:w="194" w:type="pct"/>
            <w:shd w:val="clear" w:color="auto" w:fill="auto"/>
          </w:tcPr>
          <w:p w14:paraId="7280B06A" w14:textId="77777777" w:rsidR="00495E06" w:rsidRPr="00495E06" w:rsidRDefault="00495E06" w:rsidP="005353E5">
            <w:pPr>
              <w:spacing w:after="0" w:line="240" w:lineRule="auto"/>
              <w:jc w:val="center"/>
              <w:rPr>
                <w:rFonts w:eastAsia="Times New Roman" w:cstheme="minorHAnsi"/>
                <w:color w:val="000000"/>
                <w:sz w:val="20"/>
                <w:szCs w:val="20"/>
                <w:lang w:val="es-SV" w:eastAsia="es-SV"/>
              </w:rPr>
            </w:pPr>
            <w:r w:rsidRPr="00495E06">
              <w:rPr>
                <w:rFonts w:eastAsia="Times New Roman" w:cstheme="minorHAnsi"/>
                <w:color w:val="000000"/>
                <w:sz w:val="20"/>
                <w:szCs w:val="20"/>
                <w:lang w:val="es-SV" w:eastAsia="es-SV"/>
              </w:rPr>
              <w:t>X</w:t>
            </w:r>
          </w:p>
        </w:tc>
        <w:tc>
          <w:tcPr>
            <w:tcW w:w="194" w:type="pct"/>
            <w:shd w:val="clear" w:color="auto" w:fill="auto"/>
          </w:tcPr>
          <w:p w14:paraId="4DFCB82F" w14:textId="77777777" w:rsidR="00495E06" w:rsidRPr="00495E06" w:rsidRDefault="00495E06" w:rsidP="005353E5">
            <w:pPr>
              <w:spacing w:after="0" w:line="240" w:lineRule="auto"/>
              <w:jc w:val="center"/>
              <w:rPr>
                <w:rFonts w:eastAsia="Times New Roman" w:cstheme="minorHAnsi"/>
                <w:color w:val="000000"/>
                <w:sz w:val="20"/>
                <w:szCs w:val="20"/>
                <w:lang w:val="es-SV" w:eastAsia="es-SV"/>
              </w:rPr>
            </w:pPr>
          </w:p>
        </w:tc>
        <w:tc>
          <w:tcPr>
            <w:tcW w:w="194" w:type="pct"/>
            <w:shd w:val="clear" w:color="auto" w:fill="auto"/>
          </w:tcPr>
          <w:p w14:paraId="7332CFA4" w14:textId="77777777" w:rsidR="00495E06" w:rsidRPr="00495E06" w:rsidRDefault="00495E06" w:rsidP="005353E5">
            <w:pPr>
              <w:spacing w:after="0" w:line="240" w:lineRule="auto"/>
              <w:jc w:val="center"/>
              <w:rPr>
                <w:rFonts w:eastAsia="Times New Roman" w:cstheme="minorHAnsi"/>
                <w:color w:val="000000"/>
                <w:sz w:val="20"/>
                <w:szCs w:val="20"/>
                <w:lang w:val="es-SV" w:eastAsia="es-SV"/>
              </w:rPr>
            </w:pPr>
          </w:p>
        </w:tc>
        <w:tc>
          <w:tcPr>
            <w:tcW w:w="200" w:type="pct"/>
            <w:shd w:val="clear" w:color="auto" w:fill="auto"/>
          </w:tcPr>
          <w:p w14:paraId="7F54CE58" w14:textId="77777777" w:rsidR="00495E06" w:rsidRPr="00495E06" w:rsidRDefault="00495E06" w:rsidP="005353E5">
            <w:pPr>
              <w:spacing w:after="0" w:line="240" w:lineRule="auto"/>
              <w:jc w:val="center"/>
              <w:rPr>
                <w:rFonts w:eastAsia="Times New Roman" w:cstheme="minorHAnsi"/>
                <w:color w:val="000000"/>
                <w:sz w:val="20"/>
                <w:szCs w:val="20"/>
                <w:lang w:val="es-SV" w:eastAsia="es-SV"/>
              </w:rPr>
            </w:pPr>
          </w:p>
        </w:tc>
      </w:tr>
      <w:tr w:rsidR="00495E06" w:rsidRPr="00047B1F" w14:paraId="44FE3D6D" w14:textId="77777777" w:rsidTr="008131CF">
        <w:trPr>
          <w:trHeight w:val="238"/>
        </w:trPr>
        <w:tc>
          <w:tcPr>
            <w:tcW w:w="797" w:type="pct"/>
            <w:vMerge/>
            <w:shd w:val="clear" w:color="auto" w:fill="C5E0B3" w:themeFill="accent6" w:themeFillTint="66"/>
          </w:tcPr>
          <w:p w14:paraId="1F260EF0" w14:textId="77777777" w:rsidR="00495E06" w:rsidRDefault="00495E06" w:rsidP="005353E5">
            <w:pPr>
              <w:spacing w:after="0" w:line="240" w:lineRule="auto"/>
              <w:rPr>
                <w:rFonts w:ascii="Times New Roman" w:hAnsi="Times New Roman" w:cs="Times New Roman"/>
                <w:sz w:val="24"/>
                <w:szCs w:val="24"/>
              </w:rPr>
            </w:pPr>
          </w:p>
        </w:tc>
        <w:tc>
          <w:tcPr>
            <w:tcW w:w="3226" w:type="pct"/>
            <w:shd w:val="clear" w:color="auto" w:fill="auto"/>
            <w:hideMark/>
          </w:tcPr>
          <w:p w14:paraId="1217E1EF" w14:textId="77777777" w:rsidR="00495E06" w:rsidRPr="00495E06" w:rsidRDefault="00495E06" w:rsidP="005353E5">
            <w:pPr>
              <w:spacing w:after="0" w:line="240" w:lineRule="auto"/>
              <w:rPr>
                <w:rFonts w:cstheme="minorHAnsi"/>
                <w:sz w:val="20"/>
                <w:szCs w:val="20"/>
              </w:rPr>
            </w:pPr>
            <w:r w:rsidRPr="00495E06">
              <w:rPr>
                <w:rFonts w:cstheme="minorHAnsi"/>
                <w:sz w:val="20"/>
                <w:szCs w:val="20"/>
              </w:rPr>
              <w:t>Desarrollo de Informes de cascada del continuo de atención y monitoreo de segundo y tercer 90 para análisis y toma de decisiones centrales y locales.</w:t>
            </w:r>
          </w:p>
        </w:tc>
        <w:tc>
          <w:tcPr>
            <w:tcW w:w="194" w:type="pct"/>
            <w:shd w:val="clear" w:color="auto" w:fill="auto"/>
            <w:vAlign w:val="bottom"/>
            <w:hideMark/>
          </w:tcPr>
          <w:p w14:paraId="39435202" w14:textId="77777777" w:rsidR="00495E06" w:rsidRPr="00495E06" w:rsidRDefault="00495E06" w:rsidP="005353E5">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hideMark/>
          </w:tcPr>
          <w:p w14:paraId="66ADFBCE" w14:textId="77777777" w:rsidR="00495E06" w:rsidRPr="00495E06" w:rsidRDefault="00495E06" w:rsidP="005353E5">
            <w:pPr>
              <w:jc w:val="center"/>
              <w:rPr>
                <w:rFonts w:cstheme="minorHAnsi"/>
                <w:color w:val="000000"/>
                <w:sz w:val="20"/>
                <w:szCs w:val="20"/>
              </w:rPr>
            </w:pPr>
          </w:p>
        </w:tc>
        <w:tc>
          <w:tcPr>
            <w:tcW w:w="194" w:type="pct"/>
            <w:shd w:val="clear" w:color="auto" w:fill="auto"/>
            <w:vAlign w:val="bottom"/>
            <w:hideMark/>
          </w:tcPr>
          <w:p w14:paraId="3BA1E8F3" w14:textId="77777777" w:rsidR="00495E06" w:rsidRPr="00495E06" w:rsidRDefault="00495E06" w:rsidP="005353E5">
            <w:pPr>
              <w:jc w:val="center"/>
              <w:rPr>
                <w:rFonts w:cstheme="minorHAnsi"/>
                <w:color w:val="000000"/>
                <w:sz w:val="20"/>
                <w:szCs w:val="20"/>
              </w:rPr>
            </w:pPr>
          </w:p>
        </w:tc>
        <w:tc>
          <w:tcPr>
            <w:tcW w:w="194" w:type="pct"/>
            <w:shd w:val="clear" w:color="auto" w:fill="auto"/>
            <w:vAlign w:val="bottom"/>
            <w:hideMark/>
          </w:tcPr>
          <w:p w14:paraId="4D728752" w14:textId="77777777" w:rsidR="00495E06" w:rsidRPr="00495E06" w:rsidRDefault="00495E06" w:rsidP="005353E5">
            <w:pPr>
              <w:jc w:val="center"/>
              <w:rPr>
                <w:rFonts w:cstheme="minorHAnsi"/>
                <w:color w:val="000000"/>
                <w:sz w:val="20"/>
                <w:szCs w:val="20"/>
              </w:rPr>
            </w:pPr>
          </w:p>
        </w:tc>
        <w:tc>
          <w:tcPr>
            <w:tcW w:w="200" w:type="pct"/>
            <w:shd w:val="clear" w:color="auto" w:fill="auto"/>
            <w:vAlign w:val="bottom"/>
            <w:hideMark/>
          </w:tcPr>
          <w:p w14:paraId="3DBE34D9" w14:textId="77777777" w:rsidR="00495E06" w:rsidRPr="00495E06" w:rsidRDefault="00495E06" w:rsidP="005353E5">
            <w:pPr>
              <w:jc w:val="center"/>
              <w:rPr>
                <w:rFonts w:cstheme="minorHAnsi"/>
                <w:color w:val="000000"/>
                <w:sz w:val="20"/>
                <w:szCs w:val="20"/>
              </w:rPr>
            </w:pPr>
          </w:p>
        </w:tc>
      </w:tr>
      <w:tr w:rsidR="00495E06" w:rsidRPr="00047B1F" w14:paraId="35E54CF4" w14:textId="77777777" w:rsidTr="008131CF">
        <w:trPr>
          <w:trHeight w:val="491"/>
        </w:trPr>
        <w:tc>
          <w:tcPr>
            <w:tcW w:w="797" w:type="pct"/>
            <w:vMerge/>
            <w:shd w:val="clear" w:color="auto" w:fill="C5E0B3" w:themeFill="accent6" w:themeFillTint="66"/>
          </w:tcPr>
          <w:p w14:paraId="68875B35" w14:textId="77777777" w:rsidR="00495E06" w:rsidRPr="003701CC" w:rsidRDefault="00495E06" w:rsidP="005353E5">
            <w:pPr>
              <w:spacing w:after="0" w:line="240" w:lineRule="auto"/>
              <w:rPr>
                <w:rFonts w:ascii="Times New Roman" w:hAnsi="Times New Roman" w:cs="Times New Roman"/>
                <w:sz w:val="24"/>
                <w:szCs w:val="24"/>
              </w:rPr>
            </w:pPr>
          </w:p>
        </w:tc>
        <w:tc>
          <w:tcPr>
            <w:tcW w:w="3226" w:type="pct"/>
            <w:shd w:val="clear" w:color="auto" w:fill="auto"/>
            <w:hideMark/>
          </w:tcPr>
          <w:p w14:paraId="2BC2ED93" w14:textId="77777777" w:rsidR="00495E06" w:rsidRPr="00495E06" w:rsidRDefault="00495E06" w:rsidP="005353E5">
            <w:pPr>
              <w:spacing w:after="0" w:line="240" w:lineRule="auto"/>
              <w:rPr>
                <w:rFonts w:cstheme="minorHAnsi"/>
                <w:sz w:val="20"/>
                <w:szCs w:val="20"/>
              </w:rPr>
            </w:pPr>
            <w:r w:rsidRPr="00495E06">
              <w:rPr>
                <w:rFonts w:cstheme="minorHAnsi"/>
                <w:sz w:val="20"/>
                <w:szCs w:val="20"/>
              </w:rPr>
              <w:t>Sala situacional como herramienta para fortalecer la cultura de análisis de información a nivel local.</w:t>
            </w:r>
          </w:p>
        </w:tc>
        <w:tc>
          <w:tcPr>
            <w:tcW w:w="194" w:type="pct"/>
            <w:shd w:val="clear" w:color="auto" w:fill="auto"/>
            <w:vAlign w:val="bottom"/>
            <w:hideMark/>
          </w:tcPr>
          <w:p w14:paraId="7020FAC3" w14:textId="77777777" w:rsidR="00495E06" w:rsidRPr="00495E06" w:rsidRDefault="00495E06" w:rsidP="005353E5">
            <w:pPr>
              <w:rPr>
                <w:rFonts w:cstheme="minorHAnsi"/>
                <w:color w:val="000000"/>
                <w:sz w:val="20"/>
                <w:szCs w:val="20"/>
              </w:rPr>
            </w:pPr>
            <w:r>
              <w:rPr>
                <w:rFonts w:cstheme="minorHAnsi"/>
                <w:color w:val="000000"/>
                <w:sz w:val="20"/>
                <w:szCs w:val="20"/>
              </w:rPr>
              <w:t xml:space="preserve">  </w:t>
            </w:r>
            <w:r w:rsidRPr="00495E06">
              <w:rPr>
                <w:rFonts w:cstheme="minorHAnsi"/>
                <w:color w:val="000000"/>
                <w:sz w:val="20"/>
                <w:szCs w:val="20"/>
              </w:rPr>
              <w:t>X</w:t>
            </w:r>
          </w:p>
        </w:tc>
        <w:tc>
          <w:tcPr>
            <w:tcW w:w="194" w:type="pct"/>
            <w:shd w:val="clear" w:color="auto" w:fill="auto"/>
            <w:vAlign w:val="bottom"/>
            <w:hideMark/>
          </w:tcPr>
          <w:p w14:paraId="3C410D4A" w14:textId="77777777" w:rsidR="00495E06" w:rsidRPr="00495E06" w:rsidRDefault="00495E06" w:rsidP="005353E5">
            <w:pPr>
              <w:rPr>
                <w:rFonts w:cstheme="minorHAnsi"/>
                <w:color w:val="000000"/>
                <w:sz w:val="20"/>
                <w:szCs w:val="20"/>
              </w:rPr>
            </w:pPr>
          </w:p>
        </w:tc>
        <w:tc>
          <w:tcPr>
            <w:tcW w:w="194" w:type="pct"/>
            <w:shd w:val="clear" w:color="auto" w:fill="auto"/>
            <w:vAlign w:val="bottom"/>
            <w:hideMark/>
          </w:tcPr>
          <w:p w14:paraId="26A7B2DD" w14:textId="77777777" w:rsidR="00495E06" w:rsidRPr="00495E06" w:rsidRDefault="00495E06" w:rsidP="005353E5">
            <w:pPr>
              <w:jc w:val="center"/>
              <w:rPr>
                <w:rFonts w:cstheme="minorHAnsi"/>
                <w:color w:val="000000"/>
                <w:sz w:val="20"/>
                <w:szCs w:val="20"/>
              </w:rPr>
            </w:pPr>
          </w:p>
        </w:tc>
        <w:tc>
          <w:tcPr>
            <w:tcW w:w="194" w:type="pct"/>
            <w:shd w:val="clear" w:color="auto" w:fill="auto"/>
            <w:vAlign w:val="bottom"/>
            <w:hideMark/>
          </w:tcPr>
          <w:p w14:paraId="0A85A01B" w14:textId="77777777" w:rsidR="00495E06" w:rsidRPr="00495E06" w:rsidRDefault="00495E06" w:rsidP="005353E5">
            <w:pPr>
              <w:rPr>
                <w:rFonts w:cstheme="minorHAnsi"/>
                <w:color w:val="000000"/>
                <w:sz w:val="20"/>
                <w:szCs w:val="20"/>
              </w:rPr>
            </w:pPr>
          </w:p>
        </w:tc>
        <w:tc>
          <w:tcPr>
            <w:tcW w:w="200" w:type="pct"/>
            <w:shd w:val="clear" w:color="auto" w:fill="auto"/>
            <w:vAlign w:val="bottom"/>
            <w:hideMark/>
          </w:tcPr>
          <w:p w14:paraId="435BDACA" w14:textId="77777777" w:rsidR="00495E06" w:rsidRPr="00495E06" w:rsidRDefault="00495E06" w:rsidP="005353E5">
            <w:pPr>
              <w:rPr>
                <w:rFonts w:cstheme="minorHAnsi"/>
                <w:color w:val="000000"/>
                <w:sz w:val="20"/>
                <w:szCs w:val="20"/>
              </w:rPr>
            </w:pPr>
          </w:p>
        </w:tc>
      </w:tr>
      <w:tr w:rsidR="00495E06" w:rsidRPr="00047B1F" w14:paraId="0D856748" w14:textId="77777777" w:rsidTr="008131CF">
        <w:trPr>
          <w:trHeight w:val="278"/>
        </w:trPr>
        <w:tc>
          <w:tcPr>
            <w:tcW w:w="797" w:type="pct"/>
            <w:vMerge/>
            <w:shd w:val="clear" w:color="auto" w:fill="C5E0B3" w:themeFill="accent6" w:themeFillTint="66"/>
          </w:tcPr>
          <w:p w14:paraId="38C5F0C0" w14:textId="77777777" w:rsidR="00495E06" w:rsidRPr="003701CC" w:rsidRDefault="00495E06" w:rsidP="005353E5">
            <w:pPr>
              <w:spacing w:after="0" w:line="240" w:lineRule="auto"/>
              <w:rPr>
                <w:rFonts w:ascii="Times New Roman" w:hAnsi="Times New Roman" w:cs="Times New Roman"/>
                <w:sz w:val="24"/>
                <w:szCs w:val="24"/>
              </w:rPr>
            </w:pPr>
          </w:p>
        </w:tc>
        <w:tc>
          <w:tcPr>
            <w:tcW w:w="3226" w:type="pct"/>
            <w:shd w:val="clear" w:color="auto" w:fill="auto"/>
            <w:hideMark/>
          </w:tcPr>
          <w:p w14:paraId="1CB1D3DD" w14:textId="77777777" w:rsidR="00495E06" w:rsidRPr="00495E06" w:rsidRDefault="00495E06" w:rsidP="005353E5">
            <w:pPr>
              <w:spacing w:after="0" w:line="240" w:lineRule="auto"/>
              <w:rPr>
                <w:rFonts w:cstheme="minorHAnsi"/>
                <w:sz w:val="20"/>
                <w:szCs w:val="20"/>
              </w:rPr>
            </w:pPr>
            <w:r w:rsidRPr="00495E06">
              <w:rPr>
                <w:rFonts w:cstheme="minorHAnsi"/>
                <w:sz w:val="20"/>
                <w:szCs w:val="20"/>
              </w:rPr>
              <w:t>Diseño, desarrollo e implementación de sistemas de administración de información logística.</w:t>
            </w:r>
          </w:p>
        </w:tc>
        <w:tc>
          <w:tcPr>
            <w:tcW w:w="194" w:type="pct"/>
            <w:shd w:val="clear" w:color="auto" w:fill="auto"/>
            <w:vAlign w:val="bottom"/>
            <w:hideMark/>
          </w:tcPr>
          <w:p w14:paraId="6D197E27" w14:textId="77777777" w:rsidR="00495E06" w:rsidRPr="00495E06" w:rsidRDefault="00495E06" w:rsidP="005353E5">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hideMark/>
          </w:tcPr>
          <w:p w14:paraId="06099934" w14:textId="77777777" w:rsidR="00495E06" w:rsidRPr="00495E06" w:rsidRDefault="00495E06" w:rsidP="005353E5">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hideMark/>
          </w:tcPr>
          <w:p w14:paraId="39471D42" w14:textId="77777777" w:rsidR="00495E06" w:rsidRPr="00495E06" w:rsidRDefault="00495E06" w:rsidP="005353E5">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hideMark/>
          </w:tcPr>
          <w:p w14:paraId="783A3DBF" w14:textId="77777777" w:rsidR="00495E06" w:rsidRPr="00495E06" w:rsidRDefault="00495E06" w:rsidP="005353E5">
            <w:pPr>
              <w:jc w:val="center"/>
              <w:rPr>
                <w:rFonts w:cstheme="minorHAnsi"/>
                <w:color w:val="000000"/>
                <w:sz w:val="20"/>
                <w:szCs w:val="20"/>
              </w:rPr>
            </w:pPr>
            <w:r w:rsidRPr="00495E06">
              <w:rPr>
                <w:rFonts w:cstheme="minorHAnsi"/>
                <w:color w:val="000000"/>
                <w:sz w:val="20"/>
                <w:szCs w:val="20"/>
              </w:rPr>
              <w:t>X</w:t>
            </w:r>
          </w:p>
        </w:tc>
        <w:tc>
          <w:tcPr>
            <w:tcW w:w="200" w:type="pct"/>
            <w:shd w:val="clear" w:color="auto" w:fill="auto"/>
            <w:vAlign w:val="bottom"/>
            <w:hideMark/>
          </w:tcPr>
          <w:p w14:paraId="6D5FC13E" w14:textId="77777777" w:rsidR="00495E06" w:rsidRPr="00495E06" w:rsidRDefault="00495E06" w:rsidP="005353E5">
            <w:pPr>
              <w:jc w:val="center"/>
              <w:rPr>
                <w:rFonts w:cstheme="minorHAnsi"/>
                <w:color w:val="000000"/>
                <w:sz w:val="20"/>
                <w:szCs w:val="20"/>
              </w:rPr>
            </w:pPr>
            <w:r w:rsidRPr="00495E06">
              <w:rPr>
                <w:rFonts w:cstheme="minorHAnsi"/>
                <w:color w:val="000000"/>
                <w:sz w:val="20"/>
                <w:szCs w:val="20"/>
              </w:rPr>
              <w:t>X</w:t>
            </w:r>
          </w:p>
        </w:tc>
      </w:tr>
      <w:tr w:rsidR="00495E06" w:rsidRPr="00047B1F" w14:paraId="3B48A46E" w14:textId="77777777" w:rsidTr="008131CF">
        <w:trPr>
          <w:trHeight w:val="278"/>
        </w:trPr>
        <w:tc>
          <w:tcPr>
            <w:tcW w:w="797" w:type="pct"/>
            <w:vMerge/>
            <w:shd w:val="clear" w:color="auto" w:fill="C5E0B3" w:themeFill="accent6" w:themeFillTint="66"/>
          </w:tcPr>
          <w:p w14:paraId="51D7DD18" w14:textId="77777777" w:rsidR="00495E06" w:rsidRPr="00FF1FCF" w:rsidRDefault="00495E06" w:rsidP="00495E06">
            <w:pPr>
              <w:spacing w:after="0" w:line="240" w:lineRule="auto"/>
              <w:rPr>
                <w:rFonts w:ascii="Times New Roman" w:hAnsi="Times New Roman" w:cs="Times New Roman"/>
                <w:sz w:val="24"/>
                <w:szCs w:val="24"/>
              </w:rPr>
            </w:pPr>
          </w:p>
        </w:tc>
        <w:tc>
          <w:tcPr>
            <w:tcW w:w="3226" w:type="pct"/>
            <w:shd w:val="clear" w:color="auto" w:fill="auto"/>
          </w:tcPr>
          <w:p w14:paraId="6149B470" w14:textId="77777777" w:rsidR="00495E06" w:rsidRPr="00495E06" w:rsidRDefault="00495E06" w:rsidP="00495E06">
            <w:pPr>
              <w:spacing w:after="0" w:line="240" w:lineRule="auto"/>
              <w:rPr>
                <w:rFonts w:cstheme="minorHAnsi"/>
                <w:sz w:val="20"/>
                <w:szCs w:val="20"/>
              </w:rPr>
            </w:pPr>
            <w:r w:rsidRPr="00495E06">
              <w:rPr>
                <w:rFonts w:cstheme="minorHAnsi"/>
                <w:sz w:val="20"/>
                <w:szCs w:val="20"/>
              </w:rPr>
              <w:t>Fortalecimiento del sistema de información SUMEVE, para pruebas rápidas, carga viral y CD4, y su aplicación en los establecimientos de salud a través de desarrollo de capacidades.</w:t>
            </w:r>
          </w:p>
        </w:tc>
        <w:tc>
          <w:tcPr>
            <w:tcW w:w="194" w:type="pct"/>
            <w:shd w:val="clear" w:color="auto" w:fill="auto"/>
            <w:vAlign w:val="bottom"/>
          </w:tcPr>
          <w:p w14:paraId="639C1AE8"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76C11789"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68B0DA21"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63AD0B76"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200" w:type="pct"/>
            <w:shd w:val="clear" w:color="auto" w:fill="auto"/>
            <w:vAlign w:val="bottom"/>
          </w:tcPr>
          <w:p w14:paraId="009DA828"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r>
      <w:tr w:rsidR="00495E06" w:rsidRPr="00047B1F" w14:paraId="341C475A" w14:textId="77777777" w:rsidTr="008131CF">
        <w:trPr>
          <w:trHeight w:val="278"/>
        </w:trPr>
        <w:tc>
          <w:tcPr>
            <w:tcW w:w="797" w:type="pct"/>
            <w:vMerge/>
            <w:shd w:val="clear" w:color="auto" w:fill="C5E0B3" w:themeFill="accent6" w:themeFillTint="66"/>
          </w:tcPr>
          <w:p w14:paraId="6CD8D5A5" w14:textId="77777777" w:rsidR="00495E06" w:rsidRPr="00FF1FCF" w:rsidRDefault="00495E06" w:rsidP="00495E06">
            <w:pPr>
              <w:spacing w:after="0" w:line="240" w:lineRule="auto"/>
              <w:rPr>
                <w:rFonts w:ascii="Times New Roman" w:hAnsi="Times New Roman" w:cs="Times New Roman"/>
                <w:sz w:val="24"/>
                <w:szCs w:val="24"/>
              </w:rPr>
            </w:pPr>
          </w:p>
        </w:tc>
        <w:tc>
          <w:tcPr>
            <w:tcW w:w="3226" w:type="pct"/>
            <w:shd w:val="clear" w:color="auto" w:fill="auto"/>
          </w:tcPr>
          <w:p w14:paraId="5588FD65" w14:textId="77777777" w:rsidR="00495E06" w:rsidRPr="00495E06" w:rsidRDefault="00495E06" w:rsidP="00495E06">
            <w:pPr>
              <w:spacing w:after="0" w:line="240" w:lineRule="auto"/>
              <w:rPr>
                <w:rFonts w:cstheme="minorHAnsi"/>
                <w:sz w:val="20"/>
                <w:szCs w:val="20"/>
              </w:rPr>
            </w:pPr>
            <w:r w:rsidRPr="00495E06">
              <w:rPr>
                <w:rFonts w:cstheme="minorHAnsi"/>
                <w:sz w:val="20"/>
                <w:szCs w:val="20"/>
              </w:rPr>
              <w:t>Fortalecimiento del sistema de información SINAB, para medicinas, y su aplicación en los establecimientos de salud a través de desarrollo de capacidades.</w:t>
            </w:r>
          </w:p>
        </w:tc>
        <w:tc>
          <w:tcPr>
            <w:tcW w:w="194" w:type="pct"/>
            <w:shd w:val="clear" w:color="auto" w:fill="auto"/>
            <w:vAlign w:val="bottom"/>
          </w:tcPr>
          <w:p w14:paraId="036DFF9C"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2DF3B713"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79C31E9A"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4D79FDD2"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200" w:type="pct"/>
            <w:shd w:val="clear" w:color="auto" w:fill="auto"/>
            <w:vAlign w:val="bottom"/>
          </w:tcPr>
          <w:p w14:paraId="5C0B2F23"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r>
      <w:tr w:rsidR="00495E06" w:rsidRPr="00047B1F" w14:paraId="1D80FFBA" w14:textId="77777777" w:rsidTr="008131CF">
        <w:trPr>
          <w:trHeight w:val="278"/>
        </w:trPr>
        <w:tc>
          <w:tcPr>
            <w:tcW w:w="797" w:type="pct"/>
            <w:vMerge/>
            <w:shd w:val="clear" w:color="auto" w:fill="C5E0B3" w:themeFill="accent6" w:themeFillTint="66"/>
          </w:tcPr>
          <w:p w14:paraId="3BEA2847" w14:textId="77777777" w:rsidR="00495E06" w:rsidRPr="00FF1FCF" w:rsidRDefault="00495E06" w:rsidP="00495E06">
            <w:pPr>
              <w:spacing w:after="0" w:line="240" w:lineRule="auto"/>
              <w:rPr>
                <w:rFonts w:ascii="Times New Roman" w:hAnsi="Times New Roman" w:cs="Times New Roman"/>
                <w:sz w:val="24"/>
                <w:szCs w:val="24"/>
              </w:rPr>
            </w:pPr>
          </w:p>
        </w:tc>
        <w:tc>
          <w:tcPr>
            <w:tcW w:w="3226" w:type="pct"/>
            <w:shd w:val="clear" w:color="auto" w:fill="auto"/>
          </w:tcPr>
          <w:p w14:paraId="21180ACE" w14:textId="77777777" w:rsidR="00495E06" w:rsidRPr="00495E06" w:rsidRDefault="00495E06" w:rsidP="00495E06">
            <w:pPr>
              <w:spacing w:after="0" w:line="240" w:lineRule="auto"/>
              <w:rPr>
                <w:rFonts w:cstheme="minorHAnsi"/>
                <w:sz w:val="20"/>
                <w:szCs w:val="20"/>
              </w:rPr>
            </w:pPr>
            <w:r w:rsidRPr="00495E06">
              <w:rPr>
                <w:rFonts w:cstheme="minorHAnsi"/>
                <w:sz w:val="20"/>
                <w:szCs w:val="20"/>
              </w:rPr>
              <w:t>Medición y análisis del Gasto Sida; monitoreo de fuentes y tendencias de financiamiento y uso de los recursos domésticos y públicos.</w:t>
            </w:r>
          </w:p>
        </w:tc>
        <w:tc>
          <w:tcPr>
            <w:tcW w:w="194" w:type="pct"/>
            <w:shd w:val="clear" w:color="auto" w:fill="auto"/>
            <w:vAlign w:val="bottom"/>
          </w:tcPr>
          <w:p w14:paraId="3263409A"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24B21D87"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602385C1"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4DCF226A"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200" w:type="pct"/>
            <w:shd w:val="clear" w:color="auto" w:fill="auto"/>
            <w:vAlign w:val="bottom"/>
          </w:tcPr>
          <w:p w14:paraId="1E682C87"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r>
      <w:tr w:rsidR="00495E06" w:rsidRPr="00047B1F" w14:paraId="4233ECBF" w14:textId="77777777" w:rsidTr="008131CF">
        <w:trPr>
          <w:trHeight w:val="278"/>
        </w:trPr>
        <w:tc>
          <w:tcPr>
            <w:tcW w:w="797" w:type="pct"/>
            <w:vMerge/>
            <w:shd w:val="clear" w:color="auto" w:fill="C5E0B3" w:themeFill="accent6" w:themeFillTint="66"/>
          </w:tcPr>
          <w:p w14:paraId="78DF3D63" w14:textId="77777777" w:rsidR="00495E06" w:rsidRPr="00FF1FCF" w:rsidRDefault="00495E06" w:rsidP="00495E06">
            <w:pPr>
              <w:spacing w:after="0" w:line="240" w:lineRule="auto"/>
              <w:rPr>
                <w:rFonts w:ascii="Times New Roman" w:hAnsi="Times New Roman" w:cs="Times New Roman"/>
                <w:sz w:val="24"/>
                <w:szCs w:val="24"/>
              </w:rPr>
            </w:pPr>
          </w:p>
        </w:tc>
        <w:tc>
          <w:tcPr>
            <w:tcW w:w="3226" w:type="pct"/>
            <w:shd w:val="clear" w:color="auto" w:fill="auto"/>
          </w:tcPr>
          <w:p w14:paraId="2742EF5C" w14:textId="77777777" w:rsidR="00495E06" w:rsidRPr="00495E06" w:rsidRDefault="00495E06" w:rsidP="00495E06">
            <w:pPr>
              <w:spacing w:after="0" w:line="240" w:lineRule="auto"/>
              <w:rPr>
                <w:rFonts w:cstheme="minorHAnsi"/>
                <w:sz w:val="20"/>
                <w:szCs w:val="20"/>
              </w:rPr>
            </w:pPr>
            <w:r w:rsidRPr="00495E06">
              <w:rPr>
                <w:rFonts w:cstheme="minorHAnsi"/>
                <w:sz w:val="20"/>
                <w:szCs w:val="20"/>
              </w:rPr>
              <w:t>Análisis e información sobre tendencias en el financiamiento de salud y VIH, y proyección de escenarios para VIH acorde situación macroeconómica.</w:t>
            </w:r>
          </w:p>
        </w:tc>
        <w:tc>
          <w:tcPr>
            <w:tcW w:w="194" w:type="pct"/>
            <w:shd w:val="clear" w:color="auto" w:fill="auto"/>
            <w:vAlign w:val="bottom"/>
          </w:tcPr>
          <w:p w14:paraId="4DE56195"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73DD5DB4"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0E60B4A9"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2EFF6B06"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200" w:type="pct"/>
            <w:shd w:val="clear" w:color="auto" w:fill="auto"/>
            <w:vAlign w:val="bottom"/>
          </w:tcPr>
          <w:p w14:paraId="17B97E6D"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r>
      <w:tr w:rsidR="00495E06" w:rsidRPr="00047B1F" w14:paraId="1E335319" w14:textId="77777777" w:rsidTr="008131CF">
        <w:trPr>
          <w:trHeight w:val="278"/>
        </w:trPr>
        <w:tc>
          <w:tcPr>
            <w:tcW w:w="797" w:type="pct"/>
            <w:vMerge/>
            <w:shd w:val="clear" w:color="auto" w:fill="C5E0B3" w:themeFill="accent6" w:themeFillTint="66"/>
          </w:tcPr>
          <w:p w14:paraId="5D0E2A5C" w14:textId="77777777" w:rsidR="00495E06" w:rsidRPr="00FF1FCF" w:rsidRDefault="00495E06" w:rsidP="00495E06">
            <w:pPr>
              <w:spacing w:after="0" w:line="240" w:lineRule="auto"/>
              <w:rPr>
                <w:rFonts w:ascii="Times New Roman" w:hAnsi="Times New Roman" w:cs="Times New Roman"/>
                <w:sz w:val="24"/>
                <w:szCs w:val="24"/>
              </w:rPr>
            </w:pPr>
          </w:p>
        </w:tc>
        <w:tc>
          <w:tcPr>
            <w:tcW w:w="3226" w:type="pct"/>
            <w:shd w:val="clear" w:color="auto" w:fill="auto"/>
          </w:tcPr>
          <w:p w14:paraId="037BF680" w14:textId="77777777" w:rsidR="00495E06" w:rsidRPr="00495E06" w:rsidRDefault="00495E06" w:rsidP="00495E06">
            <w:pPr>
              <w:spacing w:after="0" w:line="240" w:lineRule="auto"/>
              <w:rPr>
                <w:rFonts w:cstheme="minorHAnsi"/>
                <w:sz w:val="20"/>
                <w:szCs w:val="20"/>
              </w:rPr>
            </w:pPr>
            <w:r w:rsidRPr="00495E06">
              <w:rPr>
                <w:rFonts w:cstheme="minorHAnsi"/>
                <w:sz w:val="20"/>
                <w:szCs w:val="20"/>
              </w:rPr>
              <w:t>Análisis de presupuesto y ciclos presupuestarios incluyendo la asignación, desembolso y ejecución para VIH; generar evidencia para incidir en la gestión de presupuesto y promover la ejecución oportuna y eficiente.</w:t>
            </w:r>
          </w:p>
        </w:tc>
        <w:tc>
          <w:tcPr>
            <w:tcW w:w="194" w:type="pct"/>
            <w:shd w:val="clear" w:color="auto" w:fill="auto"/>
            <w:vAlign w:val="bottom"/>
          </w:tcPr>
          <w:p w14:paraId="45AC2F44"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799E2854"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437E1C8C"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5819EE6A"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200" w:type="pct"/>
            <w:shd w:val="clear" w:color="auto" w:fill="auto"/>
            <w:vAlign w:val="bottom"/>
          </w:tcPr>
          <w:p w14:paraId="75DC4440"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r>
      <w:tr w:rsidR="00495E06" w:rsidRPr="00047B1F" w14:paraId="7B5E54AD" w14:textId="77777777" w:rsidTr="008131CF">
        <w:trPr>
          <w:trHeight w:val="278"/>
        </w:trPr>
        <w:tc>
          <w:tcPr>
            <w:tcW w:w="797" w:type="pct"/>
            <w:vMerge/>
            <w:shd w:val="clear" w:color="auto" w:fill="C5E0B3" w:themeFill="accent6" w:themeFillTint="66"/>
          </w:tcPr>
          <w:p w14:paraId="3207A5B3" w14:textId="77777777" w:rsidR="00495E06" w:rsidRPr="00FF1FCF" w:rsidRDefault="00495E06" w:rsidP="005353E5">
            <w:pPr>
              <w:spacing w:after="0" w:line="240" w:lineRule="auto"/>
              <w:rPr>
                <w:rFonts w:ascii="Times New Roman" w:hAnsi="Times New Roman" w:cs="Times New Roman"/>
                <w:sz w:val="24"/>
                <w:szCs w:val="24"/>
              </w:rPr>
            </w:pPr>
          </w:p>
        </w:tc>
        <w:tc>
          <w:tcPr>
            <w:tcW w:w="3226" w:type="pct"/>
            <w:shd w:val="clear" w:color="auto" w:fill="auto"/>
          </w:tcPr>
          <w:p w14:paraId="6A6C7FAB" w14:textId="77777777" w:rsidR="00495E06" w:rsidRPr="00495E06" w:rsidRDefault="00495E06" w:rsidP="005353E5">
            <w:pPr>
              <w:spacing w:after="0" w:line="240" w:lineRule="auto"/>
              <w:rPr>
                <w:rFonts w:cstheme="minorHAnsi"/>
                <w:sz w:val="20"/>
                <w:szCs w:val="20"/>
              </w:rPr>
            </w:pPr>
            <w:r w:rsidRPr="00495E06">
              <w:rPr>
                <w:rFonts w:cstheme="minorHAnsi"/>
                <w:sz w:val="20"/>
                <w:szCs w:val="20"/>
              </w:rPr>
              <w:t>Estudios económicos y de costo efectividad; marco de inversión y modelaje de políticas en GOALS; estimación de número de nuevas infecciones y defunciones evitables; escenarios de tiempo y recursos para alcanzar el control de la   epidemia.</w:t>
            </w:r>
          </w:p>
        </w:tc>
        <w:tc>
          <w:tcPr>
            <w:tcW w:w="194" w:type="pct"/>
            <w:shd w:val="clear" w:color="auto" w:fill="auto"/>
            <w:vAlign w:val="bottom"/>
          </w:tcPr>
          <w:p w14:paraId="5F6AB370" w14:textId="77777777" w:rsidR="00495E06" w:rsidRPr="00495E06" w:rsidRDefault="00495E06" w:rsidP="005353E5">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1B72B43E" w14:textId="77777777" w:rsidR="00495E06" w:rsidRPr="00495E06" w:rsidRDefault="00495E06" w:rsidP="005353E5">
            <w:pPr>
              <w:jc w:val="center"/>
              <w:rPr>
                <w:rFonts w:cstheme="minorHAnsi"/>
                <w:color w:val="000000"/>
                <w:sz w:val="20"/>
                <w:szCs w:val="20"/>
              </w:rPr>
            </w:pPr>
          </w:p>
        </w:tc>
        <w:tc>
          <w:tcPr>
            <w:tcW w:w="194" w:type="pct"/>
            <w:shd w:val="clear" w:color="auto" w:fill="auto"/>
            <w:vAlign w:val="bottom"/>
          </w:tcPr>
          <w:p w14:paraId="1A797F39" w14:textId="77777777" w:rsidR="00495E06" w:rsidRPr="00495E06" w:rsidRDefault="00495E06" w:rsidP="005353E5">
            <w:pPr>
              <w:jc w:val="center"/>
              <w:rPr>
                <w:rFonts w:cstheme="minorHAnsi"/>
                <w:color w:val="000000"/>
                <w:sz w:val="20"/>
                <w:szCs w:val="20"/>
              </w:rPr>
            </w:pPr>
          </w:p>
        </w:tc>
        <w:tc>
          <w:tcPr>
            <w:tcW w:w="194" w:type="pct"/>
            <w:shd w:val="clear" w:color="auto" w:fill="auto"/>
            <w:vAlign w:val="bottom"/>
          </w:tcPr>
          <w:p w14:paraId="4212793C" w14:textId="77777777" w:rsidR="00495E06" w:rsidRPr="00495E06" w:rsidRDefault="00495E06" w:rsidP="005353E5">
            <w:pPr>
              <w:jc w:val="center"/>
              <w:rPr>
                <w:rFonts w:cstheme="minorHAnsi"/>
                <w:color w:val="000000"/>
                <w:sz w:val="20"/>
                <w:szCs w:val="20"/>
              </w:rPr>
            </w:pPr>
          </w:p>
        </w:tc>
        <w:tc>
          <w:tcPr>
            <w:tcW w:w="200" w:type="pct"/>
            <w:shd w:val="clear" w:color="auto" w:fill="auto"/>
            <w:vAlign w:val="bottom"/>
          </w:tcPr>
          <w:p w14:paraId="59C1D03B" w14:textId="77777777" w:rsidR="00495E06" w:rsidRPr="00495E06" w:rsidRDefault="00495E06" w:rsidP="005353E5">
            <w:pPr>
              <w:jc w:val="center"/>
              <w:rPr>
                <w:rFonts w:cstheme="minorHAnsi"/>
                <w:color w:val="000000"/>
                <w:sz w:val="20"/>
                <w:szCs w:val="20"/>
              </w:rPr>
            </w:pPr>
          </w:p>
        </w:tc>
      </w:tr>
      <w:tr w:rsidR="00495E06" w:rsidRPr="00047B1F" w14:paraId="26D339AB" w14:textId="77777777" w:rsidTr="008131CF">
        <w:trPr>
          <w:trHeight w:val="278"/>
        </w:trPr>
        <w:tc>
          <w:tcPr>
            <w:tcW w:w="797" w:type="pct"/>
            <w:vMerge/>
            <w:shd w:val="clear" w:color="auto" w:fill="C5E0B3" w:themeFill="accent6" w:themeFillTint="66"/>
          </w:tcPr>
          <w:p w14:paraId="6CE36A9B" w14:textId="77777777" w:rsidR="00495E06" w:rsidRPr="00E46871" w:rsidRDefault="00495E06" w:rsidP="00495E06">
            <w:pPr>
              <w:spacing w:after="0" w:line="240" w:lineRule="auto"/>
              <w:rPr>
                <w:rFonts w:ascii="Times New Roman" w:hAnsi="Times New Roman" w:cs="Times New Roman"/>
                <w:sz w:val="24"/>
                <w:szCs w:val="24"/>
              </w:rPr>
            </w:pPr>
          </w:p>
        </w:tc>
        <w:tc>
          <w:tcPr>
            <w:tcW w:w="3226" w:type="pct"/>
            <w:shd w:val="clear" w:color="auto" w:fill="auto"/>
          </w:tcPr>
          <w:p w14:paraId="6B7D9C97" w14:textId="77777777" w:rsidR="00495E06" w:rsidRPr="00495E06" w:rsidRDefault="00495E06" w:rsidP="00495E06">
            <w:pPr>
              <w:spacing w:after="0" w:line="240" w:lineRule="auto"/>
              <w:rPr>
                <w:rFonts w:cstheme="minorHAnsi"/>
                <w:sz w:val="20"/>
                <w:szCs w:val="20"/>
              </w:rPr>
            </w:pPr>
            <w:r w:rsidRPr="00495E06">
              <w:rPr>
                <w:rFonts w:cstheme="minorHAnsi"/>
                <w:sz w:val="20"/>
                <w:szCs w:val="20"/>
              </w:rPr>
              <w:t>Uso de datos para la abogacía y toma de decisiones.</w:t>
            </w:r>
          </w:p>
        </w:tc>
        <w:tc>
          <w:tcPr>
            <w:tcW w:w="194" w:type="pct"/>
            <w:shd w:val="clear" w:color="auto" w:fill="auto"/>
            <w:vAlign w:val="bottom"/>
          </w:tcPr>
          <w:p w14:paraId="4CED366E"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434DF141"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202D158B"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7CA0418C"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200" w:type="pct"/>
            <w:shd w:val="clear" w:color="auto" w:fill="auto"/>
            <w:vAlign w:val="bottom"/>
          </w:tcPr>
          <w:p w14:paraId="2AFF7FB6"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r>
      <w:tr w:rsidR="00495E06" w:rsidRPr="00047B1F" w14:paraId="1B211D5C" w14:textId="77777777" w:rsidTr="008131CF">
        <w:trPr>
          <w:trHeight w:val="278"/>
        </w:trPr>
        <w:tc>
          <w:tcPr>
            <w:tcW w:w="797" w:type="pct"/>
            <w:vMerge/>
            <w:shd w:val="clear" w:color="auto" w:fill="C5E0B3" w:themeFill="accent6" w:themeFillTint="66"/>
          </w:tcPr>
          <w:p w14:paraId="105812B7" w14:textId="77777777" w:rsidR="00495E06" w:rsidRPr="00E46871" w:rsidRDefault="00495E06" w:rsidP="00495E06">
            <w:pPr>
              <w:spacing w:after="0" w:line="240" w:lineRule="auto"/>
              <w:rPr>
                <w:rFonts w:ascii="Times New Roman" w:hAnsi="Times New Roman" w:cs="Times New Roman"/>
                <w:sz w:val="24"/>
                <w:szCs w:val="24"/>
              </w:rPr>
            </w:pPr>
          </w:p>
        </w:tc>
        <w:tc>
          <w:tcPr>
            <w:tcW w:w="3226" w:type="pct"/>
            <w:shd w:val="clear" w:color="auto" w:fill="auto"/>
          </w:tcPr>
          <w:p w14:paraId="1DD2B5CC" w14:textId="77777777" w:rsidR="00495E06" w:rsidRPr="00495E06" w:rsidRDefault="00495E06" w:rsidP="00495E06">
            <w:pPr>
              <w:spacing w:after="0" w:line="240" w:lineRule="auto"/>
              <w:rPr>
                <w:rFonts w:cstheme="minorHAnsi"/>
                <w:sz w:val="20"/>
                <w:szCs w:val="20"/>
              </w:rPr>
            </w:pPr>
            <w:r w:rsidRPr="00495E06">
              <w:rPr>
                <w:rFonts w:cstheme="minorHAnsi"/>
                <w:sz w:val="20"/>
                <w:szCs w:val="20"/>
              </w:rPr>
              <w:t>Inventario de informes y bases de datos de encuestas y vigilancia de VIH actualizado.</w:t>
            </w:r>
          </w:p>
        </w:tc>
        <w:tc>
          <w:tcPr>
            <w:tcW w:w="194" w:type="pct"/>
            <w:shd w:val="clear" w:color="auto" w:fill="auto"/>
            <w:vAlign w:val="bottom"/>
          </w:tcPr>
          <w:p w14:paraId="3795193E"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6DF639F6"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1A1A756D"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04178F2C"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200" w:type="pct"/>
            <w:shd w:val="clear" w:color="auto" w:fill="auto"/>
            <w:vAlign w:val="bottom"/>
          </w:tcPr>
          <w:p w14:paraId="16DC43C8"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r>
      <w:tr w:rsidR="00495E06" w:rsidRPr="00047B1F" w14:paraId="5C4979EB" w14:textId="77777777" w:rsidTr="008131CF">
        <w:trPr>
          <w:trHeight w:val="278"/>
        </w:trPr>
        <w:tc>
          <w:tcPr>
            <w:tcW w:w="797" w:type="pct"/>
            <w:vMerge/>
            <w:shd w:val="clear" w:color="auto" w:fill="C5E0B3" w:themeFill="accent6" w:themeFillTint="66"/>
          </w:tcPr>
          <w:p w14:paraId="607013C2" w14:textId="77777777" w:rsidR="00495E06" w:rsidRPr="00E46871" w:rsidRDefault="00495E06" w:rsidP="00495E06">
            <w:pPr>
              <w:spacing w:after="0" w:line="240" w:lineRule="auto"/>
              <w:rPr>
                <w:rFonts w:ascii="Times New Roman" w:hAnsi="Times New Roman" w:cs="Times New Roman"/>
                <w:sz w:val="24"/>
                <w:szCs w:val="24"/>
              </w:rPr>
            </w:pPr>
          </w:p>
        </w:tc>
        <w:tc>
          <w:tcPr>
            <w:tcW w:w="3226" w:type="pct"/>
            <w:shd w:val="clear" w:color="auto" w:fill="auto"/>
          </w:tcPr>
          <w:p w14:paraId="46B2E24D" w14:textId="77777777" w:rsidR="00495E06" w:rsidRPr="00495E06" w:rsidRDefault="00495E06" w:rsidP="00495E06">
            <w:pPr>
              <w:spacing w:after="0" w:line="240" w:lineRule="auto"/>
              <w:rPr>
                <w:rFonts w:cstheme="minorHAnsi"/>
                <w:sz w:val="20"/>
                <w:szCs w:val="20"/>
              </w:rPr>
            </w:pPr>
            <w:r w:rsidRPr="00495E06">
              <w:rPr>
                <w:rFonts w:cstheme="minorHAnsi"/>
                <w:sz w:val="20"/>
                <w:szCs w:val="20"/>
              </w:rPr>
              <w:t>Análisis de datos de VIH y desarrollar estándares de uso.</w:t>
            </w:r>
          </w:p>
        </w:tc>
        <w:tc>
          <w:tcPr>
            <w:tcW w:w="194" w:type="pct"/>
            <w:shd w:val="clear" w:color="auto" w:fill="auto"/>
            <w:vAlign w:val="bottom"/>
          </w:tcPr>
          <w:p w14:paraId="57A0823B"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43B0FE9B"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78244CBB"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23A0ACA1"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200" w:type="pct"/>
            <w:shd w:val="clear" w:color="auto" w:fill="auto"/>
            <w:vAlign w:val="bottom"/>
          </w:tcPr>
          <w:p w14:paraId="660B585B"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r>
      <w:tr w:rsidR="00495E06" w:rsidRPr="00047B1F" w14:paraId="51257D87" w14:textId="77777777" w:rsidTr="008131CF">
        <w:trPr>
          <w:trHeight w:val="278"/>
        </w:trPr>
        <w:tc>
          <w:tcPr>
            <w:tcW w:w="797" w:type="pct"/>
            <w:vMerge/>
            <w:shd w:val="clear" w:color="auto" w:fill="C5E0B3" w:themeFill="accent6" w:themeFillTint="66"/>
          </w:tcPr>
          <w:p w14:paraId="09D70491" w14:textId="77777777" w:rsidR="00495E06" w:rsidRPr="00AC70DD" w:rsidRDefault="00495E06" w:rsidP="00495E06">
            <w:pPr>
              <w:spacing w:after="0" w:line="240" w:lineRule="auto"/>
              <w:rPr>
                <w:rFonts w:ascii="Times New Roman" w:hAnsi="Times New Roman" w:cs="Times New Roman"/>
                <w:sz w:val="24"/>
                <w:szCs w:val="24"/>
              </w:rPr>
            </w:pPr>
          </w:p>
        </w:tc>
        <w:tc>
          <w:tcPr>
            <w:tcW w:w="3226" w:type="pct"/>
            <w:shd w:val="clear" w:color="auto" w:fill="auto"/>
          </w:tcPr>
          <w:p w14:paraId="18D6DA23" w14:textId="77777777" w:rsidR="00495E06" w:rsidRPr="00495E06" w:rsidRDefault="00495E06" w:rsidP="00495E06">
            <w:pPr>
              <w:spacing w:after="0" w:line="240" w:lineRule="auto"/>
              <w:rPr>
                <w:rFonts w:cstheme="minorHAnsi"/>
                <w:sz w:val="20"/>
                <w:szCs w:val="20"/>
              </w:rPr>
            </w:pPr>
            <w:r w:rsidRPr="00495E06">
              <w:rPr>
                <w:rFonts w:cstheme="minorHAnsi"/>
                <w:sz w:val="20"/>
                <w:szCs w:val="20"/>
              </w:rPr>
              <w:t>Elaboración del Directorio de actores clave nacionales y regionales para el VIH.</w:t>
            </w:r>
          </w:p>
        </w:tc>
        <w:tc>
          <w:tcPr>
            <w:tcW w:w="194" w:type="pct"/>
            <w:shd w:val="clear" w:color="auto" w:fill="auto"/>
            <w:vAlign w:val="bottom"/>
          </w:tcPr>
          <w:p w14:paraId="057B31AE"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622DA631"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0C4D98AB"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194" w:type="pct"/>
            <w:shd w:val="clear" w:color="auto" w:fill="auto"/>
            <w:vAlign w:val="bottom"/>
          </w:tcPr>
          <w:p w14:paraId="17E69D0F"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c>
          <w:tcPr>
            <w:tcW w:w="200" w:type="pct"/>
            <w:shd w:val="clear" w:color="auto" w:fill="auto"/>
            <w:vAlign w:val="bottom"/>
          </w:tcPr>
          <w:p w14:paraId="05240020" w14:textId="77777777" w:rsidR="00495E06" w:rsidRPr="00495E06" w:rsidRDefault="00495E06" w:rsidP="00495E06">
            <w:pPr>
              <w:jc w:val="center"/>
              <w:rPr>
                <w:rFonts w:cstheme="minorHAnsi"/>
                <w:color w:val="000000"/>
                <w:sz w:val="20"/>
                <w:szCs w:val="20"/>
              </w:rPr>
            </w:pPr>
            <w:r w:rsidRPr="00495E06">
              <w:rPr>
                <w:rFonts w:cstheme="minorHAnsi"/>
                <w:color w:val="000000"/>
                <w:sz w:val="20"/>
                <w:szCs w:val="20"/>
              </w:rPr>
              <w:t>X</w:t>
            </w:r>
          </w:p>
        </w:tc>
      </w:tr>
      <w:tr w:rsidR="00495E06" w:rsidRPr="00047B1F" w14:paraId="76E16A6D" w14:textId="77777777" w:rsidTr="008131CF">
        <w:trPr>
          <w:trHeight w:val="278"/>
        </w:trPr>
        <w:tc>
          <w:tcPr>
            <w:tcW w:w="797" w:type="pct"/>
            <w:vMerge/>
            <w:shd w:val="clear" w:color="auto" w:fill="C5E0B3" w:themeFill="accent6" w:themeFillTint="66"/>
          </w:tcPr>
          <w:p w14:paraId="264D7CD6" w14:textId="77777777" w:rsidR="00495E06" w:rsidRPr="00AC70DD" w:rsidRDefault="00495E06" w:rsidP="005353E5">
            <w:pPr>
              <w:spacing w:after="0" w:line="240" w:lineRule="auto"/>
              <w:rPr>
                <w:rFonts w:ascii="Times New Roman" w:hAnsi="Times New Roman" w:cs="Times New Roman"/>
                <w:sz w:val="24"/>
                <w:szCs w:val="24"/>
              </w:rPr>
            </w:pPr>
          </w:p>
        </w:tc>
        <w:tc>
          <w:tcPr>
            <w:tcW w:w="3226" w:type="pct"/>
            <w:shd w:val="clear" w:color="auto" w:fill="auto"/>
          </w:tcPr>
          <w:p w14:paraId="05BADA96" w14:textId="77777777" w:rsidR="00495E06" w:rsidRPr="00495E06" w:rsidRDefault="00495E06" w:rsidP="005353E5">
            <w:pPr>
              <w:spacing w:after="0" w:line="240" w:lineRule="auto"/>
              <w:rPr>
                <w:rFonts w:cstheme="minorHAnsi"/>
                <w:sz w:val="20"/>
                <w:szCs w:val="20"/>
              </w:rPr>
            </w:pPr>
            <w:r w:rsidRPr="00495E06">
              <w:rPr>
                <w:rFonts w:cstheme="minorHAnsi"/>
                <w:sz w:val="20"/>
                <w:szCs w:val="20"/>
              </w:rPr>
              <w:t>Desarrollo del Currículo para M&amp;E de VIH.</w:t>
            </w:r>
          </w:p>
        </w:tc>
        <w:tc>
          <w:tcPr>
            <w:tcW w:w="194" w:type="pct"/>
            <w:shd w:val="clear" w:color="auto" w:fill="auto"/>
            <w:vAlign w:val="bottom"/>
          </w:tcPr>
          <w:p w14:paraId="6C6072D9" w14:textId="77777777" w:rsidR="00495E06" w:rsidRPr="00495E06" w:rsidRDefault="00495E06" w:rsidP="005353E5">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4B22DE2D" w14:textId="77777777" w:rsidR="00495E06" w:rsidRPr="00495E06" w:rsidRDefault="00495E06" w:rsidP="005353E5">
            <w:pPr>
              <w:jc w:val="center"/>
              <w:rPr>
                <w:rFonts w:cstheme="minorHAnsi"/>
                <w:color w:val="000000"/>
                <w:sz w:val="20"/>
                <w:szCs w:val="20"/>
              </w:rPr>
            </w:pPr>
          </w:p>
        </w:tc>
        <w:tc>
          <w:tcPr>
            <w:tcW w:w="194" w:type="pct"/>
            <w:shd w:val="clear" w:color="auto" w:fill="auto"/>
            <w:vAlign w:val="bottom"/>
          </w:tcPr>
          <w:p w14:paraId="13B23B31" w14:textId="77777777" w:rsidR="00495E06" w:rsidRPr="00495E06" w:rsidRDefault="00495E06" w:rsidP="005353E5">
            <w:pPr>
              <w:jc w:val="center"/>
              <w:rPr>
                <w:rFonts w:cstheme="minorHAnsi"/>
                <w:color w:val="000000"/>
                <w:sz w:val="20"/>
                <w:szCs w:val="20"/>
              </w:rPr>
            </w:pPr>
          </w:p>
        </w:tc>
        <w:tc>
          <w:tcPr>
            <w:tcW w:w="194" w:type="pct"/>
            <w:shd w:val="clear" w:color="auto" w:fill="auto"/>
            <w:vAlign w:val="bottom"/>
          </w:tcPr>
          <w:p w14:paraId="37958E49" w14:textId="77777777" w:rsidR="00495E06" w:rsidRPr="00495E06" w:rsidRDefault="00495E06" w:rsidP="005353E5">
            <w:pPr>
              <w:jc w:val="center"/>
              <w:rPr>
                <w:rFonts w:cstheme="minorHAnsi"/>
                <w:color w:val="000000"/>
                <w:sz w:val="20"/>
                <w:szCs w:val="20"/>
              </w:rPr>
            </w:pPr>
          </w:p>
        </w:tc>
        <w:tc>
          <w:tcPr>
            <w:tcW w:w="200" w:type="pct"/>
            <w:shd w:val="clear" w:color="auto" w:fill="auto"/>
            <w:vAlign w:val="bottom"/>
          </w:tcPr>
          <w:p w14:paraId="7F8044EE" w14:textId="77777777" w:rsidR="00495E06" w:rsidRPr="00495E06" w:rsidRDefault="00495E06" w:rsidP="005353E5">
            <w:pPr>
              <w:jc w:val="center"/>
              <w:rPr>
                <w:rFonts w:cstheme="minorHAnsi"/>
                <w:color w:val="000000"/>
                <w:sz w:val="20"/>
                <w:szCs w:val="20"/>
              </w:rPr>
            </w:pPr>
          </w:p>
        </w:tc>
      </w:tr>
      <w:tr w:rsidR="00495E06" w:rsidRPr="00047B1F" w14:paraId="44CE6BC0" w14:textId="77777777" w:rsidTr="008131CF">
        <w:trPr>
          <w:trHeight w:val="278"/>
        </w:trPr>
        <w:tc>
          <w:tcPr>
            <w:tcW w:w="797" w:type="pct"/>
            <w:vMerge/>
            <w:shd w:val="clear" w:color="auto" w:fill="C5E0B3" w:themeFill="accent6" w:themeFillTint="66"/>
          </w:tcPr>
          <w:p w14:paraId="40BCBD20" w14:textId="77777777" w:rsidR="00495E06" w:rsidRPr="000E10DD" w:rsidRDefault="00495E06" w:rsidP="00495E06">
            <w:pPr>
              <w:spacing w:after="0" w:line="240" w:lineRule="auto"/>
              <w:rPr>
                <w:rFonts w:ascii="Times New Roman" w:hAnsi="Times New Roman" w:cs="Times New Roman"/>
                <w:sz w:val="24"/>
                <w:szCs w:val="24"/>
              </w:rPr>
            </w:pPr>
          </w:p>
        </w:tc>
        <w:tc>
          <w:tcPr>
            <w:tcW w:w="3226" w:type="pct"/>
            <w:shd w:val="clear" w:color="auto" w:fill="auto"/>
          </w:tcPr>
          <w:p w14:paraId="23B05343" w14:textId="77777777" w:rsidR="00495E06" w:rsidRPr="00495E06" w:rsidRDefault="00495E06" w:rsidP="00495E06">
            <w:pPr>
              <w:spacing w:after="0" w:line="240" w:lineRule="auto"/>
              <w:rPr>
                <w:rFonts w:cstheme="minorHAnsi"/>
                <w:sz w:val="20"/>
                <w:szCs w:val="20"/>
              </w:rPr>
            </w:pPr>
            <w:r w:rsidRPr="00495E06">
              <w:rPr>
                <w:rFonts w:cstheme="minorHAnsi"/>
                <w:sz w:val="20"/>
                <w:szCs w:val="20"/>
              </w:rPr>
              <w:t>Fortalecer las capacidades de ONG de poblaciones clave en investigación aplicada en VIH a través de curso virtual y subvenciones para investigaciones aplicadas; intercambio y aplicación del conocimiento para la toma de decisiones en VIH.</w:t>
            </w:r>
          </w:p>
        </w:tc>
        <w:tc>
          <w:tcPr>
            <w:tcW w:w="194" w:type="pct"/>
            <w:shd w:val="clear" w:color="auto" w:fill="auto"/>
            <w:vAlign w:val="bottom"/>
          </w:tcPr>
          <w:p w14:paraId="3E76F4A0"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74937C4F"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5914C8E6"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0D6C1678" w14:textId="77777777" w:rsidR="00495E06" w:rsidRPr="00495E06" w:rsidRDefault="00495E06" w:rsidP="00495E06">
            <w:pPr>
              <w:jc w:val="center"/>
              <w:rPr>
                <w:rFonts w:cstheme="minorHAnsi"/>
                <w:color w:val="000000"/>
                <w:sz w:val="20"/>
                <w:szCs w:val="20"/>
              </w:rPr>
            </w:pPr>
          </w:p>
        </w:tc>
        <w:tc>
          <w:tcPr>
            <w:tcW w:w="200" w:type="pct"/>
            <w:shd w:val="clear" w:color="auto" w:fill="auto"/>
            <w:vAlign w:val="bottom"/>
          </w:tcPr>
          <w:p w14:paraId="06A6B730" w14:textId="77777777" w:rsidR="00495E06" w:rsidRPr="00495E06" w:rsidRDefault="00495E06" w:rsidP="00495E06">
            <w:pPr>
              <w:jc w:val="center"/>
              <w:rPr>
                <w:rFonts w:cstheme="minorHAnsi"/>
                <w:color w:val="000000"/>
                <w:sz w:val="20"/>
                <w:szCs w:val="20"/>
              </w:rPr>
            </w:pPr>
          </w:p>
        </w:tc>
      </w:tr>
      <w:tr w:rsidR="00495E06" w:rsidRPr="00047B1F" w14:paraId="0FBEAADA" w14:textId="77777777" w:rsidTr="008131CF">
        <w:trPr>
          <w:trHeight w:val="278"/>
        </w:trPr>
        <w:tc>
          <w:tcPr>
            <w:tcW w:w="797" w:type="pct"/>
            <w:vMerge/>
            <w:shd w:val="clear" w:color="auto" w:fill="C5E0B3" w:themeFill="accent6" w:themeFillTint="66"/>
          </w:tcPr>
          <w:p w14:paraId="3E08913F" w14:textId="77777777" w:rsidR="00495E06" w:rsidRPr="000E10DD" w:rsidRDefault="00495E06" w:rsidP="00495E06">
            <w:pPr>
              <w:spacing w:after="0" w:line="240" w:lineRule="auto"/>
              <w:rPr>
                <w:rFonts w:ascii="Times New Roman" w:hAnsi="Times New Roman" w:cs="Times New Roman"/>
                <w:sz w:val="24"/>
                <w:szCs w:val="24"/>
              </w:rPr>
            </w:pPr>
          </w:p>
        </w:tc>
        <w:tc>
          <w:tcPr>
            <w:tcW w:w="3226" w:type="pct"/>
            <w:shd w:val="clear" w:color="auto" w:fill="auto"/>
          </w:tcPr>
          <w:p w14:paraId="69B8F853" w14:textId="77777777" w:rsidR="00495E06" w:rsidRPr="00495E06" w:rsidRDefault="00495E06" w:rsidP="00495E06">
            <w:pPr>
              <w:spacing w:after="0" w:line="240" w:lineRule="auto"/>
              <w:rPr>
                <w:rFonts w:cstheme="minorHAnsi"/>
                <w:sz w:val="20"/>
                <w:szCs w:val="20"/>
              </w:rPr>
            </w:pPr>
            <w:r w:rsidRPr="00495E06">
              <w:rPr>
                <w:rFonts w:cstheme="minorHAnsi"/>
                <w:sz w:val="20"/>
                <w:szCs w:val="20"/>
              </w:rPr>
              <w:t>Fortalecer la participación de representantes de poblaciones clave en Comité de M&amp;E.</w:t>
            </w:r>
          </w:p>
        </w:tc>
        <w:tc>
          <w:tcPr>
            <w:tcW w:w="194" w:type="pct"/>
            <w:shd w:val="clear" w:color="auto" w:fill="auto"/>
            <w:vAlign w:val="bottom"/>
          </w:tcPr>
          <w:p w14:paraId="781B6B34"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4EECAF0A"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6903E3EE"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554BFE5F"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200" w:type="pct"/>
            <w:shd w:val="clear" w:color="auto" w:fill="auto"/>
            <w:vAlign w:val="bottom"/>
          </w:tcPr>
          <w:p w14:paraId="5F6A6557"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r>
      <w:tr w:rsidR="00495E06" w:rsidRPr="00047B1F" w14:paraId="0048B5AD" w14:textId="77777777" w:rsidTr="008131CF">
        <w:trPr>
          <w:trHeight w:val="278"/>
        </w:trPr>
        <w:tc>
          <w:tcPr>
            <w:tcW w:w="797" w:type="pct"/>
            <w:vMerge/>
            <w:shd w:val="clear" w:color="auto" w:fill="C5E0B3" w:themeFill="accent6" w:themeFillTint="66"/>
          </w:tcPr>
          <w:p w14:paraId="20AD246B" w14:textId="77777777" w:rsidR="00495E06" w:rsidRPr="000E10DD" w:rsidRDefault="00495E06" w:rsidP="00495E06">
            <w:pPr>
              <w:spacing w:after="0" w:line="240" w:lineRule="auto"/>
              <w:rPr>
                <w:rFonts w:ascii="Times New Roman" w:hAnsi="Times New Roman" w:cs="Times New Roman"/>
                <w:sz w:val="24"/>
                <w:szCs w:val="24"/>
              </w:rPr>
            </w:pPr>
          </w:p>
        </w:tc>
        <w:tc>
          <w:tcPr>
            <w:tcW w:w="3226" w:type="pct"/>
            <w:shd w:val="clear" w:color="auto" w:fill="auto"/>
          </w:tcPr>
          <w:p w14:paraId="2D5AF1B1" w14:textId="77777777" w:rsidR="00495E06" w:rsidRPr="00495E06" w:rsidRDefault="00495E06" w:rsidP="00495E06">
            <w:pPr>
              <w:spacing w:after="0" w:line="240" w:lineRule="auto"/>
              <w:rPr>
                <w:rFonts w:cstheme="minorHAnsi"/>
                <w:sz w:val="20"/>
                <w:szCs w:val="20"/>
              </w:rPr>
            </w:pPr>
            <w:r w:rsidRPr="00495E06">
              <w:rPr>
                <w:rFonts w:cstheme="minorHAnsi"/>
                <w:sz w:val="20"/>
                <w:szCs w:val="20"/>
              </w:rPr>
              <w:t>Uso de herramientas para mejorar la calidad y medir avances y actualizar la situación de MyE para  proporcionar retroalimentación.</w:t>
            </w:r>
          </w:p>
        </w:tc>
        <w:tc>
          <w:tcPr>
            <w:tcW w:w="194" w:type="pct"/>
            <w:shd w:val="clear" w:color="auto" w:fill="auto"/>
            <w:vAlign w:val="bottom"/>
          </w:tcPr>
          <w:p w14:paraId="14F6DE75"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5DC0E919"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4CBB3F92"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46829590"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200" w:type="pct"/>
            <w:shd w:val="clear" w:color="auto" w:fill="auto"/>
            <w:vAlign w:val="bottom"/>
          </w:tcPr>
          <w:p w14:paraId="1AB080C5"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r>
      <w:tr w:rsidR="00495E06" w:rsidRPr="00047B1F" w14:paraId="718D2A13" w14:textId="77777777" w:rsidTr="008131CF">
        <w:trPr>
          <w:trHeight w:val="278"/>
        </w:trPr>
        <w:tc>
          <w:tcPr>
            <w:tcW w:w="797" w:type="pct"/>
            <w:vMerge/>
            <w:shd w:val="clear" w:color="auto" w:fill="C5E0B3" w:themeFill="accent6" w:themeFillTint="66"/>
          </w:tcPr>
          <w:p w14:paraId="006E527E" w14:textId="77777777" w:rsidR="00495E06" w:rsidRPr="000E10DD" w:rsidRDefault="00495E06" w:rsidP="00495E06">
            <w:pPr>
              <w:spacing w:after="0" w:line="240" w:lineRule="auto"/>
              <w:rPr>
                <w:rFonts w:ascii="Times New Roman" w:hAnsi="Times New Roman" w:cs="Times New Roman"/>
                <w:sz w:val="24"/>
                <w:szCs w:val="24"/>
              </w:rPr>
            </w:pPr>
          </w:p>
        </w:tc>
        <w:tc>
          <w:tcPr>
            <w:tcW w:w="3226" w:type="pct"/>
            <w:shd w:val="clear" w:color="auto" w:fill="auto"/>
          </w:tcPr>
          <w:p w14:paraId="235F586F" w14:textId="77777777" w:rsidR="00495E06" w:rsidRPr="00495E06" w:rsidRDefault="00495E06" w:rsidP="00495E06">
            <w:pPr>
              <w:spacing w:after="0" w:line="240" w:lineRule="auto"/>
              <w:rPr>
                <w:rFonts w:cstheme="minorHAnsi"/>
                <w:sz w:val="20"/>
                <w:szCs w:val="20"/>
              </w:rPr>
            </w:pPr>
            <w:r w:rsidRPr="00495E06">
              <w:rPr>
                <w:rFonts w:cstheme="minorHAnsi"/>
                <w:sz w:val="20"/>
                <w:szCs w:val="20"/>
              </w:rPr>
              <w:t>Fortalecer el consenso de los actores clave de la respuesta nacional en torno a las prioridades de la investigación en VIH.</w:t>
            </w:r>
          </w:p>
        </w:tc>
        <w:tc>
          <w:tcPr>
            <w:tcW w:w="194" w:type="pct"/>
            <w:shd w:val="clear" w:color="auto" w:fill="auto"/>
            <w:vAlign w:val="bottom"/>
          </w:tcPr>
          <w:p w14:paraId="1BD06611"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24E85AC4"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00EEDAB6"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664932DC"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200" w:type="pct"/>
            <w:shd w:val="clear" w:color="auto" w:fill="auto"/>
            <w:vAlign w:val="bottom"/>
          </w:tcPr>
          <w:p w14:paraId="21310B59"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r>
      <w:tr w:rsidR="00495E06" w:rsidRPr="00047B1F" w14:paraId="3FF90418" w14:textId="77777777" w:rsidTr="008131CF">
        <w:trPr>
          <w:trHeight w:val="278"/>
        </w:trPr>
        <w:tc>
          <w:tcPr>
            <w:tcW w:w="797" w:type="pct"/>
            <w:vMerge/>
            <w:shd w:val="clear" w:color="auto" w:fill="C5E0B3" w:themeFill="accent6" w:themeFillTint="66"/>
          </w:tcPr>
          <w:p w14:paraId="4F940573" w14:textId="77777777" w:rsidR="00495E06" w:rsidRPr="000E10DD" w:rsidRDefault="00495E06" w:rsidP="005353E5">
            <w:pPr>
              <w:rPr>
                <w:rFonts w:ascii="Times New Roman" w:hAnsi="Times New Roman" w:cs="Times New Roman"/>
                <w:sz w:val="24"/>
                <w:szCs w:val="24"/>
              </w:rPr>
            </w:pPr>
          </w:p>
        </w:tc>
        <w:tc>
          <w:tcPr>
            <w:tcW w:w="3226" w:type="pct"/>
            <w:shd w:val="clear" w:color="auto" w:fill="auto"/>
          </w:tcPr>
          <w:p w14:paraId="7CA1F201" w14:textId="77777777" w:rsidR="00495E06" w:rsidRPr="00495E06" w:rsidRDefault="00495E06" w:rsidP="005353E5">
            <w:pPr>
              <w:rPr>
                <w:rFonts w:cstheme="minorHAnsi"/>
                <w:sz w:val="20"/>
                <w:szCs w:val="20"/>
              </w:rPr>
            </w:pPr>
            <w:r w:rsidRPr="00495E06">
              <w:rPr>
                <w:rFonts w:cstheme="minorHAnsi"/>
                <w:sz w:val="20"/>
                <w:szCs w:val="20"/>
              </w:rPr>
              <w:t>Cursos de análisis y uso de datos</w:t>
            </w:r>
          </w:p>
        </w:tc>
        <w:tc>
          <w:tcPr>
            <w:tcW w:w="194" w:type="pct"/>
            <w:shd w:val="clear" w:color="auto" w:fill="auto"/>
            <w:vAlign w:val="bottom"/>
          </w:tcPr>
          <w:p w14:paraId="6BCDF969" w14:textId="77777777" w:rsidR="00495E06" w:rsidRPr="00495E06" w:rsidRDefault="00495E06" w:rsidP="005353E5">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57E62475" w14:textId="77777777" w:rsidR="00495E06" w:rsidRPr="00495E06" w:rsidRDefault="00495E06" w:rsidP="005353E5">
            <w:pPr>
              <w:jc w:val="center"/>
              <w:rPr>
                <w:rFonts w:cstheme="minorHAnsi"/>
                <w:color w:val="000000"/>
                <w:sz w:val="20"/>
                <w:szCs w:val="20"/>
              </w:rPr>
            </w:pPr>
          </w:p>
        </w:tc>
        <w:tc>
          <w:tcPr>
            <w:tcW w:w="194" w:type="pct"/>
            <w:shd w:val="clear" w:color="auto" w:fill="auto"/>
            <w:vAlign w:val="bottom"/>
          </w:tcPr>
          <w:p w14:paraId="33118B53" w14:textId="77777777" w:rsidR="00495E06" w:rsidRPr="00495E06" w:rsidRDefault="00495E06" w:rsidP="005353E5">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431ABB6E" w14:textId="77777777" w:rsidR="00495E06" w:rsidRPr="00495E06" w:rsidRDefault="00495E06" w:rsidP="005353E5">
            <w:pPr>
              <w:jc w:val="center"/>
              <w:rPr>
                <w:rFonts w:cstheme="minorHAnsi"/>
                <w:color w:val="000000"/>
                <w:sz w:val="20"/>
                <w:szCs w:val="20"/>
              </w:rPr>
            </w:pPr>
          </w:p>
        </w:tc>
        <w:tc>
          <w:tcPr>
            <w:tcW w:w="200" w:type="pct"/>
            <w:shd w:val="clear" w:color="auto" w:fill="auto"/>
            <w:vAlign w:val="bottom"/>
          </w:tcPr>
          <w:p w14:paraId="7395415A" w14:textId="77777777" w:rsidR="00495E06" w:rsidRPr="00495E06" w:rsidRDefault="00495E06" w:rsidP="005353E5">
            <w:pPr>
              <w:jc w:val="center"/>
              <w:rPr>
                <w:rFonts w:cstheme="minorHAnsi"/>
                <w:color w:val="000000"/>
                <w:sz w:val="20"/>
                <w:szCs w:val="20"/>
              </w:rPr>
            </w:pPr>
          </w:p>
        </w:tc>
      </w:tr>
      <w:tr w:rsidR="00495E06" w:rsidRPr="00047B1F" w14:paraId="078BBE47" w14:textId="77777777" w:rsidTr="008131CF">
        <w:trPr>
          <w:trHeight w:val="278"/>
        </w:trPr>
        <w:tc>
          <w:tcPr>
            <w:tcW w:w="797" w:type="pct"/>
            <w:vMerge/>
            <w:shd w:val="clear" w:color="auto" w:fill="C5E0B3" w:themeFill="accent6" w:themeFillTint="66"/>
          </w:tcPr>
          <w:p w14:paraId="4F1EE3DC" w14:textId="77777777" w:rsidR="00495E06" w:rsidRPr="002C3862" w:rsidRDefault="00495E06" w:rsidP="00495E06">
            <w:pPr>
              <w:spacing w:after="0" w:line="240" w:lineRule="auto"/>
              <w:rPr>
                <w:rFonts w:ascii="Times New Roman" w:hAnsi="Times New Roman" w:cs="Times New Roman"/>
                <w:sz w:val="24"/>
                <w:szCs w:val="24"/>
              </w:rPr>
            </w:pPr>
          </w:p>
        </w:tc>
        <w:tc>
          <w:tcPr>
            <w:tcW w:w="3226" w:type="pct"/>
            <w:shd w:val="clear" w:color="auto" w:fill="auto"/>
          </w:tcPr>
          <w:p w14:paraId="6F185246" w14:textId="77777777" w:rsidR="00495E06" w:rsidRPr="00495E06" w:rsidRDefault="00495E06" w:rsidP="00495E06">
            <w:pPr>
              <w:spacing w:after="0" w:line="240" w:lineRule="auto"/>
              <w:rPr>
                <w:rFonts w:cstheme="minorHAnsi"/>
                <w:sz w:val="20"/>
                <w:szCs w:val="20"/>
              </w:rPr>
            </w:pPr>
            <w:r w:rsidRPr="00495E06">
              <w:rPr>
                <w:rFonts w:cstheme="minorHAnsi"/>
                <w:sz w:val="20"/>
                <w:szCs w:val="20"/>
              </w:rPr>
              <w:t xml:space="preserve">Análisis de datos disponibles, específicamente relacionados a su sistema de vigilancia. </w:t>
            </w:r>
          </w:p>
        </w:tc>
        <w:tc>
          <w:tcPr>
            <w:tcW w:w="194" w:type="pct"/>
            <w:shd w:val="clear" w:color="auto" w:fill="auto"/>
            <w:vAlign w:val="bottom"/>
          </w:tcPr>
          <w:p w14:paraId="13194217"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4B092D2B"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3A16A908"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125F6CA7"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200" w:type="pct"/>
            <w:shd w:val="clear" w:color="auto" w:fill="auto"/>
            <w:vAlign w:val="bottom"/>
          </w:tcPr>
          <w:p w14:paraId="71D806DA"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r>
      <w:tr w:rsidR="00495E06" w:rsidRPr="00047B1F" w14:paraId="792DE816" w14:textId="77777777" w:rsidTr="008131CF">
        <w:trPr>
          <w:trHeight w:val="278"/>
        </w:trPr>
        <w:tc>
          <w:tcPr>
            <w:tcW w:w="797" w:type="pct"/>
            <w:vMerge/>
            <w:shd w:val="clear" w:color="auto" w:fill="C5E0B3" w:themeFill="accent6" w:themeFillTint="66"/>
          </w:tcPr>
          <w:p w14:paraId="170F5E9F" w14:textId="77777777" w:rsidR="00495E06" w:rsidRPr="002C3862" w:rsidRDefault="00495E06" w:rsidP="00495E06">
            <w:pPr>
              <w:spacing w:after="0" w:line="240" w:lineRule="auto"/>
              <w:rPr>
                <w:rFonts w:ascii="Times New Roman" w:hAnsi="Times New Roman" w:cs="Times New Roman"/>
                <w:sz w:val="24"/>
                <w:szCs w:val="24"/>
              </w:rPr>
            </w:pPr>
          </w:p>
        </w:tc>
        <w:tc>
          <w:tcPr>
            <w:tcW w:w="3226" w:type="pct"/>
            <w:shd w:val="clear" w:color="auto" w:fill="auto"/>
          </w:tcPr>
          <w:p w14:paraId="43ADAF69" w14:textId="77777777" w:rsidR="00495E06" w:rsidRPr="00495E06" w:rsidRDefault="00495E06" w:rsidP="00495E06">
            <w:pPr>
              <w:spacing w:after="0" w:line="240" w:lineRule="auto"/>
              <w:rPr>
                <w:rFonts w:cstheme="minorHAnsi"/>
                <w:sz w:val="20"/>
                <w:szCs w:val="20"/>
              </w:rPr>
            </w:pPr>
            <w:r w:rsidRPr="00495E06">
              <w:rPr>
                <w:rFonts w:cstheme="minorHAnsi"/>
                <w:sz w:val="20"/>
                <w:szCs w:val="20"/>
              </w:rPr>
              <w:t xml:space="preserve">Capacitación en el uso de herramientas para el análisis de datos existentes, </w:t>
            </w:r>
            <w:r w:rsidR="000B6A72">
              <w:rPr>
                <w:rFonts w:cstheme="minorHAnsi"/>
                <w:sz w:val="20"/>
                <w:szCs w:val="20"/>
              </w:rPr>
              <w:t>incluyendo a la georeferenciació</w:t>
            </w:r>
            <w:r w:rsidRPr="00495E06">
              <w:rPr>
                <w:rFonts w:cstheme="minorHAnsi"/>
                <w:sz w:val="20"/>
                <w:szCs w:val="20"/>
              </w:rPr>
              <w:t>n.</w:t>
            </w:r>
          </w:p>
        </w:tc>
        <w:tc>
          <w:tcPr>
            <w:tcW w:w="194" w:type="pct"/>
            <w:shd w:val="clear" w:color="auto" w:fill="auto"/>
            <w:vAlign w:val="bottom"/>
          </w:tcPr>
          <w:p w14:paraId="792F2B14"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2194999A"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5CD55BD2"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00306DF2"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200" w:type="pct"/>
            <w:shd w:val="clear" w:color="auto" w:fill="auto"/>
            <w:vAlign w:val="bottom"/>
          </w:tcPr>
          <w:p w14:paraId="5CF68A8B"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r>
      <w:tr w:rsidR="00495E06" w:rsidRPr="00047B1F" w14:paraId="646F7416" w14:textId="77777777" w:rsidTr="008131CF">
        <w:trPr>
          <w:trHeight w:val="278"/>
        </w:trPr>
        <w:tc>
          <w:tcPr>
            <w:tcW w:w="797" w:type="pct"/>
            <w:vMerge/>
            <w:shd w:val="clear" w:color="auto" w:fill="C5E0B3" w:themeFill="accent6" w:themeFillTint="66"/>
          </w:tcPr>
          <w:p w14:paraId="712D8A4D" w14:textId="77777777" w:rsidR="00495E06" w:rsidRPr="002C3862" w:rsidRDefault="00495E06" w:rsidP="00495E06">
            <w:pPr>
              <w:spacing w:after="0" w:line="240" w:lineRule="auto"/>
              <w:rPr>
                <w:rFonts w:ascii="Times New Roman" w:hAnsi="Times New Roman" w:cs="Times New Roman"/>
                <w:sz w:val="24"/>
                <w:szCs w:val="24"/>
              </w:rPr>
            </w:pPr>
          </w:p>
        </w:tc>
        <w:tc>
          <w:tcPr>
            <w:tcW w:w="3226" w:type="pct"/>
            <w:shd w:val="clear" w:color="auto" w:fill="auto"/>
          </w:tcPr>
          <w:p w14:paraId="7B1FA4FB" w14:textId="77777777" w:rsidR="00495E06" w:rsidRPr="00495E06" w:rsidRDefault="00495E06" w:rsidP="00495E06">
            <w:pPr>
              <w:spacing w:after="0" w:line="240" w:lineRule="auto"/>
              <w:rPr>
                <w:rFonts w:cstheme="minorHAnsi"/>
                <w:sz w:val="20"/>
                <w:szCs w:val="20"/>
              </w:rPr>
            </w:pPr>
            <w:r w:rsidRPr="00495E06">
              <w:rPr>
                <w:rFonts w:cstheme="minorHAnsi"/>
                <w:sz w:val="20"/>
                <w:szCs w:val="20"/>
              </w:rPr>
              <w:t>Fortalecimiento del manejo y análisis de datos mediante el entrenamiento para uso de sistema estadístico .</w:t>
            </w:r>
          </w:p>
        </w:tc>
        <w:tc>
          <w:tcPr>
            <w:tcW w:w="194" w:type="pct"/>
            <w:shd w:val="clear" w:color="auto" w:fill="auto"/>
            <w:vAlign w:val="bottom"/>
          </w:tcPr>
          <w:p w14:paraId="08091883"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5FFE1FA5"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3310F6C7"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194" w:type="pct"/>
            <w:shd w:val="clear" w:color="auto" w:fill="auto"/>
            <w:vAlign w:val="bottom"/>
          </w:tcPr>
          <w:p w14:paraId="2CD7F11C"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c>
          <w:tcPr>
            <w:tcW w:w="200" w:type="pct"/>
            <w:shd w:val="clear" w:color="auto" w:fill="auto"/>
            <w:vAlign w:val="bottom"/>
          </w:tcPr>
          <w:p w14:paraId="73497737" w14:textId="77777777" w:rsidR="00495E06" w:rsidRPr="00495E06" w:rsidRDefault="00495E06" w:rsidP="00495E06">
            <w:pPr>
              <w:jc w:val="center"/>
              <w:rPr>
                <w:rFonts w:cstheme="minorHAnsi"/>
                <w:color w:val="000000"/>
                <w:sz w:val="20"/>
                <w:szCs w:val="20"/>
              </w:rPr>
            </w:pPr>
            <w:r>
              <w:rPr>
                <w:rFonts w:cstheme="minorHAnsi"/>
                <w:color w:val="000000"/>
                <w:sz w:val="20"/>
                <w:szCs w:val="20"/>
              </w:rPr>
              <w:t>X</w:t>
            </w:r>
          </w:p>
        </w:tc>
      </w:tr>
    </w:tbl>
    <w:p w14:paraId="22C55A9E" w14:textId="77777777" w:rsidR="00D7176D" w:rsidRDefault="00D7176D" w:rsidP="005C7E77"/>
    <w:p w14:paraId="08322516" w14:textId="77777777" w:rsidR="00966271" w:rsidRDefault="00966271" w:rsidP="00966271"/>
    <w:p w14:paraId="06C56DA0" w14:textId="77777777" w:rsidR="00317611" w:rsidRDefault="00317611" w:rsidP="00317611">
      <w:pPr>
        <w:spacing w:after="0" w:line="240" w:lineRule="auto"/>
        <w:rPr>
          <w:rFonts w:ascii="Times New Roman" w:hAnsi="Times New Roman" w:cs="Times New Roman"/>
          <w:sz w:val="24"/>
          <w:szCs w:val="24"/>
          <w:lang w:val="es-MX"/>
        </w:rPr>
        <w:sectPr w:rsidR="00317611" w:rsidSect="0023513A">
          <w:pgSz w:w="15840" w:h="12240" w:orient="landscape"/>
          <w:pgMar w:top="1701" w:right="1418" w:bottom="1701" w:left="1418" w:header="709" w:footer="709" w:gutter="0"/>
          <w:cols w:space="708"/>
          <w:docGrid w:linePitch="360"/>
        </w:sectPr>
      </w:pPr>
    </w:p>
    <w:p w14:paraId="5F0B422E" w14:textId="77777777" w:rsidR="000B1070" w:rsidRPr="004C5924" w:rsidRDefault="008D5BA7" w:rsidP="008D5BA7">
      <w:pPr>
        <w:pStyle w:val="Ttulo1"/>
        <w:shd w:val="clear" w:color="auto" w:fill="D9E2F3" w:themeFill="accent5" w:themeFillTint="33"/>
      </w:pPr>
      <w:bookmarkStart w:id="28" w:name="_Toc15275144"/>
      <w:r w:rsidRPr="004C5924">
        <w:lastRenderedPageBreak/>
        <w:t xml:space="preserve">IV. </w:t>
      </w:r>
      <w:bookmarkStart w:id="29" w:name="_Toc1402718"/>
      <w:bookmarkStart w:id="30" w:name="_Toc15035548"/>
      <w:r w:rsidRPr="004C5924">
        <w:t>RECOMENDACIONES PARA EL MONITOREO DE LA SOSTENIBILIDAD</w:t>
      </w:r>
      <w:bookmarkEnd w:id="28"/>
      <w:bookmarkEnd w:id="29"/>
      <w:bookmarkEnd w:id="30"/>
      <w:r w:rsidRPr="004C5924">
        <w:t xml:space="preserve"> </w:t>
      </w:r>
    </w:p>
    <w:p w14:paraId="4DF6BB3F" w14:textId="77777777" w:rsidR="008D5BA7" w:rsidRDefault="008D5BA7" w:rsidP="000B1070">
      <w:pPr>
        <w:spacing w:line="276" w:lineRule="auto"/>
        <w:rPr>
          <w:rFonts w:asciiTheme="majorHAnsi" w:hAnsiTheme="majorHAnsi" w:cstheme="majorHAnsi"/>
        </w:rPr>
      </w:pPr>
    </w:p>
    <w:p w14:paraId="0D7A463E" w14:textId="77777777" w:rsidR="000B1070" w:rsidRPr="00696245" w:rsidRDefault="000B1070" w:rsidP="000B1070">
      <w:pPr>
        <w:spacing w:line="276" w:lineRule="auto"/>
        <w:rPr>
          <w:rFonts w:asciiTheme="majorHAnsi" w:hAnsiTheme="majorHAnsi" w:cstheme="majorHAnsi"/>
        </w:rPr>
      </w:pPr>
      <w:r w:rsidRPr="00696245">
        <w:rPr>
          <w:rFonts w:asciiTheme="majorHAnsi" w:hAnsiTheme="majorHAnsi" w:cstheme="majorHAnsi"/>
        </w:rPr>
        <w:t>Hacer sostenible la respuesta al VIH/sida es crucial para la contención y eventual erradicación de la epidemia. Para evaluar el grado de avance del país en su estrategia de sostenibilidad, se requiere un seguimiento permanente del cumplimiento de las tareas planificadas y realizar ajustes cuando sea necesario</w:t>
      </w:r>
      <w:r>
        <w:rPr>
          <w:rFonts w:asciiTheme="majorHAnsi" w:hAnsiTheme="majorHAnsi" w:cstheme="majorHAnsi"/>
        </w:rPr>
        <w:t xml:space="preserve"> al Plan de </w:t>
      </w:r>
      <w:r w:rsidR="008D5BA7">
        <w:rPr>
          <w:rFonts w:asciiTheme="majorHAnsi" w:hAnsiTheme="majorHAnsi" w:cstheme="majorHAnsi"/>
        </w:rPr>
        <w:t xml:space="preserve">Acción </w:t>
      </w:r>
      <w:r>
        <w:rPr>
          <w:rFonts w:asciiTheme="majorHAnsi" w:hAnsiTheme="majorHAnsi" w:cstheme="majorHAnsi"/>
        </w:rPr>
        <w:t>para la Sostenibilidad</w:t>
      </w:r>
      <w:r w:rsidRPr="00696245">
        <w:rPr>
          <w:rFonts w:asciiTheme="majorHAnsi" w:hAnsiTheme="majorHAnsi" w:cstheme="majorHAnsi"/>
        </w:rPr>
        <w:t>.</w:t>
      </w:r>
    </w:p>
    <w:p w14:paraId="26E570A6" w14:textId="77777777" w:rsidR="000B1070" w:rsidRPr="00696245" w:rsidRDefault="000B1070" w:rsidP="000B1070">
      <w:pPr>
        <w:spacing w:line="276" w:lineRule="auto"/>
        <w:rPr>
          <w:rFonts w:asciiTheme="majorHAnsi" w:hAnsiTheme="majorHAnsi" w:cstheme="majorHAnsi"/>
        </w:rPr>
      </w:pPr>
      <w:r w:rsidRPr="00696245">
        <w:rPr>
          <w:rFonts w:asciiTheme="majorHAnsi" w:hAnsiTheme="majorHAnsi" w:cstheme="majorHAnsi"/>
        </w:rPr>
        <w:t xml:space="preserve">Por otra parte, los indicadores </w:t>
      </w:r>
      <w:r w:rsidRPr="008131CF">
        <w:rPr>
          <w:rFonts w:asciiTheme="majorHAnsi" w:hAnsiTheme="majorHAnsi" w:cstheme="majorHAnsi"/>
        </w:rPr>
        <w:t>del Plan Estratégico Nacional y de la Cascada de Atención en VIH,</w:t>
      </w:r>
      <w:r w:rsidRPr="00696245">
        <w:rPr>
          <w:rFonts w:asciiTheme="majorHAnsi" w:hAnsiTheme="majorHAnsi" w:cstheme="majorHAnsi"/>
        </w:rPr>
        <w:t xml:space="preserve"> medirán el progreso </w:t>
      </w:r>
      <w:r>
        <w:rPr>
          <w:rFonts w:asciiTheme="majorHAnsi" w:hAnsiTheme="majorHAnsi" w:cstheme="majorHAnsi"/>
        </w:rPr>
        <w:t xml:space="preserve">e impacto </w:t>
      </w:r>
      <w:r w:rsidRPr="00696245">
        <w:rPr>
          <w:rFonts w:asciiTheme="majorHAnsi" w:hAnsiTheme="majorHAnsi" w:cstheme="majorHAnsi"/>
        </w:rPr>
        <w:t xml:space="preserve">de las acciones de la respuesta nacional al VIH/sida y los resultados epidemiológicos trazados, que son finalmente </w:t>
      </w:r>
      <w:r>
        <w:rPr>
          <w:rFonts w:asciiTheme="majorHAnsi" w:hAnsiTheme="majorHAnsi" w:cstheme="majorHAnsi"/>
        </w:rPr>
        <w:t>el principal objetivo de la respuesta al VIH y el control de la epidemia.</w:t>
      </w:r>
    </w:p>
    <w:p w14:paraId="4B1F45A7" w14:textId="77777777" w:rsidR="000B1070" w:rsidRDefault="000B1070" w:rsidP="000B1070">
      <w:pPr>
        <w:rPr>
          <w:rFonts w:asciiTheme="majorHAnsi" w:hAnsiTheme="majorHAnsi" w:cstheme="majorHAnsi"/>
        </w:rPr>
      </w:pPr>
      <w:r w:rsidRPr="00696245">
        <w:rPr>
          <w:rFonts w:asciiTheme="majorHAnsi" w:hAnsiTheme="majorHAnsi" w:cstheme="majorHAnsi"/>
        </w:rPr>
        <w:t>El monitoreo global de la sostenibilidad se podrá reali</w:t>
      </w:r>
      <w:r>
        <w:rPr>
          <w:rFonts w:asciiTheme="majorHAnsi" w:hAnsiTheme="majorHAnsi" w:cstheme="majorHAnsi"/>
        </w:rPr>
        <w:t xml:space="preserve">zar </w:t>
      </w:r>
      <w:r w:rsidRPr="00696245">
        <w:rPr>
          <w:rFonts w:asciiTheme="majorHAnsi" w:hAnsiTheme="majorHAnsi" w:cstheme="majorHAnsi"/>
        </w:rPr>
        <w:t>con la medición del Índice de Sostenibilidad en VIH que mide quince elementos relacionados con los ámbitos económico-financiero, técnico-programático y político-normativo</w:t>
      </w:r>
      <w:r>
        <w:rPr>
          <w:rFonts w:asciiTheme="majorHAnsi" w:hAnsiTheme="majorHAnsi" w:cstheme="majorHAnsi"/>
        </w:rPr>
        <w:t>, entre los que cuentan: financiamiento y m</w:t>
      </w:r>
      <w:r w:rsidRPr="00264DFE">
        <w:rPr>
          <w:rFonts w:asciiTheme="majorHAnsi" w:hAnsiTheme="majorHAnsi" w:cstheme="majorHAnsi"/>
        </w:rPr>
        <w:t>ovilización de recursos</w:t>
      </w:r>
      <w:r>
        <w:rPr>
          <w:rFonts w:asciiTheme="majorHAnsi" w:hAnsiTheme="majorHAnsi" w:cstheme="majorHAnsi"/>
        </w:rPr>
        <w:t>; d</w:t>
      </w:r>
      <w:r w:rsidRPr="00264DFE">
        <w:rPr>
          <w:rFonts w:asciiTheme="majorHAnsi" w:hAnsiTheme="majorHAnsi" w:cstheme="majorHAnsi"/>
        </w:rPr>
        <w:t>atos financieros</w:t>
      </w:r>
      <w:r>
        <w:rPr>
          <w:rFonts w:asciiTheme="majorHAnsi" w:hAnsiTheme="majorHAnsi" w:cstheme="majorHAnsi"/>
        </w:rPr>
        <w:t xml:space="preserve">, de </w:t>
      </w:r>
      <w:r w:rsidRPr="00264DFE">
        <w:rPr>
          <w:rFonts w:asciiTheme="majorHAnsi" w:hAnsiTheme="majorHAnsi" w:cstheme="majorHAnsi"/>
        </w:rPr>
        <w:t>gasto</w:t>
      </w:r>
      <w:r>
        <w:rPr>
          <w:rFonts w:asciiTheme="majorHAnsi" w:hAnsiTheme="majorHAnsi" w:cstheme="majorHAnsi"/>
        </w:rPr>
        <w:t xml:space="preserve"> y de </w:t>
      </w:r>
      <w:r w:rsidRPr="00264DFE">
        <w:rPr>
          <w:rFonts w:asciiTheme="majorHAnsi" w:hAnsiTheme="majorHAnsi" w:cstheme="majorHAnsi"/>
        </w:rPr>
        <w:t>rendimiento</w:t>
      </w:r>
      <w:r>
        <w:rPr>
          <w:rFonts w:asciiTheme="majorHAnsi" w:hAnsiTheme="majorHAnsi" w:cstheme="majorHAnsi"/>
        </w:rPr>
        <w:t>; e</w:t>
      </w:r>
      <w:r w:rsidRPr="00264DFE">
        <w:rPr>
          <w:rFonts w:asciiTheme="majorHAnsi" w:hAnsiTheme="majorHAnsi" w:cstheme="majorHAnsi"/>
        </w:rPr>
        <w:t>ficiencia técnica y de asignación</w:t>
      </w:r>
      <w:r>
        <w:rPr>
          <w:rFonts w:asciiTheme="majorHAnsi" w:hAnsiTheme="majorHAnsi" w:cstheme="majorHAnsi"/>
        </w:rPr>
        <w:t xml:space="preserve"> de recursos;  p</w:t>
      </w:r>
      <w:r w:rsidRPr="00264DFE">
        <w:rPr>
          <w:rFonts w:asciiTheme="majorHAnsi" w:hAnsiTheme="majorHAnsi" w:cstheme="majorHAnsi"/>
        </w:rPr>
        <w:t>restación de servicios</w:t>
      </w:r>
      <w:r>
        <w:rPr>
          <w:rFonts w:asciiTheme="majorHAnsi" w:hAnsiTheme="majorHAnsi" w:cstheme="majorHAnsi"/>
        </w:rPr>
        <w:t>, r</w:t>
      </w:r>
      <w:r w:rsidRPr="00264DFE">
        <w:rPr>
          <w:rFonts w:asciiTheme="majorHAnsi" w:hAnsiTheme="majorHAnsi" w:cstheme="majorHAnsi"/>
        </w:rPr>
        <w:t xml:space="preserve">ecursos </w:t>
      </w:r>
      <w:r>
        <w:rPr>
          <w:rFonts w:asciiTheme="majorHAnsi" w:hAnsiTheme="majorHAnsi" w:cstheme="majorHAnsi"/>
        </w:rPr>
        <w:t>h</w:t>
      </w:r>
      <w:r w:rsidRPr="00264DFE">
        <w:rPr>
          <w:rFonts w:asciiTheme="majorHAnsi" w:hAnsiTheme="majorHAnsi" w:cstheme="majorHAnsi"/>
        </w:rPr>
        <w:t>umanos</w:t>
      </w:r>
      <w:r>
        <w:rPr>
          <w:rFonts w:asciiTheme="majorHAnsi" w:hAnsiTheme="majorHAnsi" w:cstheme="majorHAnsi"/>
        </w:rPr>
        <w:t>; s</w:t>
      </w:r>
      <w:r w:rsidRPr="00264DFE">
        <w:rPr>
          <w:rFonts w:asciiTheme="majorHAnsi" w:hAnsiTheme="majorHAnsi" w:cstheme="majorHAnsi"/>
        </w:rPr>
        <w:t>eguridad de los productos y cadena de suministro</w:t>
      </w:r>
      <w:r>
        <w:rPr>
          <w:rFonts w:asciiTheme="majorHAnsi" w:hAnsiTheme="majorHAnsi" w:cstheme="majorHAnsi"/>
        </w:rPr>
        <w:t>; g</w:t>
      </w:r>
      <w:r w:rsidRPr="00264DFE">
        <w:rPr>
          <w:rFonts w:asciiTheme="majorHAnsi" w:hAnsiTheme="majorHAnsi" w:cstheme="majorHAnsi"/>
        </w:rPr>
        <w:t>estión de la calidad</w:t>
      </w:r>
      <w:r>
        <w:rPr>
          <w:rFonts w:asciiTheme="majorHAnsi" w:hAnsiTheme="majorHAnsi" w:cstheme="majorHAnsi"/>
        </w:rPr>
        <w:t>; l</w:t>
      </w:r>
      <w:r w:rsidRPr="00264DFE">
        <w:rPr>
          <w:rFonts w:asciiTheme="majorHAnsi" w:hAnsiTheme="majorHAnsi" w:cstheme="majorHAnsi"/>
        </w:rPr>
        <w:t>aboratorio</w:t>
      </w:r>
      <w:r>
        <w:rPr>
          <w:rFonts w:asciiTheme="majorHAnsi" w:hAnsiTheme="majorHAnsi" w:cstheme="majorHAnsi"/>
        </w:rPr>
        <w:t>; d</w:t>
      </w:r>
      <w:r w:rsidRPr="00264DFE">
        <w:rPr>
          <w:rFonts w:asciiTheme="majorHAnsi" w:hAnsiTheme="majorHAnsi" w:cstheme="majorHAnsi"/>
        </w:rPr>
        <w:t>atos epidemiológicos y sanitarios</w:t>
      </w:r>
      <w:r>
        <w:rPr>
          <w:rFonts w:asciiTheme="majorHAnsi" w:hAnsiTheme="majorHAnsi" w:cstheme="majorHAnsi"/>
        </w:rPr>
        <w:t>; p</w:t>
      </w:r>
      <w:r w:rsidRPr="00264DFE">
        <w:rPr>
          <w:rFonts w:asciiTheme="majorHAnsi" w:hAnsiTheme="majorHAnsi" w:cstheme="majorHAnsi"/>
        </w:rPr>
        <w:t>lanificación</w:t>
      </w:r>
      <w:r>
        <w:rPr>
          <w:rFonts w:asciiTheme="majorHAnsi" w:hAnsiTheme="majorHAnsi" w:cstheme="majorHAnsi"/>
        </w:rPr>
        <w:t xml:space="preserve">, </w:t>
      </w:r>
      <w:r w:rsidRPr="00264DFE">
        <w:rPr>
          <w:rFonts w:asciiTheme="majorHAnsi" w:hAnsiTheme="majorHAnsi" w:cstheme="majorHAnsi"/>
        </w:rPr>
        <w:t>coordinación</w:t>
      </w:r>
      <w:r>
        <w:rPr>
          <w:rFonts w:asciiTheme="majorHAnsi" w:hAnsiTheme="majorHAnsi" w:cstheme="majorHAnsi"/>
        </w:rPr>
        <w:t xml:space="preserve"> y gobernanza; p</w:t>
      </w:r>
      <w:r w:rsidRPr="00264DFE">
        <w:rPr>
          <w:rFonts w:asciiTheme="majorHAnsi" w:hAnsiTheme="majorHAnsi" w:cstheme="majorHAnsi"/>
        </w:rPr>
        <w:t>olíticas</w:t>
      </w:r>
      <w:r>
        <w:rPr>
          <w:rFonts w:asciiTheme="majorHAnsi" w:hAnsiTheme="majorHAnsi" w:cstheme="majorHAnsi"/>
        </w:rPr>
        <w:t xml:space="preserve"> de VIH, guías, lineamientos y protocolos de</w:t>
      </w:r>
      <w:r w:rsidRPr="00264DFE">
        <w:rPr>
          <w:rFonts w:asciiTheme="majorHAnsi" w:hAnsiTheme="majorHAnsi" w:cstheme="majorHAnsi"/>
        </w:rPr>
        <w:t xml:space="preserve"> </w:t>
      </w:r>
      <w:r>
        <w:rPr>
          <w:rFonts w:asciiTheme="majorHAnsi" w:hAnsiTheme="majorHAnsi" w:cstheme="majorHAnsi"/>
        </w:rPr>
        <w:t>atención; p</w:t>
      </w:r>
      <w:r w:rsidRPr="00264DFE">
        <w:rPr>
          <w:rFonts w:asciiTheme="majorHAnsi" w:hAnsiTheme="majorHAnsi" w:cstheme="majorHAnsi"/>
        </w:rPr>
        <w:t xml:space="preserve">articipación de </w:t>
      </w:r>
      <w:r>
        <w:rPr>
          <w:rFonts w:asciiTheme="majorHAnsi" w:hAnsiTheme="majorHAnsi" w:cstheme="majorHAnsi"/>
        </w:rPr>
        <w:t>sectores no gubernamentales; acc</w:t>
      </w:r>
      <w:r w:rsidRPr="00264DFE">
        <w:rPr>
          <w:rFonts w:asciiTheme="majorHAnsi" w:hAnsiTheme="majorHAnsi" w:cstheme="majorHAnsi"/>
        </w:rPr>
        <w:t>eso público a la información</w:t>
      </w:r>
      <w:r>
        <w:rPr>
          <w:rFonts w:asciiTheme="majorHAnsi" w:hAnsiTheme="majorHAnsi" w:cstheme="majorHAnsi"/>
        </w:rPr>
        <w:t xml:space="preserve">. </w:t>
      </w:r>
    </w:p>
    <w:p w14:paraId="09BFFE19" w14:textId="77777777" w:rsidR="000B1070" w:rsidRPr="000B1070" w:rsidRDefault="000B1070" w:rsidP="001F1757">
      <w:pPr>
        <w:pStyle w:val="Ttulo1"/>
        <w:rPr>
          <w:rFonts w:ascii="Times New Roman" w:hAnsi="Times New Roman" w:cs="Times New Roman"/>
          <w:color w:val="1F4E79" w:themeColor="accent1" w:themeShade="80"/>
          <w:sz w:val="36"/>
          <w:szCs w:val="36"/>
        </w:rPr>
      </w:pPr>
    </w:p>
    <w:p w14:paraId="2583C42C" w14:textId="77777777" w:rsidR="000B1070" w:rsidRDefault="000B1070" w:rsidP="001F1757">
      <w:pPr>
        <w:pStyle w:val="Ttulo1"/>
        <w:rPr>
          <w:rFonts w:ascii="Times New Roman" w:hAnsi="Times New Roman" w:cs="Times New Roman"/>
          <w:color w:val="1F4E79" w:themeColor="accent1" w:themeShade="80"/>
          <w:sz w:val="36"/>
          <w:szCs w:val="36"/>
          <w:lang w:val="es-MX"/>
        </w:rPr>
      </w:pPr>
    </w:p>
    <w:p w14:paraId="4B09A393" w14:textId="77777777" w:rsidR="00E84ED3" w:rsidRDefault="00E84ED3">
      <w:pPr>
        <w:rPr>
          <w:rFonts w:ascii="Times New Roman" w:eastAsiaTheme="majorEastAsia" w:hAnsi="Times New Roman" w:cs="Times New Roman"/>
          <w:b/>
          <w:bCs/>
          <w:color w:val="1F4E79" w:themeColor="accent1" w:themeShade="80"/>
          <w:sz w:val="36"/>
          <w:szCs w:val="36"/>
          <w:lang w:val="es-MX"/>
        </w:rPr>
      </w:pPr>
      <w:r>
        <w:rPr>
          <w:rFonts w:ascii="Times New Roman" w:hAnsi="Times New Roman" w:cs="Times New Roman"/>
          <w:color w:val="1F4E79" w:themeColor="accent1" w:themeShade="80"/>
          <w:sz w:val="36"/>
          <w:szCs w:val="36"/>
          <w:lang w:val="es-MX"/>
        </w:rPr>
        <w:br w:type="page"/>
      </w:r>
    </w:p>
    <w:p w14:paraId="4BD52534" w14:textId="77777777" w:rsidR="001F1757" w:rsidRPr="004C5924" w:rsidRDefault="009B22CF" w:rsidP="008131CF">
      <w:pPr>
        <w:pStyle w:val="Ttulo1"/>
        <w:shd w:val="clear" w:color="auto" w:fill="D9E2F3" w:themeFill="accent5" w:themeFillTint="33"/>
        <w:rPr>
          <w:lang w:val="es-MX"/>
        </w:rPr>
      </w:pPr>
      <w:bookmarkStart w:id="31" w:name="_Toc15275145"/>
      <w:r w:rsidRPr="004C5924">
        <w:rPr>
          <w:lang w:val="es-MX"/>
        </w:rPr>
        <w:lastRenderedPageBreak/>
        <w:t xml:space="preserve">V. </w:t>
      </w:r>
      <w:r w:rsidR="001F1757" w:rsidRPr="004C5924">
        <w:t>BIBLIOGRAFÍA</w:t>
      </w:r>
      <w:bookmarkEnd w:id="31"/>
    </w:p>
    <w:p w14:paraId="4B011DD2" w14:textId="77777777" w:rsidR="001F1757" w:rsidRDefault="001F1757" w:rsidP="001F1757">
      <w:pPr>
        <w:rPr>
          <w:lang w:val="es-MX"/>
        </w:rPr>
      </w:pPr>
    </w:p>
    <w:p w14:paraId="04E1EAA4" w14:textId="77777777" w:rsidR="007010F0" w:rsidRPr="00E84ED3" w:rsidRDefault="007010F0" w:rsidP="00E84ED3">
      <w:pPr>
        <w:pStyle w:val="Prrafodelista"/>
        <w:numPr>
          <w:ilvl w:val="0"/>
          <w:numId w:val="30"/>
        </w:numPr>
        <w:rPr>
          <w:sz w:val="24"/>
          <w:szCs w:val="24"/>
        </w:rPr>
      </w:pPr>
      <w:r w:rsidRPr="00E84ED3">
        <w:rPr>
          <w:sz w:val="24"/>
          <w:szCs w:val="24"/>
        </w:rPr>
        <w:t>Cascada de Atención SUMEVE, MINSAL 2017</w:t>
      </w:r>
    </w:p>
    <w:p w14:paraId="69F357E3" w14:textId="77777777" w:rsidR="007010F0" w:rsidRPr="00E84ED3" w:rsidRDefault="007010F0" w:rsidP="00E84ED3">
      <w:pPr>
        <w:pStyle w:val="Prrafodelista"/>
        <w:numPr>
          <w:ilvl w:val="0"/>
          <w:numId w:val="30"/>
        </w:numPr>
        <w:rPr>
          <w:sz w:val="24"/>
          <w:szCs w:val="24"/>
        </w:rPr>
      </w:pPr>
      <w:r w:rsidRPr="00E84ED3">
        <w:rPr>
          <w:sz w:val="24"/>
          <w:szCs w:val="24"/>
        </w:rPr>
        <w:t>Cuentas de Salud 2017, Unidad de Economía de la Salud, Ministerio de Salud</w:t>
      </w:r>
    </w:p>
    <w:p w14:paraId="377F9627" w14:textId="77777777" w:rsidR="007010F0" w:rsidRPr="00E84ED3" w:rsidRDefault="007010F0" w:rsidP="00E84ED3">
      <w:pPr>
        <w:pStyle w:val="Prrafodelista"/>
        <w:numPr>
          <w:ilvl w:val="0"/>
          <w:numId w:val="30"/>
        </w:numPr>
        <w:rPr>
          <w:sz w:val="24"/>
          <w:szCs w:val="24"/>
        </w:rPr>
      </w:pPr>
      <w:r w:rsidRPr="00E84ED3">
        <w:rPr>
          <w:sz w:val="24"/>
          <w:szCs w:val="24"/>
        </w:rPr>
        <w:t>Declaración Política de VIH 2016, Naciones Unidas</w:t>
      </w:r>
    </w:p>
    <w:p w14:paraId="34B02538" w14:textId="77777777" w:rsidR="007010F0" w:rsidRPr="00E84ED3" w:rsidRDefault="007010F0" w:rsidP="00E84ED3">
      <w:pPr>
        <w:pStyle w:val="Prrafodelista"/>
        <w:numPr>
          <w:ilvl w:val="0"/>
          <w:numId w:val="30"/>
        </w:numPr>
        <w:rPr>
          <w:sz w:val="24"/>
          <w:szCs w:val="24"/>
        </w:rPr>
      </w:pPr>
      <w:r w:rsidRPr="00E84ED3">
        <w:rPr>
          <w:sz w:val="24"/>
          <w:szCs w:val="24"/>
        </w:rPr>
        <w:t>Informe de Labores, Ministerio de Salud 2016</w:t>
      </w:r>
    </w:p>
    <w:p w14:paraId="6490A105" w14:textId="77777777" w:rsidR="007010F0" w:rsidRPr="00E84ED3" w:rsidRDefault="007010F0" w:rsidP="00E84ED3">
      <w:pPr>
        <w:pStyle w:val="Prrafodelista"/>
        <w:numPr>
          <w:ilvl w:val="0"/>
          <w:numId w:val="30"/>
        </w:numPr>
        <w:rPr>
          <w:sz w:val="24"/>
          <w:szCs w:val="24"/>
        </w:rPr>
      </w:pPr>
      <w:r w:rsidRPr="00E84ED3">
        <w:rPr>
          <w:sz w:val="24"/>
          <w:szCs w:val="24"/>
        </w:rPr>
        <w:t xml:space="preserve">Encuesta Centroamericana de Vigilancia del Comportamiento Sexual de ITS y VIH 2008, </w:t>
      </w:r>
    </w:p>
    <w:p w14:paraId="1B7E2831" w14:textId="77777777" w:rsidR="007010F0" w:rsidRPr="00E84ED3" w:rsidRDefault="007010F0" w:rsidP="00E84ED3">
      <w:pPr>
        <w:pStyle w:val="Prrafodelista"/>
        <w:numPr>
          <w:ilvl w:val="0"/>
          <w:numId w:val="30"/>
        </w:numPr>
        <w:rPr>
          <w:sz w:val="24"/>
          <w:szCs w:val="24"/>
        </w:rPr>
      </w:pPr>
      <w:r w:rsidRPr="00E84ED3">
        <w:rPr>
          <w:sz w:val="24"/>
          <w:szCs w:val="24"/>
        </w:rPr>
        <w:t>Estudio de estimación de talla poblacional, encuesta de comportamiento sexual y sero-prevalencia de VIH en mujeres trans de El Salvador, 2014. Plan Internacional.</w:t>
      </w:r>
    </w:p>
    <w:p w14:paraId="51D89E71" w14:textId="77777777" w:rsidR="007010F0" w:rsidRPr="00E84ED3" w:rsidRDefault="007010F0" w:rsidP="00E84ED3">
      <w:pPr>
        <w:pStyle w:val="Prrafodelista"/>
        <w:numPr>
          <w:ilvl w:val="0"/>
          <w:numId w:val="30"/>
        </w:numPr>
        <w:rPr>
          <w:sz w:val="24"/>
          <w:szCs w:val="24"/>
        </w:rPr>
      </w:pPr>
      <w:r w:rsidRPr="00E84ED3">
        <w:rPr>
          <w:sz w:val="24"/>
          <w:szCs w:val="24"/>
        </w:rPr>
        <w:t>Estudio de estimación de tamaño de población de hombres que tiene sexo con hombres, 2016.  Plan Internacional.</w:t>
      </w:r>
    </w:p>
    <w:p w14:paraId="7E432931" w14:textId="77777777" w:rsidR="007010F0" w:rsidRPr="00E84ED3" w:rsidRDefault="007010F0" w:rsidP="00E84ED3">
      <w:pPr>
        <w:pStyle w:val="Prrafodelista"/>
        <w:numPr>
          <w:ilvl w:val="0"/>
          <w:numId w:val="30"/>
        </w:numPr>
        <w:rPr>
          <w:sz w:val="24"/>
          <w:szCs w:val="24"/>
        </w:rPr>
      </w:pPr>
      <w:r w:rsidRPr="00E84ED3">
        <w:rPr>
          <w:sz w:val="24"/>
          <w:szCs w:val="24"/>
        </w:rPr>
        <w:t>Estudio de estimación de tamaño de población de mujeres trabajadoras sexuales 2016. Plan Internacional.</w:t>
      </w:r>
    </w:p>
    <w:p w14:paraId="71903C53" w14:textId="77777777" w:rsidR="007010F0" w:rsidRPr="00E84ED3" w:rsidRDefault="007010F0" w:rsidP="00E84ED3">
      <w:pPr>
        <w:pStyle w:val="Prrafodelista"/>
        <w:numPr>
          <w:ilvl w:val="0"/>
          <w:numId w:val="30"/>
        </w:numPr>
        <w:rPr>
          <w:sz w:val="24"/>
          <w:szCs w:val="24"/>
        </w:rPr>
      </w:pPr>
      <w:r w:rsidRPr="00E84ED3">
        <w:rPr>
          <w:sz w:val="24"/>
          <w:szCs w:val="24"/>
        </w:rPr>
        <w:t>Estudio VICITS MINSAL 2012</w:t>
      </w:r>
    </w:p>
    <w:p w14:paraId="45674259" w14:textId="77777777" w:rsidR="007010F0" w:rsidRPr="00E84ED3" w:rsidRDefault="007010F0" w:rsidP="00E84ED3">
      <w:pPr>
        <w:pStyle w:val="Prrafodelista"/>
        <w:numPr>
          <w:ilvl w:val="0"/>
          <w:numId w:val="30"/>
        </w:numPr>
        <w:rPr>
          <w:sz w:val="24"/>
          <w:szCs w:val="24"/>
        </w:rPr>
      </w:pPr>
      <w:r w:rsidRPr="00E84ED3">
        <w:rPr>
          <w:sz w:val="24"/>
          <w:szCs w:val="24"/>
        </w:rPr>
        <w:t>Guías OMS 2015</w:t>
      </w:r>
    </w:p>
    <w:p w14:paraId="25693676" w14:textId="77777777" w:rsidR="007010F0" w:rsidRPr="00E84ED3" w:rsidRDefault="007010F0" w:rsidP="00E84ED3">
      <w:pPr>
        <w:pStyle w:val="Prrafodelista"/>
        <w:numPr>
          <w:ilvl w:val="0"/>
          <w:numId w:val="30"/>
        </w:numPr>
        <w:rPr>
          <w:sz w:val="24"/>
          <w:szCs w:val="24"/>
        </w:rPr>
      </w:pPr>
      <w:r w:rsidRPr="00E84ED3">
        <w:rPr>
          <w:sz w:val="24"/>
          <w:szCs w:val="24"/>
        </w:rPr>
        <w:t>Informe MEGAS MINSAL (del 2014 al 2017)</w:t>
      </w:r>
    </w:p>
    <w:p w14:paraId="505B1672" w14:textId="77777777" w:rsidR="007010F0" w:rsidRPr="00E84ED3" w:rsidRDefault="007010F0" w:rsidP="00E84ED3">
      <w:pPr>
        <w:pStyle w:val="Prrafodelista"/>
        <w:numPr>
          <w:ilvl w:val="0"/>
          <w:numId w:val="30"/>
        </w:numPr>
        <w:rPr>
          <w:sz w:val="24"/>
          <w:szCs w:val="24"/>
        </w:rPr>
      </w:pPr>
      <w:r w:rsidRPr="00E84ED3">
        <w:rPr>
          <w:sz w:val="24"/>
          <w:szCs w:val="24"/>
        </w:rPr>
        <w:t>Plan Estratégico Nacional Multisectorial 2016-2021 (PENM) CONASIDA</w:t>
      </w:r>
    </w:p>
    <w:p w14:paraId="5178FB7D" w14:textId="77777777" w:rsidR="007010F0" w:rsidRPr="00E84ED3" w:rsidRDefault="007010F0" w:rsidP="00E84ED3">
      <w:pPr>
        <w:pStyle w:val="Prrafodelista"/>
        <w:numPr>
          <w:ilvl w:val="0"/>
          <w:numId w:val="30"/>
        </w:numPr>
        <w:rPr>
          <w:sz w:val="24"/>
          <w:szCs w:val="24"/>
        </w:rPr>
      </w:pPr>
      <w:r w:rsidRPr="00E84ED3">
        <w:rPr>
          <w:sz w:val="24"/>
          <w:szCs w:val="24"/>
        </w:rPr>
        <w:t>COMSICA. (2017). Estrategia de Sostenibilidad de los avances de Centroamérica y República Dominicana hacia el Acceso Universal a la Prevención, la Atención, el Tratamiento, y el Apoyo relacionados con el VIH.</w:t>
      </w:r>
    </w:p>
    <w:p w14:paraId="2954CFB7" w14:textId="77777777" w:rsidR="001F1757" w:rsidRPr="00E84ED3" w:rsidRDefault="007010F0" w:rsidP="00E84ED3">
      <w:pPr>
        <w:pStyle w:val="Prrafodelista"/>
        <w:numPr>
          <w:ilvl w:val="0"/>
          <w:numId w:val="30"/>
        </w:numPr>
        <w:rPr>
          <w:sz w:val="24"/>
          <w:szCs w:val="24"/>
          <w:lang w:val="es-MX"/>
        </w:rPr>
      </w:pPr>
      <w:r w:rsidRPr="00E84ED3">
        <w:rPr>
          <w:sz w:val="24"/>
          <w:szCs w:val="24"/>
        </w:rPr>
        <w:t>Índice de Sostenibilidad (SID)</w:t>
      </w:r>
      <w:r w:rsidR="00E84ED3">
        <w:rPr>
          <w:sz w:val="24"/>
          <w:szCs w:val="24"/>
        </w:rPr>
        <w:t>. P</w:t>
      </w:r>
      <w:r w:rsidRPr="00E84ED3">
        <w:rPr>
          <w:sz w:val="24"/>
          <w:szCs w:val="24"/>
        </w:rPr>
        <w:t>lan de Emergencia del Presidente de los Estados Unidos para el Alivio del SIDA (PEPFAR) 2017</w:t>
      </w:r>
      <w:r w:rsidR="00E84ED3">
        <w:rPr>
          <w:sz w:val="24"/>
          <w:szCs w:val="24"/>
        </w:rPr>
        <w:t>-18</w:t>
      </w:r>
    </w:p>
    <w:sectPr w:rsidR="001F1757" w:rsidRPr="00E84ED3" w:rsidSect="00A5496D">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1DF71" w14:textId="77777777" w:rsidR="00512BAF" w:rsidRDefault="00512BAF" w:rsidP="00E54AD6">
      <w:pPr>
        <w:spacing w:after="0" w:line="240" w:lineRule="auto"/>
      </w:pPr>
      <w:r>
        <w:separator/>
      </w:r>
    </w:p>
  </w:endnote>
  <w:endnote w:type="continuationSeparator" w:id="0">
    <w:p w14:paraId="77C405FD" w14:textId="77777777" w:rsidR="00512BAF" w:rsidRDefault="00512BAF" w:rsidP="00E5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799988"/>
      <w:docPartObj>
        <w:docPartGallery w:val="Page Numbers (Bottom of Page)"/>
        <w:docPartUnique/>
      </w:docPartObj>
    </w:sdtPr>
    <w:sdtContent>
      <w:p w14:paraId="0DDF992E" w14:textId="5411E0AF" w:rsidR="00973EB9" w:rsidRDefault="00973EB9">
        <w:pPr>
          <w:pStyle w:val="Piedepgina"/>
          <w:jc w:val="right"/>
        </w:pPr>
        <w:r>
          <w:fldChar w:fldCharType="begin"/>
        </w:r>
        <w:r>
          <w:instrText>PAGE   \* MERGEFORMAT</w:instrText>
        </w:r>
        <w:r>
          <w:fldChar w:fldCharType="separate"/>
        </w:r>
        <w:r w:rsidR="00CF25AB" w:rsidRPr="00CF25AB">
          <w:rPr>
            <w:noProof/>
            <w:lang w:val="es-ES"/>
          </w:rPr>
          <w:t>19</w:t>
        </w:r>
        <w:r>
          <w:fldChar w:fldCharType="end"/>
        </w:r>
      </w:p>
    </w:sdtContent>
  </w:sdt>
  <w:p w14:paraId="5604398D" w14:textId="77777777" w:rsidR="00973EB9" w:rsidRDefault="00973E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8C9DE" w14:textId="77777777" w:rsidR="00512BAF" w:rsidRDefault="00512BAF" w:rsidP="00E54AD6">
      <w:pPr>
        <w:spacing w:after="0" w:line="240" w:lineRule="auto"/>
      </w:pPr>
      <w:r>
        <w:separator/>
      </w:r>
    </w:p>
  </w:footnote>
  <w:footnote w:type="continuationSeparator" w:id="0">
    <w:p w14:paraId="43FC0F17" w14:textId="77777777" w:rsidR="00512BAF" w:rsidRDefault="00512BAF" w:rsidP="00E54AD6">
      <w:pPr>
        <w:spacing w:after="0" w:line="240" w:lineRule="auto"/>
      </w:pPr>
      <w:r>
        <w:continuationSeparator/>
      </w:r>
    </w:p>
  </w:footnote>
  <w:footnote w:id="1">
    <w:p w14:paraId="7BD77BD0" w14:textId="77777777" w:rsidR="00973EB9" w:rsidRPr="0090521B" w:rsidRDefault="00973EB9">
      <w:pPr>
        <w:pStyle w:val="Textonotapie"/>
      </w:pPr>
      <w:r>
        <w:rPr>
          <w:rStyle w:val="Refdenotaalpie"/>
        </w:rPr>
        <w:footnoteRef/>
      </w:r>
      <w:r>
        <w:t xml:space="preserve"> Se propone como meta aumentar el 1% anual debido a que el incremento del PIB real en el 2017 ha sido de 2.5%</w:t>
      </w:r>
    </w:p>
  </w:footnote>
  <w:footnote w:id="2">
    <w:p w14:paraId="14B5E2B6" w14:textId="77777777" w:rsidR="00973EB9" w:rsidRPr="004E2BD2" w:rsidRDefault="00973EB9">
      <w:pPr>
        <w:pStyle w:val="Textonotapie"/>
        <w:rPr>
          <w:lang w:val="es-SV"/>
        </w:rPr>
      </w:pPr>
      <w:r>
        <w:rPr>
          <w:rStyle w:val="Refdenotaalpie"/>
        </w:rPr>
        <w:footnoteRef/>
      </w:r>
      <w:r>
        <w:t xml:space="preserve"> </w:t>
      </w:r>
      <w:r>
        <w:rPr>
          <w:lang w:val="es-SV"/>
        </w:rPr>
        <w:t>Encuestas de Opinión sobre Estigma y Discriminación USAID/PASCA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91FDA" w14:textId="77777777" w:rsidR="00973EB9" w:rsidRDefault="00973EB9" w:rsidP="0025137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8AD"/>
    <w:multiLevelType w:val="hybridMultilevel"/>
    <w:tmpl w:val="CE4A78CE"/>
    <w:lvl w:ilvl="0" w:tplc="180A0005">
      <w:start w:val="1"/>
      <w:numFmt w:val="bullet"/>
      <w:lvlText w:val=""/>
      <w:lvlJc w:val="left"/>
      <w:pPr>
        <w:ind w:left="1068" w:hanging="360"/>
      </w:pPr>
      <w:rPr>
        <w:rFonts w:ascii="Wingdings" w:hAnsi="Wingdings" w:hint="default"/>
      </w:rPr>
    </w:lvl>
    <w:lvl w:ilvl="1" w:tplc="180A0003" w:tentative="1">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1" w15:restartNumberingAfterBreak="0">
    <w:nsid w:val="02B20E3B"/>
    <w:multiLevelType w:val="multilevel"/>
    <w:tmpl w:val="3274D6F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870D74"/>
    <w:multiLevelType w:val="hybridMultilevel"/>
    <w:tmpl w:val="ADAAE8AE"/>
    <w:lvl w:ilvl="0" w:tplc="100A000F">
      <w:start w:val="1"/>
      <w:numFmt w:val="decimal"/>
      <w:lvlText w:val="%1."/>
      <w:lvlJc w:val="left"/>
      <w:pPr>
        <w:ind w:left="360" w:hanging="360"/>
      </w:pPr>
    </w:lvl>
    <w:lvl w:ilvl="1" w:tplc="100A000F">
      <w:start w:val="1"/>
      <w:numFmt w:val="decimal"/>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15:restartNumberingAfterBreak="0">
    <w:nsid w:val="085D7EBD"/>
    <w:multiLevelType w:val="hybridMultilevel"/>
    <w:tmpl w:val="BAB2AED2"/>
    <w:lvl w:ilvl="0" w:tplc="440A000F">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8B11D2A"/>
    <w:multiLevelType w:val="hybridMultilevel"/>
    <w:tmpl w:val="CE424C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9070A5A"/>
    <w:multiLevelType w:val="hybridMultilevel"/>
    <w:tmpl w:val="A82C2FE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B432DD4"/>
    <w:multiLevelType w:val="hybridMultilevel"/>
    <w:tmpl w:val="FB5C8C2C"/>
    <w:lvl w:ilvl="0" w:tplc="7AE4E4B8">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B6B4310"/>
    <w:multiLevelType w:val="hybridMultilevel"/>
    <w:tmpl w:val="2988A8D6"/>
    <w:lvl w:ilvl="0" w:tplc="D758017C">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0BFE3329"/>
    <w:multiLevelType w:val="hybridMultilevel"/>
    <w:tmpl w:val="D7EAC1B6"/>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18E52BE7"/>
    <w:multiLevelType w:val="hybridMultilevel"/>
    <w:tmpl w:val="05B43A8A"/>
    <w:lvl w:ilvl="0" w:tplc="180A0005">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28132099"/>
    <w:multiLevelType w:val="hybridMultilevel"/>
    <w:tmpl w:val="73A2A5F6"/>
    <w:lvl w:ilvl="0" w:tplc="7AE4E4B8">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8B67798"/>
    <w:multiLevelType w:val="hybridMultilevel"/>
    <w:tmpl w:val="8850E8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B50E7F"/>
    <w:multiLevelType w:val="hybridMultilevel"/>
    <w:tmpl w:val="7C5A1D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72722CC"/>
    <w:multiLevelType w:val="hybridMultilevel"/>
    <w:tmpl w:val="E4BEE530"/>
    <w:lvl w:ilvl="0" w:tplc="7AE4E4B8">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A297DA8"/>
    <w:multiLevelType w:val="multilevel"/>
    <w:tmpl w:val="C36E0894"/>
    <w:lvl w:ilvl="0">
      <w:start w:val="3"/>
      <w:numFmt w:val="decimal"/>
      <w:lvlText w:val="%1"/>
      <w:lvlJc w:val="left"/>
      <w:pPr>
        <w:ind w:left="612" w:hanging="612"/>
      </w:pPr>
      <w:rPr>
        <w:rFonts w:hint="default"/>
      </w:rPr>
    </w:lvl>
    <w:lvl w:ilvl="1">
      <w:start w:val="5"/>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C01446"/>
    <w:multiLevelType w:val="multilevel"/>
    <w:tmpl w:val="F7B442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F460FE"/>
    <w:multiLevelType w:val="hybridMultilevel"/>
    <w:tmpl w:val="A22638E6"/>
    <w:lvl w:ilvl="0" w:tplc="440A000F">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F8459BB"/>
    <w:multiLevelType w:val="multilevel"/>
    <w:tmpl w:val="65BEB44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1E57CA"/>
    <w:multiLevelType w:val="hybridMultilevel"/>
    <w:tmpl w:val="C41CFC48"/>
    <w:lvl w:ilvl="0" w:tplc="DD1E80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48C3BAC"/>
    <w:multiLevelType w:val="multilevel"/>
    <w:tmpl w:val="E83A8D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FD173F"/>
    <w:multiLevelType w:val="hybridMultilevel"/>
    <w:tmpl w:val="8850E8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7617EF7"/>
    <w:multiLevelType w:val="hybridMultilevel"/>
    <w:tmpl w:val="D0DABB64"/>
    <w:lvl w:ilvl="0" w:tplc="180A0005">
      <w:start w:val="1"/>
      <w:numFmt w:val="bullet"/>
      <w:lvlText w:val=""/>
      <w:lvlJc w:val="left"/>
      <w:pPr>
        <w:ind w:left="360" w:hanging="360"/>
      </w:pPr>
      <w:rPr>
        <w:rFonts w:ascii="Wingdings" w:hAnsi="Wingdings" w:hint="default"/>
      </w:rPr>
    </w:lvl>
    <w:lvl w:ilvl="1" w:tplc="180A0005">
      <w:start w:val="1"/>
      <w:numFmt w:val="bullet"/>
      <w:lvlText w:val=""/>
      <w:lvlJc w:val="left"/>
      <w:pPr>
        <w:ind w:left="360" w:hanging="360"/>
      </w:pPr>
      <w:rPr>
        <w:rFonts w:ascii="Wingdings" w:hAnsi="Wingdings" w:hint="default"/>
      </w:rPr>
    </w:lvl>
    <w:lvl w:ilvl="2" w:tplc="180A0005" w:tentative="1">
      <w:start w:val="1"/>
      <w:numFmt w:val="bullet"/>
      <w:lvlText w:val=""/>
      <w:lvlJc w:val="left"/>
      <w:pPr>
        <w:ind w:left="1080" w:hanging="360"/>
      </w:pPr>
      <w:rPr>
        <w:rFonts w:ascii="Wingdings" w:hAnsi="Wingdings" w:hint="default"/>
      </w:rPr>
    </w:lvl>
    <w:lvl w:ilvl="3" w:tplc="180A0001" w:tentative="1">
      <w:start w:val="1"/>
      <w:numFmt w:val="bullet"/>
      <w:lvlText w:val=""/>
      <w:lvlJc w:val="left"/>
      <w:pPr>
        <w:ind w:left="1800" w:hanging="360"/>
      </w:pPr>
      <w:rPr>
        <w:rFonts w:ascii="Symbol" w:hAnsi="Symbol" w:hint="default"/>
      </w:rPr>
    </w:lvl>
    <w:lvl w:ilvl="4" w:tplc="180A0003" w:tentative="1">
      <w:start w:val="1"/>
      <w:numFmt w:val="bullet"/>
      <w:lvlText w:val="o"/>
      <w:lvlJc w:val="left"/>
      <w:pPr>
        <w:ind w:left="2520" w:hanging="360"/>
      </w:pPr>
      <w:rPr>
        <w:rFonts w:ascii="Courier New" w:hAnsi="Courier New" w:cs="Courier New" w:hint="default"/>
      </w:rPr>
    </w:lvl>
    <w:lvl w:ilvl="5" w:tplc="180A0005" w:tentative="1">
      <w:start w:val="1"/>
      <w:numFmt w:val="bullet"/>
      <w:lvlText w:val=""/>
      <w:lvlJc w:val="left"/>
      <w:pPr>
        <w:ind w:left="3240" w:hanging="360"/>
      </w:pPr>
      <w:rPr>
        <w:rFonts w:ascii="Wingdings" w:hAnsi="Wingdings" w:hint="default"/>
      </w:rPr>
    </w:lvl>
    <w:lvl w:ilvl="6" w:tplc="180A0001" w:tentative="1">
      <w:start w:val="1"/>
      <w:numFmt w:val="bullet"/>
      <w:lvlText w:val=""/>
      <w:lvlJc w:val="left"/>
      <w:pPr>
        <w:ind w:left="3960" w:hanging="360"/>
      </w:pPr>
      <w:rPr>
        <w:rFonts w:ascii="Symbol" w:hAnsi="Symbol" w:hint="default"/>
      </w:rPr>
    </w:lvl>
    <w:lvl w:ilvl="7" w:tplc="180A0003" w:tentative="1">
      <w:start w:val="1"/>
      <w:numFmt w:val="bullet"/>
      <w:lvlText w:val="o"/>
      <w:lvlJc w:val="left"/>
      <w:pPr>
        <w:ind w:left="4680" w:hanging="360"/>
      </w:pPr>
      <w:rPr>
        <w:rFonts w:ascii="Courier New" w:hAnsi="Courier New" w:cs="Courier New" w:hint="default"/>
      </w:rPr>
    </w:lvl>
    <w:lvl w:ilvl="8" w:tplc="180A0005" w:tentative="1">
      <w:start w:val="1"/>
      <w:numFmt w:val="bullet"/>
      <w:lvlText w:val=""/>
      <w:lvlJc w:val="left"/>
      <w:pPr>
        <w:ind w:left="5400" w:hanging="360"/>
      </w:pPr>
      <w:rPr>
        <w:rFonts w:ascii="Wingdings" w:hAnsi="Wingdings" w:hint="default"/>
      </w:rPr>
    </w:lvl>
  </w:abstractNum>
  <w:abstractNum w:abstractNumId="22" w15:restartNumberingAfterBreak="0">
    <w:nsid w:val="5AA063A5"/>
    <w:multiLevelType w:val="hybridMultilevel"/>
    <w:tmpl w:val="E09EC478"/>
    <w:lvl w:ilvl="0" w:tplc="180A0013">
      <w:start w:val="1"/>
      <w:numFmt w:val="upperRoman"/>
      <w:lvlText w:val="%1."/>
      <w:lvlJc w:val="right"/>
      <w:pPr>
        <w:ind w:left="1068" w:hanging="360"/>
      </w:pPr>
      <w:rPr>
        <w:rFonts w:hint="default"/>
      </w:rPr>
    </w:lvl>
    <w:lvl w:ilvl="1" w:tplc="180A0005">
      <w:start w:val="1"/>
      <w:numFmt w:val="bullet"/>
      <w:lvlText w:val=""/>
      <w:lvlJc w:val="left"/>
      <w:pPr>
        <w:ind w:left="1068" w:hanging="360"/>
      </w:pPr>
      <w:rPr>
        <w:rFonts w:ascii="Wingdings" w:hAnsi="Wingdings" w:hint="default"/>
      </w:rPr>
    </w:lvl>
    <w:lvl w:ilvl="2" w:tplc="BED21474">
      <w:start w:val="3"/>
      <w:numFmt w:val="bullet"/>
      <w:lvlText w:val="•"/>
      <w:lvlJc w:val="left"/>
      <w:pPr>
        <w:ind w:left="1788" w:hanging="360"/>
      </w:pPr>
      <w:rPr>
        <w:rFonts w:ascii="Calibri" w:eastAsiaTheme="minorHAnsi" w:hAnsi="Calibri" w:cs="Calibri" w:hint="default"/>
      </w:rPr>
    </w:lvl>
    <w:lvl w:ilvl="3" w:tplc="180A0001" w:tentative="1">
      <w:start w:val="1"/>
      <w:numFmt w:val="bullet"/>
      <w:lvlText w:val=""/>
      <w:lvlJc w:val="left"/>
      <w:pPr>
        <w:ind w:left="2508" w:hanging="360"/>
      </w:pPr>
      <w:rPr>
        <w:rFonts w:ascii="Symbol" w:hAnsi="Symbol" w:hint="default"/>
      </w:rPr>
    </w:lvl>
    <w:lvl w:ilvl="4" w:tplc="180A0003" w:tentative="1">
      <w:start w:val="1"/>
      <w:numFmt w:val="bullet"/>
      <w:lvlText w:val="o"/>
      <w:lvlJc w:val="left"/>
      <w:pPr>
        <w:ind w:left="3228" w:hanging="360"/>
      </w:pPr>
      <w:rPr>
        <w:rFonts w:ascii="Courier New" w:hAnsi="Courier New" w:cs="Courier New" w:hint="default"/>
      </w:rPr>
    </w:lvl>
    <w:lvl w:ilvl="5" w:tplc="180A0005" w:tentative="1">
      <w:start w:val="1"/>
      <w:numFmt w:val="bullet"/>
      <w:lvlText w:val=""/>
      <w:lvlJc w:val="left"/>
      <w:pPr>
        <w:ind w:left="3948" w:hanging="360"/>
      </w:pPr>
      <w:rPr>
        <w:rFonts w:ascii="Wingdings" w:hAnsi="Wingdings" w:hint="default"/>
      </w:rPr>
    </w:lvl>
    <w:lvl w:ilvl="6" w:tplc="180A0001" w:tentative="1">
      <w:start w:val="1"/>
      <w:numFmt w:val="bullet"/>
      <w:lvlText w:val=""/>
      <w:lvlJc w:val="left"/>
      <w:pPr>
        <w:ind w:left="4668" w:hanging="360"/>
      </w:pPr>
      <w:rPr>
        <w:rFonts w:ascii="Symbol" w:hAnsi="Symbol" w:hint="default"/>
      </w:rPr>
    </w:lvl>
    <w:lvl w:ilvl="7" w:tplc="180A0003" w:tentative="1">
      <w:start w:val="1"/>
      <w:numFmt w:val="bullet"/>
      <w:lvlText w:val="o"/>
      <w:lvlJc w:val="left"/>
      <w:pPr>
        <w:ind w:left="5388" w:hanging="360"/>
      </w:pPr>
      <w:rPr>
        <w:rFonts w:ascii="Courier New" w:hAnsi="Courier New" w:cs="Courier New" w:hint="default"/>
      </w:rPr>
    </w:lvl>
    <w:lvl w:ilvl="8" w:tplc="180A0005" w:tentative="1">
      <w:start w:val="1"/>
      <w:numFmt w:val="bullet"/>
      <w:lvlText w:val=""/>
      <w:lvlJc w:val="left"/>
      <w:pPr>
        <w:ind w:left="6108" w:hanging="360"/>
      </w:pPr>
      <w:rPr>
        <w:rFonts w:ascii="Wingdings" w:hAnsi="Wingdings" w:hint="default"/>
      </w:rPr>
    </w:lvl>
  </w:abstractNum>
  <w:abstractNum w:abstractNumId="23" w15:restartNumberingAfterBreak="0">
    <w:nsid w:val="635B553F"/>
    <w:multiLevelType w:val="multilevel"/>
    <w:tmpl w:val="0D9A37A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1A2C69"/>
    <w:multiLevelType w:val="multilevel"/>
    <w:tmpl w:val="F1C6BB7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674942"/>
    <w:multiLevelType w:val="hybridMultilevel"/>
    <w:tmpl w:val="D52CA2E6"/>
    <w:lvl w:ilvl="0" w:tplc="440A0017">
      <w:start w:val="1"/>
      <w:numFmt w:val="lowerLetter"/>
      <w:lvlText w:val="%1)"/>
      <w:lvlJc w:val="left"/>
      <w:pPr>
        <w:ind w:left="1080" w:hanging="720"/>
      </w:pPr>
      <w:rPr>
        <w:rFonts w:hint="default"/>
      </w:rPr>
    </w:lvl>
    <w:lvl w:ilvl="1" w:tplc="F862613C">
      <w:start w:val="1"/>
      <w:numFmt w:val="decimal"/>
      <w:lvlText w:val="%2."/>
      <w:lvlJc w:val="left"/>
      <w:pPr>
        <w:ind w:left="1788" w:hanging="708"/>
      </w:pPr>
      <w:rPr>
        <w:rFonts w:hint="default"/>
        <w:sz w:val="22"/>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C02664F"/>
    <w:multiLevelType w:val="hybridMultilevel"/>
    <w:tmpl w:val="8850E8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CDC6FAA"/>
    <w:multiLevelType w:val="hybridMultilevel"/>
    <w:tmpl w:val="5C9A096C"/>
    <w:lvl w:ilvl="0" w:tplc="180A0005">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15:restartNumberingAfterBreak="0">
    <w:nsid w:val="6E032A71"/>
    <w:multiLevelType w:val="multilevel"/>
    <w:tmpl w:val="DA00B4B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095DC8"/>
    <w:multiLevelType w:val="hybridMultilevel"/>
    <w:tmpl w:val="8850E8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2"/>
  </w:num>
  <w:num w:numId="2">
    <w:abstractNumId w:val="9"/>
  </w:num>
  <w:num w:numId="3">
    <w:abstractNumId w:val="21"/>
  </w:num>
  <w:num w:numId="4">
    <w:abstractNumId w:val="0"/>
  </w:num>
  <w:num w:numId="5">
    <w:abstractNumId w:val="27"/>
  </w:num>
  <w:num w:numId="6">
    <w:abstractNumId w:val="19"/>
  </w:num>
  <w:num w:numId="7">
    <w:abstractNumId w:val="15"/>
  </w:num>
  <w:num w:numId="8">
    <w:abstractNumId w:val="24"/>
  </w:num>
  <w:num w:numId="9">
    <w:abstractNumId w:val="1"/>
  </w:num>
  <w:num w:numId="10">
    <w:abstractNumId w:val="28"/>
  </w:num>
  <w:num w:numId="11">
    <w:abstractNumId w:val="23"/>
  </w:num>
  <w:num w:numId="12">
    <w:abstractNumId w:val="16"/>
  </w:num>
  <w:num w:numId="13">
    <w:abstractNumId w:val="17"/>
  </w:num>
  <w:num w:numId="14">
    <w:abstractNumId w:val="18"/>
  </w:num>
  <w:num w:numId="15">
    <w:abstractNumId w:val="6"/>
  </w:num>
  <w:num w:numId="16">
    <w:abstractNumId w:val="3"/>
  </w:num>
  <w:num w:numId="17">
    <w:abstractNumId w:val="5"/>
  </w:num>
  <w:num w:numId="18">
    <w:abstractNumId w:val="25"/>
  </w:num>
  <w:num w:numId="19">
    <w:abstractNumId w:val="10"/>
  </w:num>
  <w:num w:numId="20">
    <w:abstractNumId w:val="13"/>
  </w:num>
  <w:num w:numId="21">
    <w:abstractNumId w:val="12"/>
  </w:num>
  <w:num w:numId="22">
    <w:abstractNumId w:val="26"/>
  </w:num>
  <w:num w:numId="23">
    <w:abstractNumId w:val="11"/>
  </w:num>
  <w:num w:numId="24">
    <w:abstractNumId w:val="4"/>
  </w:num>
  <w:num w:numId="25">
    <w:abstractNumId w:val="20"/>
  </w:num>
  <w:num w:numId="26">
    <w:abstractNumId w:val="29"/>
  </w:num>
  <w:num w:numId="27">
    <w:abstractNumId w:val="7"/>
  </w:num>
  <w:num w:numId="28">
    <w:abstractNumId w:val="14"/>
  </w:num>
  <w:num w:numId="29">
    <w:abstractNumId w:val="8"/>
  </w:num>
  <w:num w:numId="3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5E"/>
    <w:rsid w:val="0000556C"/>
    <w:rsid w:val="00030319"/>
    <w:rsid w:val="00032AB4"/>
    <w:rsid w:val="00043854"/>
    <w:rsid w:val="00045B34"/>
    <w:rsid w:val="00047B1F"/>
    <w:rsid w:val="0005140A"/>
    <w:rsid w:val="00056010"/>
    <w:rsid w:val="00065E22"/>
    <w:rsid w:val="00087065"/>
    <w:rsid w:val="00092678"/>
    <w:rsid w:val="000950C5"/>
    <w:rsid w:val="000A1B0B"/>
    <w:rsid w:val="000B01CB"/>
    <w:rsid w:val="000B1070"/>
    <w:rsid w:val="000B6A72"/>
    <w:rsid w:val="000C4FFA"/>
    <w:rsid w:val="000C7125"/>
    <w:rsid w:val="000D1D01"/>
    <w:rsid w:val="000D2EE9"/>
    <w:rsid w:val="000D321B"/>
    <w:rsid w:val="000D475E"/>
    <w:rsid w:val="000F4003"/>
    <w:rsid w:val="00102A65"/>
    <w:rsid w:val="001131F7"/>
    <w:rsid w:val="00113F2A"/>
    <w:rsid w:val="00124CBC"/>
    <w:rsid w:val="00126C49"/>
    <w:rsid w:val="001437DE"/>
    <w:rsid w:val="00156561"/>
    <w:rsid w:val="001622CF"/>
    <w:rsid w:val="00193981"/>
    <w:rsid w:val="00194030"/>
    <w:rsid w:val="00195CA0"/>
    <w:rsid w:val="001A50EE"/>
    <w:rsid w:val="001A57BB"/>
    <w:rsid w:val="001B09E5"/>
    <w:rsid w:val="001B56B3"/>
    <w:rsid w:val="001D4190"/>
    <w:rsid w:val="001D4C93"/>
    <w:rsid w:val="001D4FCA"/>
    <w:rsid w:val="001D5060"/>
    <w:rsid w:val="001D6A9F"/>
    <w:rsid w:val="001E2912"/>
    <w:rsid w:val="001E644C"/>
    <w:rsid w:val="001F1757"/>
    <w:rsid w:val="00211FE5"/>
    <w:rsid w:val="002216CF"/>
    <w:rsid w:val="00221804"/>
    <w:rsid w:val="002232A8"/>
    <w:rsid w:val="002275C4"/>
    <w:rsid w:val="002324AF"/>
    <w:rsid w:val="00233D63"/>
    <w:rsid w:val="0023513A"/>
    <w:rsid w:val="0023535D"/>
    <w:rsid w:val="0025006E"/>
    <w:rsid w:val="00251378"/>
    <w:rsid w:val="0025750E"/>
    <w:rsid w:val="00265109"/>
    <w:rsid w:val="00276B7C"/>
    <w:rsid w:val="00297F53"/>
    <w:rsid w:val="002B7EE6"/>
    <w:rsid w:val="002C4F6F"/>
    <w:rsid w:val="002C544E"/>
    <w:rsid w:val="002E37AF"/>
    <w:rsid w:val="002F40B9"/>
    <w:rsid w:val="0030469E"/>
    <w:rsid w:val="00312362"/>
    <w:rsid w:val="00312DF8"/>
    <w:rsid w:val="00317611"/>
    <w:rsid w:val="0033732E"/>
    <w:rsid w:val="0034054E"/>
    <w:rsid w:val="003710E1"/>
    <w:rsid w:val="00374B26"/>
    <w:rsid w:val="00376B2F"/>
    <w:rsid w:val="00377F7A"/>
    <w:rsid w:val="00384EF8"/>
    <w:rsid w:val="00386FAB"/>
    <w:rsid w:val="00390F8A"/>
    <w:rsid w:val="003922AF"/>
    <w:rsid w:val="00392A91"/>
    <w:rsid w:val="003A252D"/>
    <w:rsid w:val="003A2DD7"/>
    <w:rsid w:val="003A34EE"/>
    <w:rsid w:val="003B0EBB"/>
    <w:rsid w:val="003B6724"/>
    <w:rsid w:val="003D1DAE"/>
    <w:rsid w:val="003F4131"/>
    <w:rsid w:val="003F7851"/>
    <w:rsid w:val="004067EC"/>
    <w:rsid w:val="00417F0F"/>
    <w:rsid w:val="004240EE"/>
    <w:rsid w:val="004320CA"/>
    <w:rsid w:val="00432D04"/>
    <w:rsid w:val="004333AB"/>
    <w:rsid w:val="00460D78"/>
    <w:rsid w:val="00495E06"/>
    <w:rsid w:val="004A44E6"/>
    <w:rsid w:val="004B35CE"/>
    <w:rsid w:val="004B56D4"/>
    <w:rsid w:val="004C47F5"/>
    <w:rsid w:val="004C5924"/>
    <w:rsid w:val="004D2FDD"/>
    <w:rsid w:val="004D5650"/>
    <w:rsid w:val="004E2BD2"/>
    <w:rsid w:val="004E7777"/>
    <w:rsid w:val="004F0FFE"/>
    <w:rsid w:val="004F10BB"/>
    <w:rsid w:val="004F3984"/>
    <w:rsid w:val="005051AE"/>
    <w:rsid w:val="0050520F"/>
    <w:rsid w:val="00506007"/>
    <w:rsid w:val="00510849"/>
    <w:rsid w:val="00512BAF"/>
    <w:rsid w:val="005353E5"/>
    <w:rsid w:val="00535D62"/>
    <w:rsid w:val="00537EC2"/>
    <w:rsid w:val="0054218B"/>
    <w:rsid w:val="00544EEA"/>
    <w:rsid w:val="00553191"/>
    <w:rsid w:val="005648FD"/>
    <w:rsid w:val="0058068B"/>
    <w:rsid w:val="00582EFD"/>
    <w:rsid w:val="00587C48"/>
    <w:rsid w:val="005927FA"/>
    <w:rsid w:val="005B205A"/>
    <w:rsid w:val="005C7E77"/>
    <w:rsid w:val="005E5473"/>
    <w:rsid w:val="005E5E8F"/>
    <w:rsid w:val="005F29A1"/>
    <w:rsid w:val="005F5933"/>
    <w:rsid w:val="005F7825"/>
    <w:rsid w:val="00603E48"/>
    <w:rsid w:val="006109F7"/>
    <w:rsid w:val="00617CE5"/>
    <w:rsid w:val="00621A66"/>
    <w:rsid w:val="00641607"/>
    <w:rsid w:val="006455AF"/>
    <w:rsid w:val="006475C5"/>
    <w:rsid w:val="006501A3"/>
    <w:rsid w:val="00670228"/>
    <w:rsid w:val="00672672"/>
    <w:rsid w:val="00683570"/>
    <w:rsid w:val="0069103E"/>
    <w:rsid w:val="00691088"/>
    <w:rsid w:val="00696128"/>
    <w:rsid w:val="00696E04"/>
    <w:rsid w:val="006A0D8D"/>
    <w:rsid w:val="006A312E"/>
    <w:rsid w:val="006A445A"/>
    <w:rsid w:val="006A473B"/>
    <w:rsid w:val="006A709B"/>
    <w:rsid w:val="006A7A7E"/>
    <w:rsid w:val="006B0734"/>
    <w:rsid w:val="006B6BEE"/>
    <w:rsid w:val="006C01A1"/>
    <w:rsid w:val="006C2199"/>
    <w:rsid w:val="006C78E8"/>
    <w:rsid w:val="006E5B00"/>
    <w:rsid w:val="007010F0"/>
    <w:rsid w:val="007012AE"/>
    <w:rsid w:val="00701D51"/>
    <w:rsid w:val="00706B2B"/>
    <w:rsid w:val="00707F6E"/>
    <w:rsid w:val="0072063B"/>
    <w:rsid w:val="007326E9"/>
    <w:rsid w:val="0077324A"/>
    <w:rsid w:val="00773F9C"/>
    <w:rsid w:val="00777728"/>
    <w:rsid w:val="00783B88"/>
    <w:rsid w:val="00790C56"/>
    <w:rsid w:val="00793EA0"/>
    <w:rsid w:val="007973EE"/>
    <w:rsid w:val="007A2D12"/>
    <w:rsid w:val="007A551C"/>
    <w:rsid w:val="007B592C"/>
    <w:rsid w:val="007D201C"/>
    <w:rsid w:val="007D527B"/>
    <w:rsid w:val="007E0133"/>
    <w:rsid w:val="007E1290"/>
    <w:rsid w:val="007E5476"/>
    <w:rsid w:val="007E5B8C"/>
    <w:rsid w:val="007E7401"/>
    <w:rsid w:val="008131CF"/>
    <w:rsid w:val="00817E24"/>
    <w:rsid w:val="00822293"/>
    <w:rsid w:val="00823DCE"/>
    <w:rsid w:val="00835A2A"/>
    <w:rsid w:val="0084152A"/>
    <w:rsid w:val="008603FE"/>
    <w:rsid w:val="0086053B"/>
    <w:rsid w:val="008743C2"/>
    <w:rsid w:val="008868A3"/>
    <w:rsid w:val="008A3D4E"/>
    <w:rsid w:val="008A6D9B"/>
    <w:rsid w:val="008B6E04"/>
    <w:rsid w:val="008D16B7"/>
    <w:rsid w:val="008D559C"/>
    <w:rsid w:val="008D5BA7"/>
    <w:rsid w:val="008E1E3F"/>
    <w:rsid w:val="008E51C3"/>
    <w:rsid w:val="0090521B"/>
    <w:rsid w:val="00906D28"/>
    <w:rsid w:val="00911465"/>
    <w:rsid w:val="00913328"/>
    <w:rsid w:val="0092778F"/>
    <w:rsid w:val="0093155C"/>
    <w:rsid w:val="0094366F"/>
    <w:rsid w:val="00964A5A"/>
    <w:rsid w:val="00966271"/>
    <w:rsid w:val="00973EB9"/>
    <w:rsid w:val="0098370B"/>
    <w:rsid w:val="009852E8"/>
    <w:rsid w:val="00991317"/>
    <w:rsid w:val="009947D6"/>
    <w:rsid w:val="009959D2"/>
    <w:rsid w:val="00997B8F"/>
    <w:rsid w:val="009B0941"/>
    <w:rsid w:val="009B22CF"/>
    <w:rsid w:val="009B2992"/>
    <w:rsid w:val="009C35AA"/>
    <w:rsid w:val="009C435A"/>
    <w:rsid w:val="009C43E7"/>
    <w:rsid w:val="009C45C5"/>
    <w:rsid w:val="009D41EF"/>
    <w:rsid w:val="009D59FC"/>
    <w:rsid w:val="009D63CF"/>
    <w:rsid w:val="009F006B"/>
    <w:rsid w:val="009F0413"/>
    <w:rsid w:val="009F637A"/>
    <w:rsid w:val="00A055F0"/>
    <w:rsid w:val="00A13DE7"/>
    <w:rsid w:val="00A215D2"/>
    <w:rsid w:val="00A256B8"/>
    <w:rsid w:val="00A307AC"/>
    <w:rsid w:val="00A427A6"/>
    <w:rsid w:val="00A5496D"/>
    <w:rsid w:val="00A90443"/>
    <w:rsid w:val="00AA4356"/>
    <w:rsid w:val="00AB3F63"/>
    <w:rsid w:val="00AB4C82"/>
    <w:rsid w:val="00AB7D2D"/>
    <w:rsid w:val="00AC5E23"/>
    <w:rsid w:val="00AD4028"/>
    <w:rsid w:val="00AE5337"/>
    <w:rsid w:val="00AF253A"/>
    <w:rsid w:val="00B0167F"/>
    <w:rsid w:val="00B023C5"/>
    <w:rsid w:val="00B2321C"/>
    <w:rsid w:val="00B24C9A"/>
    <w:rsid w:val="00B40F4E"/>
    <w:rsid w:val="00B41775"/>
    <w:rsid w:val="00B422C9"/>
    <w:rsid w:val="00B512F1"/>
    <w:rsid w:val="00B51BB1"/>
    <w:rsid w:val="00B7745D"/>
    <w:rsid w:val="00B8235E"/>
    <w:rsid w:val="00B85A4B"/>
    <w:rsid w:val="00B873BF"/>
    <w:rsid w:val="00B95023"/>
    <w:rsid w:val="00BA6788"/>
    <w:rsid w:val="00BB2441"/>
    <w:rsid w:val="00BB3117"/>
    <w:rsid w:val="00BC2A4C"/>
    <w:rsid w:val="00BC3E7D"/>
    <w:rsid w:val="00BC4BA2"/>
    <w:rsid w:val="00BC6282"/>
    <w:rsid w:val="00BD0B8E"/>
    <w:rsid w:val="00BD56C2"/>
    <w:rsid w:val="00BD7D37"/>
    <w:rsid w:val="00BF5DB7"/>
    <w:rsid w:val="00C0324C"/>
    <w:rsid w:val="00C174CF"/>
    <w:rsid w:val="00C17B31"/>
    <w:rsid w:val="00C25E65"/>
    <w:rsid w:val="00C30266"/>
    <w:rsid w:val="00C31D6A"/>
    <w:rsid w:val="00C42DDB"/>
    <w:rsid w:val="00C4329B"/>
    <w:rsid w:val="00C53C76"/>
    <w:rsid w:val="00C64313"/>
    <w:rsid w:val="00C73F4E"/>
    <w:rsid w:val="00C75596"/>
    <w:rsid w:val="00C85220"/>
    <w:rsid w:val="00C96034"/>
    <w:rsid w:val="00CA25D6"/>
    <w:rsid w:val="00CA586A"/>
    <w:rsid w:val="00CB2025"/>
    <w:rsid w:val="00CB6B09"/>
    <w:rsid w:val="00CC1841"/>
    <w:rsid w:val="00CC1A2C"/>
    <w:rsid w:val="00CC3A47"/>
    <w:rsid w:val="00CC41A5"/>
    <w:rsid w:val="00CC6DA0"/>
    <w:rsid w:val="00CC7D83"/>
    <w:rsid w:val="00CD0C19"/>
    <w:rsid w:val="00CD1BD2"/>
    <w:rsid w:val="00CD2D2F"/>
    <w:rsid w:val="00CD454D"/>
    <w:rsid w:val="00CD4A2F"/>
    <w:rsid w:val="00CD7531"/>
    <w:rsid w:val="00CE0D37"/>
    <w:rsid w:val="00CE5BE6"/>
    <w:rsid w:val="00CE6B18"/>
    <w:rsid w:val="00CF25AB"/>
    <w:rsid w:val="00D00CB2"/>
    <w:rsid w:val="00D0106F"/>
    <w:rsid w:val="00D014C1"/>
    <w:rsid w:val="00D043FB"/>
    <w:rsid w:val="00D16996"/>
    <w:rsid w:val="00D2714B"/>
    <w:rsid w:val="00D325CA"/>
    <w:rsid w:val="00D44A94"/>
    <w:rsid w:val="00D45529"/>
    <w:rsid w:val="00D55D32"/>
    <w:rsid w:val="00D7176D"/>
    <w:rsid w:val="00D762CB"/>
    <w:rsid w:val="00D76EB8"/>
    <w:rsid w:val="00D81195"/>
    <w:rsid w:val="00D83136"/>
    <w:rsid w:val="00D839D6"/>
    <w:rsid w:val="00D83C97"/>
    <w:rsid w:val="00DB7998"/>
    <w:rsid w:val="00DC6807"/>
    <w:rsid w:val="00DD1443"/>
    <w:rsid w:val="00DD397B"/>
    <w:rsid w:val="00DE2177"/>
    <w:rsid w:val="00DE4723"/>
    <w:rsid w:val="00DE4FEE"/>
    <w:rsid w:val="00E01055"/>
    <w:rsid w:val="00E223B8"/>
    <w:rsid w:val="00E26A32"/>
    <w:rsid w:val="00E41F8A"/>
    <w:rsid w:val="00E45DBB"/>
    <w:rsid w:val="00E46C83"/>
    <w:rsid w:val="00E47863"/>
    <w:rsid w:val="00E54AD6"/>
    <w:rsid w:val="00E5690F"/>
    <w:rsid w:val="00E5717F"/>
    <w:rsid w:val="00E61F3B"/>
    <w:rsid w:val="00E81279"/>
    <w:rsid w:val="00E84ED3"/>
    <w:rsid w:val="00E94772"/>
    <w:rsid w:val="00E975E7"/>
    <w:rsid w:val="00EC5B63"/>
    <w:rsid w:val="00ED565C"/>
    <w:rsid w:val="00EE1739"/>
    <w:rsid w:val="00EE2AC2"/>
    <w:rsid w:val="00EF17D9"/>
    <w:rsid w:val="00EF1D4D"/>
    <w:rsid w:val="00F00FEE"/>
    <w:rsid w:val="00F075FA"/>
    <w:rsid w:val="00F11F67"/>
    <w:rsid w:val="00F12C1E"/>
    <w:rsid w:val="00F15F34"/>
    <w:rsid w:val="00F227A2"/>
    <w:rsid w:val="00F51C26"/>
    <w:rsid w:val="00F6001C"/>
    <w:rsid w:val="00F914DB"/>
    <w:rsid w:val="00F925A9"/>
    <w:rsid w:val="00F95D2A"/>
    <w:rsid w:val="00F961C8"/>
    <w:rsid w:val="00FA11B7"/>
    <w:rsid w:val="00FA13F3"/>
    <w:rsid w:val="00FA25A6"/>
    <w:rsid w:val="00FB0A8A"/>
    <w:rsid w:val="00FC24FE"/>
    <w:rsid w:val="00FC6402"/>
    <w:rsid w:val="00FD6243"/>
    <w:rsid w:val="00FF1C68"/>
    <w:rsid w:val="00FF29B4"/>
    <w:rsid w:val="00FF5492"/>
    <w:rsid w:val="00FF7FB4"/>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EAFF1"/>
  <w15:docId w15:val="{66783BB2-5475-4F41-BC39-1F1F4432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F17D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35A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35A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235E"/>
    <w:pPr>
      <w:ind w:left="720"/>
      <w:contextualSpacing/>
    </w:pPr>
  </w:style>
  <w:style w:type="table" w:styleId="Tablaconcuadrcula">
    <w:name w:val="Table Grid"/>
    <w:basedOn w:val="Tablanormal"/>
    <w:uiPriority w:val="39"/>
    <w:rsid w:val="006A0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0413"/>
    <w:pPr>
      <w:spacing w:before="100" w:beforeAutospacing="1" w:after="100" w:afterAutospacing="1" w:line="240" w:lineRule="auto"/>
    </w:pPr>
    <w:rPr>
      <w:rFonts w:ascii="Times New Roman" w:eastAsia="Times New Roman" w:hAnsi="Times New Roman" w:cs="Times New Roman"/>
      <w:sz w:val="24"/>
      <w:szCs w:val="24"/>
      <w:lang w:val="es-PA" w:eastAsia="es-PA"/>
    </w:rPr>
  </w:style>
  <w:style w:type="character" w:customStyle="1" w:styleId="Ttulo1Car">
    <w:name w:val="Título 1 Car"/>
    <w:basedOn w:val="Fuentedeprrafopredeter"/>
    <w:link w:val="Ttulo1"/>
    <w:uiPriority w:val="9"/>
    <w:rsid w:val="00EF17D9"/>
    <w:rPr>
      <w:rFonts w:asciiTheme="majorHAnsi" w:eastAsiaTheme="majorEastAsia" w:hAnsiTheme="majorHAnsi" w:cstheme="majorBidi"/>
      <w:b/>
      <w:bCs/>
      <w:color w:val="2E74B5" w:themeColor="accent1" w:themeShade="BF"/>
      <w:sz w:val="28"/>
      <w:szCs w:val="28"/>
    </w:rPr>
  </w:style>
  <w:style w:type="paragraph" w:styleId="Textodeglobo">
    <w:name w:val="Balloon Text"/>
    <w:basedOn w:val="Normal"/>
    <w:link w:val="TextodegloboCar"/>
    <w:uiPriority w:val="99"/>
    <w:semiHidden/>
    <w:unhideWhenUsed/>
    <w:rsid w:val="00E54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AD6"/>
    <w:rPr>
      <w:rFonts w:ascii="Tahoma" w:hAnsi="Tahoma" w:cs="Tahoma"/>
      <w:sz w:val="16"/>
      <w:szCs w:val="16"/>
    </w:rPr>
  </w:style>
  <w:style w:type="paragraph" w:styleId="Textonotapie">
    <w:name w:val="footnote text"/>
    <w:aliases w:val="FOOTNOTES,fn,single space,f,Footnote Text Char1 Char,Footnote Text Char Char Char1,Footnote Text Char1 Char Char Char1,Footnote Text Char1 Char1 Char,Footnote Text Char Char Char Char,Char,Fußnote,Footnote,Car Car,Footnote Text Char Car"/>
    <w:basedOn w:val="Normal"/>
    <w:link w:val="TextonotapieCar"/>
    <w:uiPriority w:val="99"/>
    <w:unhideWhenUsed/>
    <w:rsid w:val="00E54AD6"/>
    <w:pPr>
      <w:spacing w:after="0" w:line="240" w:lineRule="auto"/>
    </w:pPr>
    <w:rPr>
      <w:sz w:val="20"/>
      <w:szCs w:val="20"/>
    </w:rPr>
  </w:style>
  <w:style w:type="character" w:customStyle="1" w:styleId="TextonotapieCar">
    <w:name w:val="Texto nota pie Car"/>
    <w:aliases w:val="FOOTNOTES Car,fn Car,single space Car,f Car,Footnote Text Char1 Char Car,Footnote Text Char Char Char1 Car,Footnote Text Char1 Char Char Char1 Car,Footnote Text Char1 Char1 Char Car,Footnote Text Char Char Char Char Car,Char Car"/>
    <w:basedOn w:val="Fuentedeprrafopredeter"/>
    <w:link w:val="Textonotapie"/>
    <w:uiPriority w:val="99"/>
    <w:rsid w:val="00E54AD6"/>
    <w:rPr>
      <w:sz w:val="20"/>
      <w:szCs w:val="20"/>
    </w:rPr>
  </w:style>
  <w:style w:type="character" w:styleId="Refdenotaalpie">
    <w:name w:val="footnote reference"/>
    <w:aliases w:val="Footnote Reference Number,BVI fnr"/>
    <w:basedOn w:val="Fuentedeprrafopredeter"/>
    <w:uiPriority w:val="99"/>
    <w:unhideWhenUsed/>
    <w:rsid w:val="00E54AD6"/>
    <w:rPr>
      <w:vertAlign w:val="superscript"/>
    </w:rPr>
  </w:style>
  <w:style w:type="paragraph" w:styleId="Encabezado">
    <w:name w:val="header"/>
    <w:basedOn w:val="Normal"/>
    <w:link w:val="EncabezadoCar"/>
    <w:uiPriority w:val="99"/>
    <w:unhideWhenUsed/>
    <w:rsid w:val="00E54A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4AD6"/>
  </w:style>
  <w:style w:type="paragraph" w:styleId="Piedepgina">
    <w:name w:val="footer"/>
    <w:basedOn w:val="Normal"/>
    <w:link w:val="PiedepginaCar"/>
    <w:uiPriority w:val="99"/>
    <w:unhideWhenUsed/>
    <w:rsid w:val="00E54A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4AD6"/>
  </w:style>
  <w:style w:type="paragraph" w:styleId="Descripcin">
    <w:name w:val="caption"/>
    <w:basedOn w:val="Normal"/>
    <w:next w:val="Normal"/>
    <w:uiPriority w:val="35"/>
    <w:unhideWhenUsed/>
    <w:qFormat/>
    <w:rsid w:val="00F51C26"/>
    <w:pPr>
      <w:spacing w:before="100" w:beforeAutospacing="1" w:after="200" w:afterAutospacing="1" w:line="240" w:lineRule="auto"/>
      <w:jc w:val="both"/>
    </w:pPr>
    <w:rPr>
      <w:rFonts w:eastAsiaTheme="minorEastAsia"/>
      <w:b/>
      <w:bCs/>
      <w:color w:val="5B9BD5" w:themeColor="accent1"/>
      <w:sz w:val="18"/>
      <w:szCs w:val="18"/>
      <w:lang w:val="en-US" w:eastAsia="zh-CN"/>
    </w:rPr>
  </w:style>
  <w:style w:type="paragraph" w:styleId="Sinespaciado">
    <w:name w:val="No Spacing"/>
    <w:link w:val="SinespaciadoCar"/>
    <w:uiPriority w:val="1"/>
    <w:qFormat/>
    <w:rsid w:val="00297F53"/>
    <w:pPr>
      <w:spacing w:after="0" w:line="240" w:lineRule="auto"/>
    </w:pPr>
    <w:rPr>
      <w:lang w:val="es-SV"/>
    </w:rPr>
  </w:style>
  <w:style w:type="paragraph" w:styleId="Bibliografa">
    <w:name w:val="Bibliography"/>
    <w:basedOn w:val="Normal"/>
    <w:next w:val="Normal"/>
    <w:uiPriority w:val="37"/>
    <w:unhideWhenUsed/>
    <w:rsid w:val="000F4003"/>
  </w:style>
  <w:style w:type="paragraph" w:styleId="ndice1">
    <w:name w:val="index 1"/>
    <w:basedOn w:val="Normal"/>
    <w:next w:val="Normal"/>
    <w:autoRedefine/>
    <w:uiPriority w:val="99"/>
    <w:unhideWhenUsed/>
    <w:rsid w:val="00D325CA"/>
    <w:pPr>
      <w:spacing w:after="0"/>
      <w:ind w:left="220" w:hanging="220"/>
    </w:pPr>
    <w:rPr>
      <w:sz w:val="18"/>
      <w:szCs w:val="18"/>
    </w:rPr>
  </w:style>
  <w:style w:type="paragraph" w:styleId="ndice2">
    <w:name w:val="index 2"/>
    <w:basedOn w:val="Normal"/>
    <w:next w:val="Normal"/>
    <w:autoRedefine/>
    <w:uiPriority w:val="99"/>
    <w:unhideWhenUsed/>
    <w:rsid w:val="00D325CA"/>
    <w:pPr>
      <w:spacing w:after="0"/>
      <w:ind w:left="440" w:hanging="220"/>
    </w:pPr>
    <w:rPr>
      <w:sz w:val="18"/>
      <w:szCs w:val="18"/>
    </w:rPr>
  </w:style>
  <w:style w:type="paragraph" w:styleId="ndice3">
    <w:name w:val="index 3"/>
    <w:basedOn w:val="Normal"/>
    <w:next w:val="Normal"/>
    <w:autoRedefine/>
    <w:uiPriority w:val="99"/>
    <w:unhideWhenUsed/>
    <w:rsid w:val="00D325CA"/>
    <w:pPr>
      <w:spacing w:after="0"/>
      <w:ind w:left="660" w:hanging="220"/>
    </w:pPr>
    <w:rPr>
      <w:sz w:val="18"/>
      <w:szCs w:val="18"/>
    </w:rPr>
  </w:style>
  <w:style w:type="paragraph" w:styleId="ndice4">
    <w:name w:val="index 4"/>
    <w:basedOn w:val="Normal"/>
    <w:next w:val="Normal"/>
    <w:autoRedefine/>
    <w:uiPriority w:val="99"/>
    <w:unhideWhenUsed/>
    <w:rsid w:val="00D325CA"/>
    <w:pPr>
      <w:spacing w:after="0"/>
      <w:ind w:left="880" w:hanging="220"/>
    </w:pPr>
    <w:rPr>
      <w:sz w:val="18"/>
      <w:szCs w:val="18"/>
    </w:rPr>
  </w:style>
  <w:style w:type="paragraph" w:styleId="ndice5">
    <w:name w:val="index 5"/>
    <w:basedOn w:val="Normal"/>
    <w:next w:val="Normal"/>
    <w:autoRedefine/>
    <w:uiPriority w:val="99"/>
    <w:unhideWhenUsed/>
    <w:rsid w:val="00D325CA"/>
    <w:pPr>
      <w:spacing w:after="0"/>
      <w:ind w:left="1100" w:hanging="220"/>
    </w:pPr>
    <w:rPr>
      <w:sz w:val="18"/>
      <w:szCs w:val="18"/>
    </w:rPr>
  </w:style>
  <w:style w:type="paragraph" w:styleId="ndice6">
    <w:name w:val="index 6"/>
    <w:basedOn w:val="Normal"/>
    <w:next w:val="Normal"/>
    <w:autoRedefine/>
    <w:uiPriority w:val="99"/>
    <w:unhideWhenUsed/>
    <w:rsid w:val="00D325CA"/>
    <w:pPr>
      <w:spacing w:after="0"/>
      <w:ind w:left="1320" w:hanging="220"/>
    </w:pPr>
    <w:rPr>
      <w:sz w:val="18"/>
      <w:szCs w:val="18"/>
    </w:rPr>
  </w:style>
  <w:style w:type="paragraph" w:styleId="ndice7">
    <w:name w:val="index 7"/>
    <w:basedOn w:val="Normal"/>
    <w:next w:val="Normal"/>
    <w:autoRedefine/>
    <w:uiPriority w:val="99"/>
    <w:unhideWhenUsed/>
    <w:rsid w:val="00D325CA"/>
    <w:pPr>
      <w:spacing w:after="0"/>
      <w:ind w:left="1540" w:hanging="220"/>
    </w:pPr>
    <w:rPr>
      <w:sz w:val="18"/>
      <w:szCs w:val="18"/>
    </w:rPr>
  </w:style>
  <w:style w:type="paragraph" w:styleId="ndice8">
    <w:name w:val="index 8"/>
    <w:basedOn w:val="Normal"/>
    <w:next w:val="Normal"/>
    <w:autoRedefine/>
    <w:uiPriority w:val="99"/>
    <w:unhideWhenUsed/>
    <w:rsid w:val="00D325CA"/>
    <w:pPr>
      <w:spacing w:after="0"/>
      <w:ind w:left="1760" w:hanging="220"/>
    </w:pPr>
    <w:rPr>
      <w:sz w:val="18"/>
      <w:szCs w:val="18"/>
    </w:rPr>
  </w:style>
  <w:style w:type="paragraph" w:styleId="ndice9">
    <w:name w:val="index 9"/>
    <w:basedOn w:val="Normal"/>
    <w:next w:val="Normal"/>
    <w:autoRedefine/>
    <w:uiPriority w:val="99"/>
    <w:unhideWhenUsed/>
    <w:rsid w:val="00D325CA"/>
    <w:pPr>
      <w:spacing w:after="0"/>
      <w:ind w:left="1980" w:hanging="220"/>
    </w:pPr>
    <w:rPr>
      <w:sz w:val="18"/>
      <w:szCs w:val="18"/>
    </w:rPr>
  </w:style>
  <w:style w:type="paragraph" w:styleId="Ttulodendice">
    <w:name w:val="index heading"/>
    <w:basedOn w:val="Normal"/>
    <w:next w:val="ndice1"/>
    <w:uiPriority w:val="99"/>
    <w:unhideWhenUsed/>
    <w:rsid w:val="00D325CA"/>
    <w:pPr>
      <w:spacing w:before="240" w:after="120"/>
      <w:jc w:val="center"/>
    </w:pPr>
    <w:rPr>
      <w:b/>
      <w:bCs/>
      <w:sz w:val="26"/>
      <w:szCs w:val="26"/>
    </w:rPr>
  </w:style>
  <w:style w:type="paragraph" w:styleId="TtuloTDC">
    <w:name w:val="TOC Heading"/>
    <w:basedOn w:val="Ttulo1"/>
    <w:next w:val="Normal"/>
    <w:uiPriority w:val="39"/>
    <w:unhideWhenUsed/>
    <w:qFormat/>
    <w:rsid w:val="00D325CA"/>
    <w:pPr>
      <w:spacing w:before="240"/>
      <w:outlineLvl w:val="9"/>
    </w:pPr>
    <w:rPr>
      <w:b w:val="0"/>
      <w:bCs w:val="0"/>
      <w:sz w:val="32"/>
      <w:szCs w:val="32"/>
      <w:lang w:val="es-SV" w:eastAsia="es-SV"/>
    </w:rPr>
  </w:style>
  <w:style w:type="paragraph" w:styleId="TDC2">
    <w:name w:val="toc 2"/>
    <w:basedOn w:val="Normal"/>
    <w:next w:val="Normal"/>
    <w:autoRedefine/>
    <w:uiPriority w:val="39"/>
    <w:unhideWhenUsed/>
    <w:rsid w:val="00D325CA"/>
    <w:pPr>
      <w:spacing w:after="100"/>
      <w:ind w:left="220"/>
    </w:pPr>
    <w:rPr>
      <w:rFonts w:eastAsiaTheme="minorEastAsia" w:cs="Times New Roman"/>
      <w:lang w:val="es-SV" w:eastAsia="es-SV"/>
    </w:rPr>
  </w:style>
  <w:style w:type="paragraph" w:styleId="TDC1">
    <w:name w:val="toc 1"/>
    <w:basedOn w:val="Normal"/>
    <w:next w:val="Normal"/>
    <w:autoRedefine/>
    <w:uiPriority w:val="39"/>
    <w:unhideWhenUsed/>
    <w:rsid w:val="00D325CA"/>
    <w:pPr>
      <w:spacing w:after="100"/>
    </w:pPr>
    <w:rPr>
      <w:rFonts w:eastAsiaTheme="minorEastAsia" w:cs="Times New Roman"/>
      <w:lang w:val="es-SV" w:eastAsia="es-SV"/>
    </w:rPr>
  </w:style>
  <w:style w:type="paragraph" w:styleId="TDC3">
    <w:name w:val="toc 3"/>
    <w:basedOn w:val="Normal"/>
    <w:next w:val="Normal"/>
    <w:autoRedefine/>
    <w:uiPriority w:val="39"/>
    <w:unhideWhenUsed/>
    <w:rsid w:val="00D325CA"/>
    <w:pPr>
      <w:spacing w:after="100"/>
      <w:ind w:left="440"/>
    </w:pPr>
    <w:rPr>
      <w:rFonts w:eastAsiaTheme="minorEastAsia" w:cs="Times New Roman"/>
      <w:lang w:val="es-SV" w:eastAsia="es-SV"/>
    </w:rPr>
  </w:style>
  <w:style w:type="character" w:customStyle="1" w:styleId="Ttulo2Car">
    <w:name w:val="Título 2 Car"/>
    <w:basedOn w:val="Fuentedeprrafopredeter"/>
    <w:link w:val="Ttulo2"/>
    <w:uiPriority w:val="9"/>
    <w:rsid w:val="00835A2A"/>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835A2A"/>
    <w:rPr>
      <w:color w:val="0563C1" w:themeColor="hyperlink"/>
      <w:u w:val="single"/>
    </w:rPr>
  </w:style>
  <w:style w:type="character" w:customStyle="1" w:styleId="Ttulo3Car">
    <w:name w:val="Título 3 Car"/>
    <w:basedOn w:val="Fuentedeprrafopredeter"/>
    <w:link w:val="Ttulo3"/>
    <w:uiPriority w:val="9"/>
    <w:rsid w:val="00835A2A"/>
    <w:rPr>
      <w:rFonts w:asciiTheme="majorHAnsi" w:eastAsiaTheme="majorEastAsia" w:hAnsiTheme="majorHAnsi" w:cstheme="majorBidi"/>
      <w:color w:val="1F4D78" w:themeColor="accent1" w:themeShade="7F"/>
      <w:sz w:val="24"/>
      <w:szCs w:val="24"/>
    </w:rPr>
  </w:style>
  <w:style w:type="character" w:customStyle="1" w:styleId="Mencinsinresolver1">
    <w:name w:val="Mención sin resolver1"/>
    <w:basedOn w:val="Fuentedeprrafopredeter"/>
    <w:uiPriority w:val="99"/>
    <w:semiHidden/>
    <w:unhideWhenUsed/>
    <w:rsid w:val="0093155C"/>
    <w:rPr>
      <w:color w:val="605E5C"/>
      <w:shd w:val="clear" w:color="auto" w:fill="E1DFDD"/>
    </w:rPr>
  </w:style>
  <w:style w:type="character" w:customStyle="1" w:styleId="SinespaciadoCar">
    <w:name w:val="Sin espaciado Car"/>
    <w:basedOn w:val="Fuentedeprrafopredeter"/>
    <w:link w:val="Sinespaciado"/>
    <w:uiPriority w:val="1"/>
    <w:rsid w:val="00FF5492"/>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109">
      <w:bodyDiv w:val="1"/>
      <w:marLeft w:val="0"/>
      <w:marRight w:val="0"/>
      <w:marTop w:val="0"/>
      <w:marBottom w:val="0"/>
      <w:divBdr>
        <w:top w:val="none" w:sz="0" w:space="0" w:color="auto"/>
        <w:left w:val="none" w:sz="0" w:space="0" w:color="auto"/>
        <w:bottom w:val="none" w:sz="0" w:space="0" w:color="auto"/>
        <w:right w:val="none" w:sz="0" w:space="0" w:color="auto"/>
      </w:divBdr>
    </w:div>
    <w:div w:id="27222506">
      <w:bodyDiv w:val="1"/>
      <w:marLeft w:val="0"/>
      <w:marRight w:val="0"/>
      <w:marTop w:val="0"/>
      <w:marBottom w:val="0"/>
      <w:divBdr>
        <w:top w:val="none" w:sz="0" w:space="0" w:color="auto"/>
        <w:left w:val="none" w:sz="0" w:space="0" w:color="auto"/>
        <w:bottom w:val="none" w:sz="0" w:space="0" w:color="auto"/>
        <w:right w:val="none" w:sz="0" w:space="0" w:color="auto"/>
      </w:divBdr>
    </w:div>
    <w:div w:id="30540269">
      <w:bodyDiv w:val="1"/>
      <w:marLeft w:val="0"/>
      <w:marRight w:val="0"/>
      <w:marTop w:val="0"/>
      <w:marBottom w:val="0"/>
      <w:divBdr>
        <w:top w:val="none" w:sz="0" w:space="0" w:color="auto"/>
        <w:left w:val="none" w:sz="0" w:space="0" w:color="auto"/>
        <w:bottom w:val="none" w:sz="0" w:space="0" w:color="auto"/>
        <w:right w:val="none" w:sz="0" w:space="0" w:color="auto"/>
      </w:divBdr>
    </w:div>
    <w:div w:id="30765387">
      <w:bodyDiv w:val="1"/>
      <w:marLeft w:val="0"/>
      <w:marRight w:val="0"/>
      <w:marTop w:val="0"/>
      <w:marBottom w:val="0"/>
      <w:divBdr>
        <w:top w:val="none" w:sz="0" w:space="0" w:color="auto"/>
        <w:left w:val="none" w:sz="0" w:space="0" w:color="auto"/>
        <w:bottom w:val="none" w:sz="0" w:space="0" w:color="auto"/>
        <w:right w:val="none" w:sz="0" w:space="0" w:color="auto"/>
      </w:divBdr>
    </w:div>
    <w:div w:id="34742684">
      <w:bodyDiv w:val="1"/>
      <w:marLeft w:val="0"/>
      <w:marRight w:val="0"/>
      <w:marTop w:val="0"/>
      <w:marBottom w:val="0"/>
      <w:divBdr>
        <w:top w:val="none" w:sz="0" w:space="0" w:color="auto"/>
        <w:left w:val="none" w:sz="0" w:space="0" w:color="auto"/>
        <w:bottom w:val="none" w:sz="0" w:space="0" w:color="auto"/>
        <w:right w:val="none" w:sz="0" w:space="0" w:color="auto"/>
      </w:divBdr>
    </w:div>
    <w:div w:id="59182393">
      <w:bodyDiv w:val="1"/>
      <w:marLeft w:val="0"/>
      <w:marRight w:val="0"/>
      <w:marTop w:val="0"/>
      <w:marBottom w:val="0"/>
      <w:divBdr>
        <w:top w:val="none" w:sz="0" w:space="0" w:color="auto"/>
        <w:left w:val="none" w:sz="0" w:space="0" w:color="auto"/>
        <w:bottom w:val="none" w:sz="0" w:space="0" w:color="auto"/>
        <w:right w:val="none" w:sz="0" w:space="0" w:color="auto"/>
      </w:divBdr>
    </w:div>
    <w:div w:id="76682530">
      <w:bodyDiv w:val="1"/>
      <w:marLeft w:val="0"/>
      <w:marRight w:val="0"/>
      <w:marTop w:val="0"/>
      <w:marBottom w:val="0"/>
      <w:divBdr>
        <w:top w:val="none" w:sz="0" w:space="0" w:color="auto"/>
        <w:left w:val="none" w:sz="0" w:space="0" w:color="auto"/>
        <w:bottom w:val="none" w:sz="0" w:space="0" w:color="auto"/>
        <w:right w:val="none" w:sz="0" w:space="0" w:color="auto"/>
      </w:divBdr>
    </w:div>
    <w:div w:id="87234021">
      <w:bodyDiv w:val="1"/>
      <w:marLeft w:val="0"/>
      <w:marRight w:val="0"/>
      <w:marTop w:val="0"/>
      <w:marBottom w:val="0"/>
      <w:divBdr>
        <w:top w:val="none" w:sz="0" w:space="0" w:color="auto"/>
        <w:left w:val="none" w:sz="0" w:space="0" w:color="auto"/>
        <w:bottom w:val="none" w:sz="0" w:space="0" w:color="auto"/>
        <w:right w:val="none" w:sz="0" w:space="0" w:color="auto"/>
      </w:divBdr>
    </w:div>
    <w:div w:id="96560090">
      <w:bodyDiv w:val="1"/>
      <w:marLeft w:val="0"/>
      <w:marRight w:val="0"/>
      <w:marTop w:val="0"/>
      <w:marBottom w:val="0"/>
      <w:divBdr>
        <w:top w:val="none" w:sz="0" w:space="0" w:color="auto"/>
        <w:left w:val="none" w:sz="0" w:space="0" w:color="auto"/>
        <w:bottom w:val="none" w:sz="0" w:space="0" w:color="auto"/>
        <w:right w:val="none" w:sz="0" w:space="0" w:color="auto"/>
      </w:divBdr>
    </w:div>
    <w:div w:id="139230934">
      <w:bodyDiv w:val="1"/>
      <w:marLeft w:val="0"/>
      <w:marRight w:val="0"/>
      <w:marTop w:val="0"/>
      <w:marBottom w:val="0"/>
      <w:divBdr>
        <w:top w:val="none" w:sz="0" w:space="0" w:color="auto"/>
        <w:left w:val="none" w:sz="0" w:space="0" w:color="auto"/>
        <w:bottom w:val="none" w:sz="0" w:space="0" w:color="auto"/>
        <w:right w:val="none" w:sz="0" w:space="0" w:color="auto"/>
      </w:divBdr>
    </w:div>
    <w:div w:id="152717689">
      <w:bodyDiv w:val="1"/>
      <w:marLeft w:val="0"/>
      <w:marRight w:val="0"/>
      <w:marTop w:val="0"/>
      <w:marBottom w:val="0"/>
      <w:divBdr>
        <w:top w:val="none" w:sz="0" w:space="0" w:color="auto"/>
        <w:left w:val="none" w:sz="0" w:space="0" w:color="auto"/>
        <w:bottom w:val="none" w:sz="0" w:space="0" w:color="auto"/>
        <w:right w:val="none" w:sz="0" w:space="0" w:color="auto"/>
      </w:divBdr>
    </w:div>
    <w:div w:id="153036122">
      <w:bodyDiv w:val="1"/>
      <w:marLeft w:val="0"/>
      <w:marRight w:val="0"/>
      <w:marTop w:val="0"/>
      <w:marBottom w:val="0"/>
      <w:divBdr>
        <w:top w:val="none" w:sz="0" w:space="0" w:color="auto"/>
        <w:left w:val="none" w:sz="0" w:space="0" w:color="auto"/>
        <w:bottom w:val="none" w:sz="0" w:space="0" w:color="auto"/>
        <w:right w:val="none" w:sz="0" w:space="0" w:color="auto"/>
      </w:divBdr>
    </w:div>
    <w:div w:id="174195968">
      <w:bodyDiv w:val="1"/>
      <w:marLeft w:val="0"/>
      <w:marRight w:val="0"/>
      <w:marTop w:val="0"/>
      <w:marBottom w:val="0"/>
      <w:divBdr>
        <w:top w:val="none" w:sz="0" w:space="0" w:color="auto"/>
        <w:left w:val="none" w:sz="0" w:space="0" w:color="auto"/>
        <w:bottom w:val="none" w:sz="0" w:space="0" w:color="auto"/>
        <w:right w:val="none" w:sz="0" w:space="0" w:color="auto"/>
      </w:divBdr>
    </w:div>
    <w:div w:id="197278332">
      <w:bodyDiv w:val="1"/>
      <w:marLeft w:val="0"/>
      <w:marRight w:val="0"/>
      <w:marTop w:val="0"/>
      <w:marBottom w:val="0"/>
      <w:divBdr>
        <w:top w:val="none" w:sz="0" w:space="0" w:color="auto"/>
        <w:left w:val="none" w:sz="0" w:space="0" w:color="auto"/>
        <w:bottom w:val="none" w:sz="0" w:space="0" w:color="auto"/>
        <w:right w:val="none" w:sz="0" w:space="0" w:color="auto"/>
      </w:divBdr>
    </w:div>
    <w:div w:id="198205843">
      <w:bodyDiv w:val="1"/>
      <w:marLeft w:val="0"/>
      <w:marRight w:val="0"/>
      <w:marTop w:val="0"/>
      <w:marBottom w:val="0"/>
      <w:divBdr>
        <w:top w:val="none" w:sz="0" w:space="0" w:color="auto"/>
        <w:left w:val="none" w:sz="0" w:space="0" w:color="auto"/>
        <w:bottom w:val="none" w:sz="0" w:space="0" w:color="auto"/>
        <w:right w:val="none" w:sz="0" w:space="0" w:color="auto"/>
      </w:divBdr>
    </w:div>
    <w:div w:id="201670709">
      <w:bodyDiv w:val="1"/>
      <w:marLeft w:val="0"/>
      <w:marRight w:val="0"/>
      <w:marTop w:val="0"/>
      <w:marBottom w:val="0"/>
      <w:divBdr>
        <w:top w:val="none" w:sz="0" w:space="0" w:color="auto"/>
        <w:left w:val="none" w:sz="0" w:space="0" w:color="auto"/>
        <w:bottom w:val="none" w:sz="0" w:space="0" w:color="auto"/>
        <w:right w:val="none" w:sz="0" w:space="0" w:color="auto"/>
      </w:divBdr>
    </w:div>
    <w:div w:id="202521130">
      <w:bodyDiv w:val="1"/>
      <w:marLeft w:val="0"/>
      <w:marRight w:val="0"/>
      <w:marTop w:val="0"/>
      <w:marBottom w:val="0"/>
      <w:divBdr>
        <w:top w:val="none" w:sz="0" w:space="0" w:color="auto"/>
        <w:left w:val="none" w:sz="0" w:space="0" w:color="auto"/>
        <w:bottom w:val="none" w:sz="0" w:space="0" w:color="auto"/>
        <w:right w:val="none" w:sz="0" w:space="0" w:color="auto"/>
      </w:divBdr>
    </w:div>
    <w:div w:id="206111595">
      <w:bodyDiv w:val="1"/>
      <w:marLeft w:val="0"/>
      <w:marRight w:val="0"/>
      <w:marTop w:val="0"/>
      <w:marBottom w:val="0"/>
      <w:divBdr>
        <w:top w:val="none" w:sz="0" w:space="0" w:color="auto"/>
        <w:left w:val="none" w:sz="0" w:space="0" w:color="auto"/>
        <w:bottom w:val="none" w:sz="0" w:space="0" w:color="auto"/>
        <w:right w:val="none" w:sz="0" w:space="0" w:color="auto"/>
      </w:divBdr>
    </w:div>
    <w:div w:id="207960290">
      <w:bodyDiv w:val="1"/>
      <w:marLeft w:val="0"/>
      <w:marRight w:val="0"/>
      <w:marTop w:val="0"/>
      <w:marBottom w:val="0"/>
      <w:divBdr>
        <w:top w:val="none" w:sz="0" w:space="0" w:color="auto"/>
        <w:left w:val="none" w:sz="0" w:space="0" w:color="auto"/>
        <w:bottom w:val="none" w:sz="0" w:space="0" w:color="auto"/>
        <w:right w:val="none" w:sz="0" w:space="0" w:color="auto"/>
      </w:divBdr>
    </w:div>
    <w:div w:id="208879646">
      <w:bodyDiv w:val="1"/>
      <w:marLeft w:val="0"/>
      <w:marRight w:val="0"/>
      <w:marTop w:val="0"/>
      <w:marBottom w:val="0"/>
      <w:divBdr>
        <w:top w:val="none" w:sz="0" w:space="0" w:color="auto"/>
        <w:left w:val="none" w:sz="0" w:space="0" w:color="auto"/>
        <w:bottom w:val="none" w:sz="0" w:space="0" w:color="auto"/>
        <w:right w:val="none" w:sz="0" w:space="0" w:color="auto"/>
      </w:divBdr>
    </w:div>
    <w:div w:id="255020936">
      <w:bodyDiv w:val="1"/>
      <w:marLeft w:val="0"/>
      <w:marRight w:val="0"/>
      <w:marTop w:val="0"/>
      <w:marBottom w:val="0"/>
      <w:divBdr>
        <w:top w:val="none" w:sz="0" w:space="0" w:color="auto"/>
        <w:left w:val="none" w:sz="0" w:space="0" w:color="auto"/>
        <w:bottom w:val="none" w:sz="0" w:space="0" w:color="auto"/>
        <w:right w:val="none" w:sz="0" w:space="0" w:color="auto"/>
      </w:divBdr>
    </w:div>
    <w:div w:id="275329347">
      <w:bodyDiv w:val="1"/>
      <w:marLeft w:val="0"/>
      <w:marRight w:val="0"/>
      <w:marTop w:val="0"/>
      <w:marBottom w:val="0"/>
      <w:divBdr>
        <w:top w:val="none" w:sz="0" w:space="0" w:color="auto"/>
        <w:left w:val="none" w:sz="0" w:space="0" w:color="auto"/>
        <w:bottom w:val="none" w:sz="0" w:space="0" w:color="auto"/>
        <w:right w:val="none" w:sz="0" w:space="0" w:color="auto"/>
      </w:divBdr>
    </w:div>
    <w:div w:id="286936052">
      <w:bodyDiv w:val="1"/>
      <w:marLeft w:val="0"/>
      <w:marRight w:val="0"/>
      <w:marTop w:val="0"/>
      <w:marBottom w:val="0"/>
      <w:divBdr>
        <w:top w:val="none" w:sz="0" w:space="0" w:color="auto"/>
        <w:left w:val="none" w:sz="0" w:space="0" w:color="auto"/>
        <w:bottom w:val="none" w:sz="0" w:space="0" w:color="auto"/>
        <w:right w:val="none" w:sz="0" w:space="0" w:color="auto"/>
      </w:divBdr>
    </w:div>
    <w:div w:id="287321367">
      <w:bodyDiv w:val="1"/>
      <w:marLeft w:val="0"/>
      <w:marRight w:val="0"/>
      <w:marTop w:val="0"/>
      <w:marBottom w:val="0"/>
      <w:divBdr>
        <w:top w:val="none" w:sz="0" w:space="0" w:color="auto"/>
        <w:left w:val="none" w:sz="0" w:space="0" w:color="auto"/>
        <w:bottom w:val="none" w:sz="0" w:space="0" w:color="auto"/>
        <w:right w:val="none" w:sz="0" w:space="0" w:color="auto"/>
      </w:divBdr>
    </w:div>
    <w:div w:id="294333353">
      <w:bodyDiv w:val="1"/>
      <w:marLeft w:val="0"/>
      <w:marRight w:val="0"/>
      <w:marTop w:val="0"/>
      <w:marBottom w:val="0"/>
      <w:divBdr>
        <w:top w:val="none" w:sz="0" w:space="0" w:color="auto"/>
        <w:left w:val="none" w:sz="0" w:space="0" w:color="auto"/>
        <w:bottom w:val="none" w:sz="0" w:space="0" w:color="auto"/>
        <w:right w:val="none" w:sz="0" w:space="0" w:color="auto"/>
      </w:divBdr>
    </w:div>
    <w:div w:id="319308386">
      <w:bodyDiv w:val="1"/>
      <w:marLeft w:val="0"/>
      <w:marRight w:val="0"/>
      <w:marTop w:val="0"/>
      <w:marBottom w:val="0"/>
      <w:divBdr>
        <w:top w:val="none" w:sz="0" w:space="0" w:color="auto"/>
        <w:left w:val="none" w:sz="0" w:space="0" w:color="auto"/>
        <w:bottom w:val="none" w:sz="0" w:space="0" w:color="auto"/>
        <w:right w:val="none" w:sz="0" w:space="0" w:color="auto"/>
      </w:divBdr>
    </w:div>
    <w:div w:id="330377647">
      <w:bodyDiv w:val="1"/>
      <w:marLeft w:val="0"/>
      <w:marRight w:val="0"/>
      <w:marTop w:val="0"/>
      <w:marBottom w:val="0"/>
      <w:divBdr>
        <w:top w:val="none" w:sz="0" w:space="0" w:color="auto"/>
        <w:left w:val="none" w:sz="0" w:space="0" w:color="auto"/>
        <w:bottom w:val="none" w:sz="0" w:space="0" w:color="auto"/>
        <w:right w:val="none" w:sz="0" w:space="0" w:color="auto"/>
      </w:divBdr>
    </w:div>
    <w:div w:id="345982361">
      <w:bodyDiv w:val="1"/>
      <w:marLeft w:val="0"/>
      <w:marRight w:val="0"/>
      <w:marTop w:val="0"/>
      <w:marBottom w:val="0"/>
      <w:divBdr>
        <w:top w:val="none" w:sz="0" w:space="0" w:color="auto"/>
        <w:left w:val="none" w:sz="0" w:space="0" w:color="auto"/>
        <w:bottom w:val="none" w:sz="0" w:space="0" w:color="auto"/>
        <w:right w:val="none" w:sz="0" w:space="0" w:color="auto"/>
      </w:divBdr>
    </w:div>
    <w:div w:id="346296648">
      <w:bodyDiv w:val="1"/>
      <w:marLeft w:val="0"/>
      <w:marRight w:val="0"/>
      <w:marTop w:val="0"/>
      <w:marBottom w:val="0"/>
      <w:divBdr>
        <w:top w:val="none" w:sz="0" w:space="0" w:color="auto"/>
        <w:left w:val="none" w:sz="0" w:space="0" w:color="auto"/>
        <w:bottom w:val="none" w:sz="0" w:space="0" w:color="auto"/>
        <w:right w:val="none" w:sz="0" w:space="0" w:color="auto"/>
      </w:divBdr>
    </w:div>
    <w:div w:id="347102335">
      <w:bodyDiv w:val="1"/>
      <w:marLeft w:val="0"/>
      <w:marRight w:val="0"/>
      <w:marTop w:val="0"/>
      <w:marBottom w:val="0"/>
      <w:divBdr>
        <w:top w:val="none" w:sz="0" w:space="0" w:color="auto"/>
        <w:left w:val="none" w:sz="0" w:space="0" w:color="auto"/>
        <w:bottom w:val="none" w:sz="0" w:space="0" w:color="auto"/>
        <w:right w:val="none" w:sz="0" w:space="0" w:color="auto"/>
      </w:divBdr>
    </w:div>
    <w:div w:id="348683244">
      <w:bodyDiv w:val="1"/>
      <w:marLeft w:val="0"/>
      <w:marRight w:val="0"/>
      <w:marTop w:val="0"/>
      <w:marBottom w:val="0"/>
      <w:divBdr>
        <w:top w:val="none" w:sz="0" w:space="0" w:color="auto"/>
        <w:left w:val="none" w:sz="0" w:space="0" w:color="auto"/>
        <w:bottom w:val="none" w:sz="0" w:space="0" w:color="auto"/>
        <w:right w:val="none" w:sz="0" w:space="0" w:color="auto"/>
      </w:divBdr>
    </w:div>
    <w:div w:id="355547286">
      <w:bodyDiv w:val="1"/>
      <w:marLeft w:val="0"/>
      <w:marRight w:val="0"/>
      <w:marTop w:val="0"/>
      <w:marBottom w:val="0"/>
      <w:divBdr>
        <w:top w:val="none" w:sz="0" w:space="0" w:color="auto"/>
        <w:left w:val="none" w:sz="0" w:space="0" w:color="auto"/>
        <w:bottom w:val="none" w:sz="0" w:space="0" w:color="auto"/>
        <w:right w:val="none" w:sz="0" w:space="0" w:color="auto"/>
      </w:divBdr>
    </w:div>
    <w:div w:id="388890939">
      <w:bodyDiv w:val="1"/>
      <w:marLeft w:val="0"/>
      <w:marRight w:val="0"/>
      <w:marTop w:val="0"/>
      <w:marBottom w:val="0"/>
      <w:divBdr>
        <w:top w:val="none" w:sz="0" w:space="0" w:color="auto"/>
        <w:left w:val="none" w:sz="0" w:space="0" w:color="auto"/>
        <w:bottom w:val="none" w:sz="0" w:space="0" w:color="auto"/>
        <w:right w:val="none" w:sz="0" w:space="0" w:color="auto"/>
      </w:divBdr>
    </w:div>
    <w:div w:id="397441426">
      <w:bodyDiv w:val="1"/>
      <w:marLeft w:val="0"/>
      <w:marRight w:val="0"/>
      <w:marTop w:val="0"/>
      <w:marBottom w:val="0"/>
      <w:divBdr>
        <w:top w:val="none" w:sz="0" w:space="0" w:color="auto"/>
        <w:left w:val="none" w:sz="0" w:space="0" w:color="auto"/>
        <w:bottom w:val="none" w:sz="0" w:space="0" w:color="auto"/>
        <w:right w:val="none" w:sz="0" w:space="0" w:color="auto"/>
      </w:divBdr>
    </w:div>
    <w:div w:id="402533327">
      <w:bodyDiv w:val="1"/>
      <w:marLeft w:val="0"/>
      <w:marRight w:val="0"/>
      <w:marTop w:val="0"/>
      <w:marBottom w:val="0"/>
      <w:divBdr>
        <w:top w:val="none" w:sz="0" w:space="0" w:color="auto"/>
        <w:left w:val="none" w:sz="0" w:space="0" w:color="auto"/>
        <w:bottom w:val="none" w:sz="0" w:space="0" w:color="auto"/>
        <w:right w:val="none" w:sz="0" w:space="0" w:color="auto"/>
      </w:divBdr>
    </w:div>
    <w:div w:id="416555781">
      <w:bodyDiv w:val="1"/>
      <w:marLeft w:val="0"/>
      <w:marRight w:val="0"/>
      <w:marTop w:val="0"/>
      <w:marBottom w:val="0"/>
      <w:divBdr>
        <w:top w:val="none" w:sz="0" w:space="0" w:color="auto"/>
        <w:left w:val="none" w:sz="0" w:space="0" w:color="auto"/>
        <w:bottom w:val="none" w:sz="0" w:space="0" w:color="auto"/>
        <w:right w:val="none" w:sz="0" w:space="0" w:color="auto"/>
      </w:divBdr>
    </w:div>
    <w:div w:id="419838670">
      <w:bodyDiv w:val="1"/>
      <w:marLeft w:val="0"/>
      <w:marRight w:val="0"/>
      <w:marTop w:val="0"/>
      <w:marBottom w:val="0"/>
      <w:divBdr>
        <w:top w:val="none" w:sz="0" w:space="0" w:color="auto"/>
        <w:left w:val="none" w:sz="0" w:space="0" w:color="auto"/>
        <w:bottom w:val="none" w:sz="0" w:space="0" w:color="auto"/>
        <w:right w:val="none" w:sz="0" w:space="0" w:color="auto"/>
      </w:divBdr>
    </w:div>
    <w:div w:id="424887273">
      <w:bodyDiv w:val="1"/>
      <w:marLeft w:val="0"/>
      <w:marRight w:val="0"/>
      <w:marTop w:val="0"/>
      <w:marBottom w:val="0"/>
      <w:divBdr>
        <w:top w:val="none" w:sz="0" w:space="0" w:color="auto"/>
        <w:left w:val="none" w:sz="0" w:space="0" w:color="auto"/>
        <w:bottom w:val="none" w:sz="0" w:space="0" w:color="auto"/>
        <w:right w:val="none" w:sz="0" w:space="0" w:color="auto"/>
      </w:divBdr>
    </w:div>
    <w:div w:id="429814498">
      <w:bodyDiv w:val="1"/>
      <w:marLeft w:val="0"/>
      <w:marRight w:val="0"/>
      <w:marTop w:val="0"/>
      <w:marBottom w:val="0"/>
      <w:divBdr>
        <w:top w:val="none" w:sz="0" w:space="0" w:color="auto"/>
        <w:left w:val="none" w:sz="0" w:space="0" w:color="auto"/>
        <w:bottom w:val="none" w:sz="0" w:space="0" w:color="auto"/>
        <w:right w:val="none" w:sz="0" w:space="0" w:color="auto"/>
      </w:divBdr>
    </w:div>
    <w:div w:id="435097279">
      <w:bodyDiv w:val="1"/>
      <w:marLeft w:val="0"/>
      <w:marRight w:val="0"/>
      <w:marTop w:val="0"/>
      <w:marBottom w:val="0"/>
      <w:divBdr>
        <w:top w:val="none" w:sz="0" w:space="0" w:color="auto"/>
        <w:left w:val="none" w:sz="0" w:space="0" w:color="auto"/>
        <w:bottom w:val="none" w:sz="0" w:space="0" w:color="auto"/>
        <w:right w:val="none" w:sz="0" w:space="0" w:color="auto"/>
      </w:divBdr>
    </w:div>
    <w:div w:id="439687865">
      <w:bodyDiv w:val="1"/>
      <w:marLeft w:val="0"/>
      <w:marRight w:val="0"/>
      <w:marTop w:val="0"/>
      <w:marBottom w:val="0"/>
      <w:divBdr>
        <w:top w:val="none" w:sz="0" w:space="0" w:color="auto"/>
        <w:left w:val="none" w:sz="0" w:space="0" w:color="auto"/>
        <w:bottom w:val="none" w:sz="0" w:space="0" w:color="auto"/>
        <w:right w:val="none" w:sz="0" w:space="0" w:color="auto"/>
      </w:divBdr>
    </w:div>
    <w:div w:id="453407952">
      <w:bodyDiv w:val="1"/>
      <w:marLeft w:val="0"/>
      <w:marRight w:val="0"/>
      <w:marTop w:val="0"/>
      <w:marBottom w:val="0"/>
      <w:divBdr>
        <w:top w:val="none" w:sz="0" w:space="0" w:color="auto"/>
        <w:left w:val="none" w:sz="0" w:space="0" w:color="auto"/>
        <w:bottom w:val="none" w:sz="0" w:space="0" w:color="auto"/>
        <w:right w:val="none" w:sz="0" w:space="0" w:color="auto"/>
      </w:divBdr>
    </w:div>
    <w:div w:id="457532325">
      <w:bodyDiv w:val="1"/>
      <w:marLeft w:val="0"/>
      <w:marRight w:val="0"/>
      <w:marTop w:val="0"/>
      <w:marBottom w:val="0"/>
      <w:divBdr>
        <w:top w:val="none" w:sz="0" w:space="0" w:color="auto"/>
        <w:left w:val="none" w:sz="0" w:space="0" w:color="auto"/>
        <w:bottom w:val="none" w:sz="0" w:space="0" w:color="auto"/>
        <w:right w:val="none" w:sz="0" w:space="0" w:color="auto"/>
      </w:divBdr>
    </w:div>
    <w:div w:id="461463171">
      <w:bodyDiv w:val="1"/>
      <w:marLeft w:val="0"/>
      <w:marRight w:val="0"/>
      <w:marTop w:val="0"/>
      <w:marBottom w:val="0"/>
      <w:divBdr>
        <w:top w:val="none" w:sz="0" w:space="0" w:color="auto"/>
        <w:left w:val="none" w:sz="0" w:space="0" w:color="auto"/>
        <w:bottom w:val="none" w:sz="0" w:space="0" w:color="auto"/>
        <w:right w:val="none" w:sz="0" w:space="0" w:color="auto"/>
      </w:divBdr>
    </w:div>
    <w:div w:id="461730663">
      <w:bodyDiv w:val="1"/>
      <w:marLeft w:val="0"/>
      <w:marRight w:val="0"/>
      <w:marTop w:val="0"/>
      <w:marBottom w:val="0"/>
      <w:divBdr>
        <w:top w:val="none" w:sz="0" w:space="0" w:color="auto"/>
        <w:left w:val="none" w:sz="0" w:space="0" w:color="auto"/>
        <w:bottom w:val="none" w:sz="0" w:space="0" w:color="auto"/>
        <w:right w:val="none" w:sz="0" w:space="0" w:color="auto"/>
      </w:divBdr>
    </w:div>
    <w:div w:id="472917588">
      <w:bodyDiv w:val="1"/>
      <w:marLeft w:val="0"/>
      <w:marRight w:val="0"/>
      <w:marTop w:val="0"/>
      <w:marBottom w:val="0"/>
      <w:divBdr>
        <w:top w:val="none" w:sz="0" w:space="0" w:color="auto"/>
        <w:left w:val="none" w:sz="0" w:space="0" w:color="auto"/>
        <w:bottom w:val="none" w:sz="0" w:space="0" w:color="auto"/>
        <w:right w:val="none" w:sz="0" w:space="0" w:color="auto"/>
      </w:divBdr>
    </w:div>
    <w:div w:id="478154342">
      <w:bodyDiv w:val="1"/>
      <w:marLeft w:val="0"/>
      <w:marRight w:val="0"/>
      <w:marTop w:val="0"/>
      <w:marBottom w:val="0"/>
      <w:divBdr>
        <w:top w:val="none" w:sz="0" w:space="0" w:color="auto"/>
        <w:left w:val="none" w:sz="0" w:space="0" w:color="auto"/>
        <w:bottom w:val="none" w:sz="0" w:space="0" w:color="auto"/>
        <w:right w:val="none" w:sz="0" w:space="0" w:color="auto"/>
      </w:divBdr>
    </w:div>
    <w:div w:id="540214414">
      <w:bodyDiv w:val="1"/>
      <w:marLeft w:val="0"/>
      <w:marRight w:val="0"/>
      <w:marTop w:val="0"/>
      <w:marBottom w:val="0"/>
      <w:divBdr>
        <w:top w:val="none" w:sz="0" w:space="0" w:color="auto"/>
        <w:left w:val="none" w:sz="0" w:space="0" w:color="auto"/>
        <w:bottom w:val="none" w:sz="0" w:space="0" w:color="auto"/>
        <w:right w:val="none" w:sz="0" w:space="0" w:color="auto"/>
      </w:divBdr>
    </w:div>
    <w:div w:id="546572824">
      <w:bodyDiv w:val="1"/>
      <w:marLeft w:val="0"/>
      <w:marRight w:val="0"/>
      <w:marTop w:val="0"/>
      <w:marBottom w:val="0"/>
      <w:divBdr>
        <w:top w:val="none" w:sz="0" w:space="0" w:color="auto"/>
        <w:left w:val="none" w:sz="0" w:space="0" w:color="auto"/>
        <w:bottom w:val="none" w:sz="0" w:space="0" w:color="auto"/>
        <w:right w:val="none" w:sz="0" w:space="0" w:color="auto"/>
      </w:divBdr>
    </w:div>
    <w:div w:id="565804759">
      <w:bodyDiv w:val="1"/>
      <w:marLeft w:val="0"/>
      <w:marRight w:val="0"/>
      <w:marTop w:val="0"/>
      <w:marBottom w:val="0"/>
      <w:divBdr>
        <w:top w:val="none" w:sz="0" w:space="0" w:color="auto"/>
        <w:left w:val="none" w:sz="0" w:space="0" w:color="auto"/>
        <w:bottom w:val="none" w:sz="0" w:space="0" w:color="auto"/>
        <w:right w:val="none" w:sz="0" w:space="0" w:color="auto"/>
      </w:divBdr>
    </w:div>
    <w:div w:id="567304571">
      <w:bodyDiv w:val="1"/>
      <w:marLeft w:val="0"/>
      <w:marRight w:val="0"/>
      <w:marTop w:val="0"/>
      <w:marBottom w:val="0"/>
      <w:divBdr>
        <w:top w:val="none" w:sz="0" w:space="0" w:color="auto"/>
        <w:left w:val="none" w:sz="0" w:space="0" w:color="auto"/>
        <w:bottom w:val="none" w:sz="0" w:space="0" w:color="auto"/>
        <w:right w:val="none" w:sz="0" w:space="0" w:color="auto"/>
      </w:divBdr>
    </w:div>
    <w:div w:id="581574142">
      <w:bodyDiv w:val="1"/>
      <w:marLeft w:val="0"/>
      <w:marRight w:val="0"/>
      <w:marTop w:val="0"/>
      <w:marBottom w:val="0"/>
      <w:divBdr>
        <w:top w:val="none" w:sz="0" w:space="0" w:color="auto"/>
        <w:left w:val="none" w:sz="0" w:space="0" w:color="auto"/>
        <w:bottom w:val="none" w:sz="0" w:space="0" w:color="auto"/>
        <w:right w:val="none" w:sz="0" w:space="0" w:color="auto"/>
      </w:divBdr>
    </w:div>
    <w:div w:id="594244848">
      <w:bodyDiv w:val="1"/>
      <w:marLeft w:val="0"/>
      <w:marRight w:val="0"/>
      <w:marTop w:val="0"/>
      <w:marBottom w:val="0"/>
      <w:divBdr>
        <w:top w:val="none" w:sz="0" w:space="0" w:color="auto"/>
        <w:left w:val="none" w:sz="0" w:space="0" w:color="auto"/>
        <w:bottom w:val="none" w:sz="0" w:space="0" w:color="auto"/>
        <w:right w:val="none" w:sz="0" w:space="0" w:color="auto"/>
      </w:divBdr>
    </w:div>
    <w:div w:id="619923767">
      <w:bodyDiv w:val="1"/>
      <w:marLeft w:val="0"/>
      <w:marRight w:val="0"/>
      <w:marTop w:val="0"/>
      <w:marBottom w:val="0"/>
      <w:divBdr>
        <w:top w:val="none" w:sz="0" w:space="0" w:color="auto"/>
        <w:left w:val="none" w:sz="0" w:space="0" w:color="auto"/>
        <w:bottom w:val="none" w:sz="0" w:space="0" w:color="auto"/>
        <w:right w:val="none" w:sz="0" w:space="0" w:color="auto"/>
      </w:divBdr>
    </w:div>
    <w:div w:id="622347611">
      <w:bodyDiv w:val="1"/>
      <w:marLeft w:val="0"/>
      <w:marRight w:val="0"/>
      <w:marTop w:val="0"/>
      <w:marBottom w:val="0"/>
      <w:divBdr>
        <w:top w:val="none" w:sz="0" w:space="0" w:color="auto"/>
        <w:left w:val="none" w:sz="0" w:space="0" w:color="auto"/>
        <w:bottom w:val="none" w:sz="0" w:space="0" w:color="auto"/>
        <w:right w:val="none" w:sz="0" w:space="0" w:color="auto"/>
      </w:divBdr>
    </w:div>
    <w:div w:id="640425594">
      <w:bodyDiv w:val="1"/>
      <w:marLeft w:val="0"/>
      <w:marRight w:val="0"/>
      <w:marTop w:val="0"/>
      <w:marBottom w:val="0"/>
      <w:divBdr>
        <w:top w:val="none" w:sz="0" w:space="0" w:color="auto"/>
        <w:left w:val="none" w:sz="0" w:space="0" w:color="auto"/>
        <w:bottom w:val="none" w:sz="0" w:space="0" w:color="auto"/>
        <w:right w:val="none" w:sz="0" w:space="0" w:color="auto"/>
      </w:divBdr>
    </w:div>
    <w:div w:id="660736323">
      <w:bodyDiv w:val="1"/>
      <w:marLeft w:val="0"/>
      <w:marRight w:val="0"/>
      <w:marTop w:val="0"/>
      <w:marBottom w:val="0"/>
      <w:divBdr>
        <w:top w:val="none" w:sz="0" w:space="0" w:color="auto"/>
        <w:left w:val="none" w:sz="0" w:space="0" w:color="auto"/>
        <w:bottom w:val="none" w:sz="0" w:space="0" w:color="auto"/>
        <w:right w:val="none" w:sz="0" w:space="0" w:color="auto"/>
      </w:divBdr>
    </w:div>
    <w:div w:id="682172031">
      <w:bodyDiv w:val="1"/>
      <w:marLeft w:val="0"/>
      <w:marRight w:val="0"/>
      <w:marTop w:val="0"/>
      <w:marBottom w:val="0"/>
      <w:divBdr>
        <w:top w:val="none" w:sz="0" w:space="0" w:color="auto"/>
        <w:left w:val="none" w:sz="0" w:space="0" w:color="auto"/>
        <w:bottom w:val="none" w:sz="0" w:space="0" w:color="auto"/>
        <w:right w:val="none" w:sz="0" w:space="0" w:color="auto"/>
      </w:divBdr>
    </w:div>
    <w:div w:id="684212841">
      <w:bodyDiv w:val="1"/>
      <w:marLeft w:val="0"/>
      <w:marRight w:val="0"/>
      <w:marTop w:val="0"/>
      <w:marBottom w:val="0"/>
      <w:divBdr>
        <w:top w:val="none" w:sz="0" w:space="0" w:color="auto"/>
        <w:left w:val="none" w:sz="0" w:space="0" w:color="auto"/>
        <w:bottom w:val="none" w:sz="0" w:space="0" w:color="auto"/>
        <w:right w:val="none" w:sz="0" w:space="0" w:color="auto"/>
      </w:divBdr>
    </w:div>
    <w:div w:id="685442017">
      <w:bodyDiv w:val="1"/>
      <w:marLeft w:val="0"/>
      <w:marRight w:val="0"/>
      <w:marTop w:val="0"/>
      <w:marBottom w:val="0"/>
      <w:divBdr>
        <w:top w:val="none" w:sz="0" w:space="0" w:color="auto"/>
        <w:left w:val="none" w:sz="0" w:space="0" w:color="auto"/>
        <w:bottom w:val="none" w:sz="0" w:space="0" w:color="auto"/>
        <w:right w:val="none" w:sz="0" w:space="0" w:color="auto"/>
      </w:divBdr>
    </w:div>
    <w:div w:id="685443640">
      <w:bodyDiv w:val="1"/>
      <w:marLeft w:val="0"/>
      <w:marRight w:val="0"/>
      <w:marTop w:val="0"/>
      <w:marBottom w:val="0"/>
      <w:divBdr>
        <w:top w:val="none" w:sz="0" w:space="0" w:color="auto"/>
        <w:left w:val="none" w:sz="0" w:space="0" w:color="auto"/>
        <w:bottom w:val="none" w:sz="0" w:space="0" w:color="auto"/>
        <w:right w:val="none" w:sz="0" w:space="0" w:color="auto"/>
      </w:divBdr>
    </w:div>
    <w:div w:id="690763616">
      <w:bodyDiv w:val="1"/>
      <w:marLeft w:val="0"/>
      <w:marRight w:val="0"/>
      <w:marTop w:val="0"/>
      <w:marBottom w:val="0"/>
      <w:divBdr>
        <w:top w:val="none" w:sz="0" w:space="0" w:color="auto"/>
        <w:left w:val="none" w:sz="0" w:space="0" w:color="auto"/>
        <w:bottom w:val="none" w:sz="0" w:space="0" w:color="auto"/>
        <w:right w:val="none" w:sz="0" w:space="0" w:color="auto"/>
      </w:divBdr>
    </w:div>
    <w:div w:id="701249258">
      <w:bodyDiv w:val="1"/>
      <w:marLeft w:val="0"/>
      <w:marRight w:val="0"/>
      <w:marTop w:val="0"/>
      <w:marBottom w:val="0"/>
      <w:divBdr>
        <w:top w:val="none" w:sz="0" w:space="0" w:color="auto"/>
        <w:left w:val="none" w:sz="0" w:space="0" w:color="auto"/>
        <w:bottom w:val="none" w:sz="0" w:space="0" w:color="auto"/>
        <w:right w:val="none" w:sz="0" w:space="0" w:color="auto"/>
      </w:divBdr>
    </w:div>
    <w:div w:id="723722086">
      <w:bodyDiv w:val="1"/>
      <w:marLeft w:val="0"/>
      <w:marRight w:val="0"/>
      <w:marTop w:val="0"/>
      <w:marBottom w:val="0"/>
      <w:divBdr>
        <w:top w:val="none" w:sz="0" w:space="0" w:color="auto"/>
        <w:left w:val="none" w:sz="0" w:space="0" w:color="auto"/>
        <w:bottom w:val="none" w:sz="0" w:space="0" w:color="auto"/>
        <w:right w:val="none" w:sz="0" w:space="0" w:color="auto"/>
      </w:divBdr>
    </w:div>
    <w:div w:id="725493359">
      <w:bodyDiv w:val="1"/>
      <w:marLeft w:val="0"/>
      <w:marRight w:val="0"/>
      <w:marTop w:val="0"/>
      <w:marBottom w:val="0"/>
      <w:divBdr>
        <w:top w:val="none" w:sz="0" w:space="0" w:color="auto"/>
        <w:left w:val="none" w:sz="0" w:space="0" w:color="auto"/>
        <w:bottom w:val="none" w:sz="0" w:space="0" w:color="auto"/>
        <w:right w:val="none" w:sz="0" w:space="0" w:color="auto"/>
      </w:divBdr>
    </w:div>
    <w:div w:id="726344397">
      <w:bodyDiv w:val="1"/>
      <w:marLeft w:val="0"/>
      <w:marRight w:val="0"/>
      <w:marTop w:val="0"/>
      <w:marBottom w:val="0"/>
      <w:divBdr>
        <w:top w:val="none" w:sz="0" w:space="0" w:color="auto"/>
        <w:left w:val="none" w:sz="0" w:space="0" w:color="auto"/>
        <w:bottom w:val="none" w:sz="0" w:space="0" w:color="auto"/>
        <w:right w:val="none" w:sz="0" w:space="0" w:color="auto"/>
      </w:divBdr>
    </w:div>
    <w:div w:id="727606637">
      <w:bodyDiv w:val="1"/>
      <w:marLeft w:val="0"/>
      <w:marRight w:val="0"/>
      <w:marTop w:val="0"/>
      <w:marBottom w:val="0"/>
      <w:divBdr>
        <w:top w:val="none" w:sz="0" w:space="0" w:color="auto"/>
        <w:left w:val="none" w:sz="0" w:space="0" w:color="auto"/>
        <w:bottom w:val="none" w:sz="0" w:space="0" w:color="auto"/>
        <w:right w:val="none" w:sz="0" w:space="0" w:color="auto"/>
      </w:divBdr>
    </w:div>
    <w:div w:id="734743207">
      <w:bodyDiv w:val="1"/>
      <w:marLeft w:val="0"/>
      <w:marRight w:val="0"/>
      <w:marTop w:val="0"/>
      <w:marBottom w:val="0"/>
      <w:divBdr>
        <w:top w:val="none" w:sz="0" w:space="0" w:color="auto"/>
        <w:left w:val="none" w:sz="0" w:space="0" w:color="auto"/>
        <w:bottom w:val="none" w:sz="0" w:space="0" w:color="auto"/>
        <w:right w:val="none" w:sz="0" w:space="0" w:color="auto"/>
      </w:divBdr>
    </w:div>
    <w:div w:id="741563078">
      <w:bodyDiv w:val="1"/>
      <w:marLeft w:val="0"/>
      <w:marRight w:val="0"/>
      <w:marTop w:val="0"/>
      <w:marBottom w:val="0"/>
      <w:divBdr>
        <w:top w:val="none" w:sz="0" w:space="0" w:color="auto"/>
        <w:left w:val="none" w:sz="0" w:space="0" w:color="auto"/>
        <w:bottom w:val="none" w:sz="0" w:space="0" w:color="auto"/>
        <w:right w:val="none" w:sz="0" w:space="0" w:color="auto"/>
      </w:divBdr>
    </w:div>
    <w:div w:id="751393672">
      <w:bodyDiv w:val="1"/>
      <w:marLeft w:val="0"/>
      <w:marRight w:val="0"/>
      <w:marTop w:val="0"/>
      <w:marBottom w:val="0"/>
      <w:divBdr>
        <w:top w:val="none" w:sz="0" w:space="0" w:color="auto"/>
        <w:left w:val="none" w:sz="0" w:space="0" w:color="auto"/>
        <w:bottom w:val="none" w:sz="0" w:space="0" w:color="auto"/>
        <w:right w:val="none" w:sz="0" w:space="0" w:color="auto"/>
      </w:divBdr>
    </w:div>
    <w:div w:id="766535475">
      <w:bodyDiv w:val="1"/>
      <w:marLeft w:val="0"/>
      <w:marRight w:val="0"/>
      <w:marTop w:val="0"/>
      <w:marBottom w:val="0"/>
      <w:divBdr>
        <w:top w:val="none" w:sz="0" w:space="0" w:color="auto"/>
        <w:left w:val="none" w:sz="0" w:space="0" w:color="auto"/>
        <w:bottom w:val="none" w:sz="0" w:space="0" w:color="auto"/>
        <w:right w:val="none" w:sz="0" w:space="0" w:color="auto"/>
      </w:divBdr>
    </w:div>
    <w:div w:id="780416852">
      <w:bodyDiv w:val="1"/>
      <w:marLeft w:val="0"/>
      <w:marRight w:val="0"/>
      <w:marTop w:val="0"/>
      <w:marBottom w:val="0"/>
      <w:divBdr>
        <w:top w:val="none" w:sz="0" w:space="0" w:color="auto"/>
        <w:left w:val="none" w:sz="0" w:space="0" w:color="auto"/>
        <w:bottom w:val="none" w:sz="0" w:space="0" w:color="auto"/>
        <w:right w:val="none" w:sz="0" w:space="0" w:color="auto"/>
      </w:divBdr>
    </w:div>
    <w:div w:id="812254888">
      <w:bodyDiv w:val="1"/>
      <w:marLeft w:val="0"/>
      <w:marRight w:val="0"/>
      <w:marTop w:val="0"/>
      <w:marBottom w:val="0"/>
      <w:divBdr>
        <w:top w:val="none" w:sz="0" w:space="0" w:color="auto"/>
        <w:left w:val="none" w:sz="0" w:space="0" w:color="auto"/>
        <w:bottom w:val="none" w:sz="0" w:space="0" w:color="auto"/>
        <w:right w:val="none" w:sz="0" w:space="0" w:color="auto"/>
      </w:divBdr>
    </w:div>
    <w:div w:id="816185849">
      <w:bodyDiv w:val="1"/>
      <w:marLeft w:val="0"/>
      <w:marRight w:val="0"/>
      <w:marTop w:val="0"/>
      <w:marBottom w:val="0"/>
      <w:divBdr>
        <w:top w:val="none" w:sz="0" w:space="0" w:color="auto"/>
        <w:left w:val="none" w:sz="0" w:space="0" w:color="auto"/>
        <w:bottom w:val="none" w:sz="0" w:space="0" w:color="auto"/>
        <w:right w:val="none" w:sz="0" w:space="0" w:color="auto"/>
      </w:divBdr>
    </w:div>
    <w:div w:id="832839184">
      <w:bodyDiv w:val="1"/>
      <w:marLeft w:val="0"/>
      <w:marRight w:val="0"/>
      <w:marTop w:val="0"/>
      <w:marBottom w:val="0"/>
      <w:divBdr>
        <w:top w:val="none" w:sz="0" w:space="0" w:color="auto"/>
        <w:left w:val="none" w:sz="0" w:space="0" w:color="auto"/>
        <w:bottom w:val="none" w:sz="0" w:space="0" w:color="auto"/>
        <w:right w:val="none" w:sz="0" w:space="0" w:color="auto"/>
      </w:divBdr>
    </w:div>
    <w:div w:id="852961584">
      <w:bodyDiv w:val="1"/>
      <w:marLeft w:val="0"/>
      <w:marRight w:val="0"/>
      <w:marTop w:val="0"/>
      <w:marBottom w:val="0"/>
      <w:divBdr>
        <w:top w:val="none" w:sz="0" w:space="0" w:color="auto"/>
        <w:left w:val="none" w:sz="0" w:space="0" w:color="auto"/>
        <w:bottom w:val="none" w:sz="0" w:space="0" w:color="auto"/>
        <w:right w:val="none" w:sz="0" w:space="0" w:color="auto"/>
      </w:divBdr>
    </w:div>
    <w:div w:id="858085892">
      <w:bodyDiv w:val="1"/>
      <w:marLeft w:val="0"/>
      <w:marRight w:val="0"/>
      <w:marTop w:val="0"/>
      <w:marBottom w:val="0"/>
      <w:divBdr>
        <w:top w:val="none" w:sz="0" w:space="0" w:color="auto"/>
        <w:left w:val="none" w:sz="0" w:space="0" w:color="auto"/>
        <w:bottom w:val="none" w:sz="0" w:space="0" w:color="auto"/>
        <w:right w:val="none" w:sz="0" w:space="0" w:color="auto"/>
      </w:divBdr>
    </w:div>
    <w:div w:id="865292263">
      <w:bodyDiv w:val="1"/>
      <w:marLeft w:val="0"/>
      <w:marRight w:val="0"/>
      <w:marTop w:val="0"/>
      <w:marBottom w:val="0"/>
      <w:divBdr>
        <w:top w:val="none" w:sz="0" w:space="0" w:color="auto"/>
        <w:left w:val="none" w:sz="0" w:space="0" w:color="auto"/>
        <w:bottom w:val="none" w:sz="0" w:space="0" w:color="auto"/>
        <w:right w:val="none" w:sz="0" w:space="0" w:color="auto"/>
      </w:divBdr>
    </w:div>
    <w:div w:id="870260225">
      <w:bodyDiv w:val="1"/>
      <w:marLeft w:val="0"/>
      <w:marRight w:val="0"/>
      <w:marTop w:val="0"/>
      <w:marBottom w:val="0"/>
      <w:divBdr>
        <w:top w:val="none" w:sz="0" w:space="0" w:color="auto"/>
        <w:left w:val="none" w:sz="0" w:space="0" w:color="auto"/>
        <w:bottom w:val="none" w:sz="0" w:space="0" w:color="auto"/>
        <w:right w:val="none" w:sz="0" w:space="0" w:color="auto"/>
      </w:divBdr>
    </w:div>
    <w:div w:id="871262426">
      <w:bodyDiv w:val="1"/>
      <w:marLeft w:val="0"/>
      <w:marRight w:val="0"/>
      <w:marTop w:val="0"/>
      <w:marBottom w:val="0"/>
      <w:divBdr>
        <w:top w:val="none" w:sz="0" w:space="0" w:color="auto"/>
        <w:left w:val="none" w:sz="0" w:space="0" w:color="auto"/>
        <w:bottom w:val="none" w:sz="0" w:space="0" w:color="auto"/>
        <w:right w:val="none" w:sz="0" w:space="0" w:color="auto"/>
      </w:divBdr>
    </w:div>
    <w:div w:id="876890513">
      <w:bodyDiv w:val="1"/>
      <w:marLeft w:val="0"/>
      <w:marRight w:val="0"/>
      <w:marTop w:val="0"/>
      <w:marBottom w:val="0"/>
      <w:divBdr>
        <w:top w:val="none" w:sz="0" w:space="0" w:color="auto"/>
        <w:left w:val="none" w:sz="0" w:space="0" w:color="auto"/>
        <w:bottom w:val="none" w:sz="0" w:space="0" w:color="auto"/>
        <w:right w:val="none" w:sz="0" w:space="0" w:color="auto"/>
      </w:divBdr>
    </w:div>
    <w:div w:id="888568145">
      <w:bodyDiv w:val="1"/>
      <w:marLeft w:val="0"/>
      <w:marRight w:val="0"/>
      <w:marTop w:val="0"/>
      <w:marBottom w:val="0"/>
      <w:divBdr>
        <w:top w:val="none" w:sz="0" w:space="0" w:color="auto"/>
        <w:left w:val="none" w:sz="0" w:space="0" w:color="auto"/>
        <w:bottom w:val="none" w:sz="0" w:space="0" w:color="auto"/>
        <w:right w:val="none" w:sz="0" w:space="0" w:color="auto"/>
      </w:divBdr>
    </w:div>
    <w:div w:id="897671616">
      <w:bodyDiv w:val="1"/>
      <w:marLeft w:val="0"/>
      <w:marRight w:val="0"/>
      <w:marTop w:val="0"/>
      <w:marBottom w:val="0"/>
      <w:divBdr>
        <w:top w:val="none" w:sz="0" w:space="0" w:color="auto"/>
        <w:left w:val="none" w:sz="0" w:space="0" w:color="auto"/>
        <w:bottom w:val="none" w:sz="0" w:space="0" w:color="auto"/>
        <w:right w:val="none" w:sz="0" w:space="0" w:color="auto"/>
      </w:divBdr>
    </w:div>
    <w:div w:id="917253332">
      <w:bodyDiv w:val="1"/>
      <w:marLeft w:val="0"/>
      <w:marRight w:val="0"/>
      <w:marTop w:val="0"/>
      <w:marBottom w:val="0"/>
      <w:divBdr>
        <w:top w:val="none" w:sz="0" w:space="0" w:color="auto"/>
        <w:left w:val="none" w:sz="0" w:space="0" w:color="auto"/>
        <w:bottom w:val="none" w:sz="0" w:space="0" w:color="auto"/>
        <w:right w:val="none" w:sz="0" w:space="0" w:color="auto"/>
      </w:divBdr>
    </w:div>
    <w:div w:id="945773208">
      <w:bodyDiv w:val="1"/>
      <w:marLeft w:val="0"/>
      <w:marRight w:val="0"/>
      <w:marTop w:val="0"/>
      <w:marBottom w:val="0"/>
      <w:divBdr>
        <w:top w:val="none" w:sz="0" w:space="0" w:color="auto"/>
        <w:left w:val="none" w:sz="0" w:space="0" w:color="auto"/>
        <w:bottom w:val="none" w:sz="0" w:space="0" w:color="auto"/>
        <w:right w:val="none" w:sz="0" w:space="0" w:color="auto"/>
      </w:divBdr>
    </w:div>
    <w:div w:id="951282600">
      <w:bodyDiv w:val="1"/>
      <w:marLeft w:val="0"/>
      <w:marRight w:val="0"/>
      <w:marTop w:val="0"/>
      <w:marBottom w:val="0"/>
      <w:divBdr>
        <w:top w:val="none" w:sz="0" w:space="0" w:color="auto"/>
        <w:left w:val="none" w:sz="0" w:space="0" w:color="auto"/>
        <w:bottom w:val="none" w:sz="0" w:space="0" w:color="auto"/>
        <w:right w:val="none" w:sz="0" w:space="0" w:color="auto"/>
      </w:divBdr>
    </w:div>
    <w:div w:id="957686759">
      <w:bodyDiv w:val="1"/>
      <w:marLeft w:val="0"/>
      <w:marRight w:val="0"/>
      <w:marTop w:val="0"/>
      <w:marBottom w:val="0"/>
      <w:divBdr>
        <w:top w:val="none" w:sz="0" w:space="0" w:color="auto"/>
        <w:left w:val="none" w:sz="0" w:space="0" w:color="auto"/>
        <w:bottom w:val="none" w:sz="0" w:space="0" w:color="auto"/>
        <w:right w:val="none" w:sz="0" w:space="0" w:color="auto"/>
      </w:divBdr>
    </w:div>
    <w:div w:id="959144459">
      <w:bodyDiv w:val="1"/>
      <w:marLeft w:val="0"/>
      <w:marRight w:val="0"/>
      <w:marTop w:val="0"/>
      <w:marBottom w:val="0"/>
      <w:divBdr>
        <w:top w:val="none" w:sz="0" w:space="0" w:color="auto"/>
        <w:left w:val="none" w:sz="0" w:space="0" w:color="auto"/>
        <w:bottom w:val="none" w:sz="0" w:space="0" w:color="auto"/>
        <w:right w:val="none" w:sz="0" w:space="0" w:color="auto"/>
      </w:divBdr>
    </w:div>
    <w:div w:id="959728432">
      <w:bodyDiv w:val="1"/>
      <w:marLeft w:val="0"/>
      <w:marRight w:val="0"/>
      <w:marTop w:val="0"/>
      <w:marBottom w:val="0"/>
      <w:divBdr>
        <w:top w:val="none" w:sz="0" w:space="0" w:color="auto"/>
        <w:left w:val="none" w:sz="0" w:space="0" w:color="auto"/>
        <w:bottom w:val="none" w:sz="0" w:space="0" w:color="auto"/>
        <w:right w:val="none" w:sz="0" w:space="0" w:color="auto"/>
      </w:divBdr>
    </w:div>
    <w:div w:id="962733443">
      <w:bodyDiv w:val="1"/>
      <w:marLeft w:val="0"/>
      <w:marRight w:val="0"/>
      <w:marTop w:val="0"/>
      <w:marBottom w:val="0"/>
      <w:divBdr>
        <w:top w:val="none" w:sz="0" w:space="0" w:color="auto"/>
        <w:left w:val="none" w:sz="0" w:space="0" w:color="auto"/>
        <w:bottom w:val="none" w:sz="0" w:space="0" w:color="auto"/>
        <w:right w:val="none" w:sz="0" w:space="0" w:color="auto"/>
      </w:divBdr>
    </w:div>
    <w:div w:id="964392314">
      <w:bodyDiv w:val="1"/>
      <w:marLeft w:val="0"/>
      <w:marRight w:val="0"/>
      <w:marTop w:val="0"/>
      <w:marBottom w:val="0"/>
      <w:divBdr>
        <w:top w:val="none" w:sz="0" w:space="0" w:color="auto"/>
        <w:left w:val="none" w:sz="0" w:space="0" w:color="auto"/>
        <w:bottom w:val="none" w:sz="0" w:space="0" w:color="auto"/>
        <w:right w:val="none" w:sz="0" w:space="0" w:color="auto"/>
      </w:divBdr>
    </w:div>
    <w:div w:id="969045896">
      <w:bodyDiv w:val="1"/>
      <w:marLeft w:val="0"/>
      <w:marRight w:val="0"/>
      <w:marTop w:val="0"/>
      <w:marBottom w:val="0"/>
      <w:divBdr>
        <w:top w:val="none" w:sz="0" w:space="0" w:color="auto"/>
        <w:left w:val="none" w:sz="0" w:space="0" w:color="auto"/>
        <w:bottom w:val="none" w:sz="0" w:space="0" w:color="auto"/>
        <w:right w:val="none" w:sz="0" w:space="0" w:color="auto"/>
      </w:divBdr>
    </w:div>
    <w:div w:id="972296394">
      <w:bodyDiv w:val="1"/>
      <w:marLeft w:val="0"/>
      <w:marRight w:val="0"/>
      <w:marTop w:val="0"/>
      <w:marBottom w:val="0"/>
      <w:divBdr>
        <w:top w:val="none" w:sz="0" w:space="0" w:color="auto"/>
        <w:left w:val="none" w:sz="0" w:space="0" w:color="auto"/>
        <w:bottom w:val="none" w:sz="0" w:space="0" w:color="auto"/>
        <w:right w:val="none" w:sz="0" w:space="0" w:color="auto"/>
      </w:divBdr>
    </w:div>
    <w:div w:id="972717030">
      <w:bodyDiv w:val="1"/>
      <w:marLeft w:val="0"/>
      <w:marRight w:val="0"/>
      <w:marTop w:val="0"/>
      <w:marBottom w:val="0"/>
      <w:divBdr>
        <w:top w:val="none" w:sz="0" w:space="0" w:color="auto"/>
        <w:left w:val="none" w:sz="0" w:space="0" w:color="auto"/>
        <w:bottom w:val="none" w:sz="0" w:space="0" w:color="auto"/>
        <w:right w:val="none" w:sz="0" w:space="0" w:color="auto"/>
      </w:divBdr>
    </w:div>
    <w:div w:id="977153125">
      <w:bodyDiv w:val="1"/>
      <w:marLeft w:val="0"/>
      <w:marRight w:val="0"/>
      <w:marTop w:val="0"/>
      <w:marBottom w:val="0"/>
      <w:divBdr>
        <w:top w:val="none" w:sz="0" w:space="0" w:color="auto"/>
        <w:left w:val="none" w:sz="0" w:space="0" w:color="auto"/>
        <w:bottom w:val="none" w:sz="0" w:space="0" w:color="auto"/>
        <w:right w:val="none" w:sz="0" w:space="0" w:color="auto"/>
      </w:divBdr>
    </w:div>
    <w:div w:id="983847944">
      <w:bodyDiv w:val="1"/>
      <w:marLeft w:val="0"/>
      <w:marRight w:val="0"/>
      <w:marTop w:val="0"/>
      <w:marBottom w:val="0"/>
      <w:divBdr>
        <w:top w:val="none" w:sz="0" w:space="0" w:color="auto"/>
        <w:left w:val="none" w:sz="0" w:space="0" w:color="auto"/>
        <w:bottom w:val="none" w:sz="0" w:space="0" w:color="auto"/>
        <w:right w:val="none" w:sz="0" w:space="0" w:color="auto"/>
      </w:divBdr>
    </w:div>
    <w:div w:id="990327679">
      <w:bodyDiv w:val="1"/>
      <w:marLeft w:val="0"/>
      <w:marRight w:val="0"/>
      <w:marTop w:val="0"/>
      <w:marBottom w:val="0"/>
      <w:divBdr>
        <w:top w:val="none" w:sz="0" w:space="0" w:color="auto"/>
        <w:left w:val="none" w:sz="0" w:space="0" w:color="auto"/>
        <w:bottom w:val="none" w:sz="0" w:space="0" w:color="auto"/>
        <w:right w:val="none" w:sz="0" w:space="0" w:color="auto"/>
      </w:divBdr>
    </w:div>
    <w:div w:id="991055544">
      <w:bodyDiv w:val="1"/>
      <w:marLeft w:val="0"/>
      <w:marRight w:val="0"/>
      <w:marTop w:val="0"/>
      <w:marBottom w:val="0"/>
      <w:divBdr>
        <w:top w:val="none" w:sz="0" w:space="0" w:color="auto"/>
        <w:left w:val="none" w:sz="0" w:space="0" w:color="auto"/>
        <w:bottom w:val="none" w:sz="0" w:space="0" w:color="auto"/>
        <w:right w:val="none" w:sz="0" w:space="0" w:color="auto"/>
      </w:divBdr>
    </w:div>
    <w:div w:id="991788012">
      <w:bodyDiv w:val="1"/>
      <w:marLeft w:val="0"/>
      <w:marRight w:val="0"/>
      <w:marTop w:val="0"/>
      <w:marBottom w:val="0"/>
      <w:divBdr>
        <w:top w:val="none" w:sz="0" w:space="0" w:color="auto"/>
        <w:left w:val="none" w:sz="0" w:space="0" w:color="auto"/>
        <w:bottom w:val="none" w:sz="0" w:space="0" w:color="auto"/>
        <w:right w:val="none" w:sz="0" w:space="0" w:color="auto"/>
      </w:divBdr>
    </w:div>
    <w:div w:id="1000079723">
      <w:bodyDiv w:val="1"/>
      <w:marLeft w:val="0"/>
      <w:marRight w:val="0"/>
      <w:marTop w:val="0"/>
      <w:marBottom w:val="0"/>
      <w:divBdr>
        <w:top w:val="none" w:sz="0" w:space="0" w:color="auto"/>
        <w:left w:val="none" w:sz="0" w:space="0" w:color="auto"/>
        <w:bottom w:val="none" w:sz="0" w:space="0" w:color="auto"/>
        <w:right w:val="none" w:sz="0" w:space="0" w:color="auto"/>
      </w:divBdr>
    </w:div>
    <w:div w:id="1004167632">
      <w:bodyDiv w:val="1"/>
      <w:marLeft w:val="0"/>
      <w:marRight w:val="0"/>
      <w:marTop w:val="0"/>
      <w:marBottom w:val="0"/>
      <w:divBdr>
        <w:top w:val="none" w:sz="0" w:space="0" w:color="auto"/>
        <w:left w:val="none" w:sz="0" w:space="0" w:color="auto"/>
        <w:bottom w:val="none" w:sz="0" w:space="0" w:color="auto"/>
        <w:right w:val="none" w:sz="0" w:space="0" w:color="auto"/>
      </w:divBdr>
    </w:div>
    <w:div w:id="1019890419">
      <w:bodyDiv w:val="1"/>
      <w:marLeft w:val="0"/>
      <w:marRight w:val="0"/>
      <w:marTop w:val="0"/>
      <w:marBottom w:val="0"/>
      <w:divBdr>
        <w:top w:val="none" w:sz="0" w:space="0" w:color="auto"/>
        <w:left w:val="none" w:sz="0" w:space="0" w:color="auto"/>
        <w:bottom w:val="none" w:sz="0" w:space="0" w:color="auto"/>
        <w:right w:val="none" w:sz="0" w:space="0" w:color="auto"/>
      </w:divBdr>
    </w:div>
    <w:div w:id="1029332290">
      <w:bodyDiv w:val="1"/>
      <w:marLeft w:val="0"/>
      <w:marRight w:val="0"/>
      <w:marTop w:val="0"/>
      <w:marBottom w:val="0"/>
      <w:divBdr>
        <w:top w:val="none" w:sz="0" w:space="0" w:color="auto"/>
        <w:left w:val="none" w:sz="0" w:space="0" w:color="auto"/>
        <w:bottom w:val="none" w:sz="0" w:space="0" w:color="auto"/>
        <w:right w:val="none" w:sz="0" w:space="0" w:color="auto"/>
      </w:divBdr>
    </w:div>
    <w:div w:id="1034814364">
      <w:bodyDiv w:val="1"/>
      <w:marLeft w:val="0"/>
      <w:marRight w:val="0"/>
      <w:marTop w:val="0"/>
      <w:marBottom w:val="0"/>
      <w:divBdr>
        <w:top w:val="none" w:sz="0" w:space="0" w:color="auto"/>
        <w:left w:val="none" w:sz="0" w:space="0" w:color="auto"/>
        <w:bottom w:val="none" w:sz="0" w:space="0" w:color="auto"/>
        <w:right w:val="none" w:sz="0" w:space="0" w:color="auto"/>
      </w:divBdr>
    </w:div>
    <w:div w:id="1047997873">
      <w:bodyDiv w:val="1"/>
      <w:marLeft w:val="0"/>
      <w:marRight w:val="0"/>
      <w:marTop w:val="0"/>
      <w:marBottom w:val="0"/>
      <w:divBdr>
        <w:top w:val="none" w:sz="0" w:space="0" w:color="auto"/>
        <w:left w:val="none" w:sz="0" w:space="0" w:color="auto"/>
        <w:bottom w:val="none" w:sz="0" w:space="0" w:color="auto"/>
        <w:right w:val="none" w:sz="0" w:space="0" w:color="auto"/>
      </w:divBdr>
    </w:div>
    <w:div w:id="1082486930">
      <w:bodyDiv w:val="1"/>
      <w:marLeft w:val="0"/>
      <w:marRight w:val="0"/>
      <w:marTop w:val="0"/>
      <w:marBottom w:val="0"/>
      <w:divBdr>
        <w:top w:val="none" w:sz="0" w:space="0" w:color="auto"/>
        <w:left w:val="none" w:sz="0" w:space="0" w:color="auto"/>
        <w:bottom w:val="none" w:sz="0" w:space="0" w:color="auto"/>
        <w:right w:val="none" w:sz="0" w:space="0" w:color="auto"/>
      </w:divBdr>
    </w:div>
    <w:div w:id="1087729048">
      <w:bodyDiv w:val="1"/>
      <w:marLeft w:val="0"/>
      <w:marRight w:val="0"/>
      <w:marTop w:val="0"/>
      <w:marBottom w:val="0"/>
      <w:divBdr>
        <w:top w:val="none" w:sz="0" w:space="0" w:color="auto"/>
        <w:left w:val="none" w:sz="0" w:space="0" w:color="auto"/>
        <w:bottom w:val="none" w:sz="0" w:space="0" w:color="auto"/>
        <w:right w:val="none" w:sz="0" w:space="0" w:color="auto"/>
      </w:divBdr>
    </w:div>
    <w:div w:id="1160736179">
      <w:bodyDiv w:val="1"/>
      <w:marLeft w:val="0"/>
      <w:marRight w:val="0"/>
      <w:marTop w:val="0"/>
      <w:marBottom w:val="0"/>
      <w:divBdr>
        <w:top w:val="none" w:sz="0" w:space="0" w:color="auto"/>
        <w:left w:val="none" w:sz="0" w:space="0" w:color="auto"/>
        <w:bottom w:val="none" w:sz="0" w:space="0" w:color="auto"/>
        <w:right w:val="none" w:sz="0" w:space="0" w:color="auto"/>
      </w:divBdr>
    </w:div>
    <w:div w:id="1169829589">
      <w:bodyDiv w:val="1"/>
      <w:marLeft w:val="0"/>
      <w:marRight w:val="0"/>
      <w:marTop w:val="0"/>
      <w:marBottom w:val="0"/>
      <w:divBdr>
        <w:top w:val="none" w:sz="0" w:space="0" w:color="auto"/>
        <w:left w:val="none" w:sz="0" w:space="0" w:color="auto"/>
        <w:bottom w:val="none" w:sz="0" w:space="0" w:color="auto"/>
        <w:right w:val="none" w:sz="0" w:space="0" w:color="auto"/>
      </w:divBdr>
    </w:div>
    <w:div w:id="1173640341">
      <w:bodyDiv w:val="1"/>
      <w:marLeft w:val="0"/>
      <w:marRight w:val="0"/>
      <w:marTop w:val="0"/>
      <w:marBottom w:val="0"/>
      <w:divBdr>
        <w:top w:val="none" w:sz="0" w:space="0" w:color="auto"/>
        <w:left w:val="none" w:sz="0" w:space="0" w:color="auto"/>
        <w:bottom w:val="none" w:sz="0" w:space="0" w:color="auto"/>
        <w:right w:val="none" w:sz="0" w:space="0" w:color="auto"/>
      </w:divBdr>
    </w:div>
    <w:div w:id="1179660048">
      <w:bodyDiv w:val="1"/>
      <w:marLeft w:val="0"/>
      <w:marRight w:val="0"/>
      <w:marTop w:val="0"/>
      <w:marBottom w:val="0"/>
      <w:divBdr>
        <w:top w:val="none" w:sz="0" w:space="0" w:color="auto"/>
        <w:left w:val="none" w:sz="0" w:space="0" w:color="auto"/>
        <w:bottom w:val="none" w:sz="0" w:space="0" w:color="auto"/>
        <w:right w:val="none" w:sz="0" w:space="0" w:color="auto"/>
      </w:divBdr>
    </w:div>
    <w:div w:id="1227304283">
      <w:bodyDiv w:val="1"/>
      <w:marLeft w:val="0"/>
      <w:marRight w:val="0"/>
      <w:marTop w:val="0"/>
      <w:marBottom w:val="0"/>
      <w:divBdr>
        <w:top w:val="none" w:sz="0" w:space="0" w:color="auto"/>
        <w:left w:val="none" w:sz="0" w:space="0" w:color="auto"/>
        <w:bottom w:val="none" w:sz="0" w:space="0" w:color="auto"/>
        <w:right w:val="none" w:sz="0" w:space="0" w:color="auto"/>
      </w:divBdr>
    </w:div>
    <w:div w:id="1233657827">
      <w:bodyDiv w:val="1"/>
      <w:marLeft w:val="0"/>
      <w:marRight w:val="0"/>
      <w:marTop w:val="0"/>
      <w:marBottom w:val="0"/>
      <w:divBdr>
        <w:top w:val="none" w:sz="0" w:space="0" w:color="auto"/>
        <w:left w:val="none" w:sz="0" w:space="0" w:color="auto"/>
        <w:bottom w:val="none" w:sz="0" w:space="0" w:color="auto"/>
        <w:right w:val="none" w:sz="0" w:space="0" w:color="auto"/>
      </w:divBdr>
    </w:div>
    <w:div w:id="1237283066">
      <w:bodyDiv w:val="1"/>
      <w:marLeft w:val="0"/>
      <w:marRight w:val="0"/>
      <w:marTop w:val="0"/>
      <w:marBottom w:val="0"/>
      <w:divBdr>
        <w:top w:val="none" w:sz="0" w:space="0" w:color="auto"/>
        <w:left w:val="none" w:sz="0" w:space="0" w:color="auto"/>
        <w:bottom w:val="none" w:sz="0" w:space="0" w:color="auto"/>
        <w:right w:val="none" w:sz="0" w:space="0" w:color="auto"/>
      </w:divBdr>
    </w:div>
    <w:div w:id="1245340532">
      <w:bodyDiv w:val="1"/>
      <w:marLeft w:val="0"/>
      <w:marRight w:val="0"/>
      <w:marTop w:val="0"/>
      <w:marBottom w:val="0"/>
      <w:divBdr>
        <w:top w:val="none" w:sz="0" w:space="0" w:color="auto"/>
        <w:left w:val="none" w:sz="0" w:space="0" w:color="auto"/>
        <w:bottom w:val="none" w:sz="0" w:space="0" w:color="auto"/>
        <w:right w:val="none" w:sz="0" w:space="0" w:color="auto"/>
      </w:divBdr>
    </w:div>
    <w:div w:id="1251550480">
      <w:bodyDiv w:val="1"/>
      <w:marLeft w:val="0"/>
      <w:marRight w:val="0"/>
      <w:marTop w:val="0"/>
      <w:marBottom w:val="0"/>
      <w:divBdr>
        <w:top w:val="none" w:sz="0" w:space="0" w:color="auto"/>
        <w:left w:val="none" w:sz="0" w:space="0" w:color="auto"/>
        <w:bottom w:val="none" w:sz="0" w:space="0" w:color="auto"/>
        <w:right w:val="none" w:sz="0" w:space="0" w:color="auto"/>
      </w:divBdr>
    </w:div>
    <w:div w:id="1253468358">
      <w:bodyDiv w:val="1"/>
      <w:marLeft w:val="0"/>
      <w:marRight w:val="0"/>
      <w:marTop w:val="0"/>
      <w:marBottom w:val="0"/>
      <w:divBdr>
        <w:top w:val="none" w:sz="0" w:space="0" w:color="auto"/>
        <w:left w:val="none" w:sz="0" w:space="0" w:color="auto"/>
        <w:bottom w:val="none" w:sz="0" w:space="0" w:color="auto"/>
        <w:right w:val="none" w:sz="0" w:space="0" w:color="auto"/>
      </w:divBdr>
    </w:div>
    <w:div w:id="1263538718">
      <w:bodyDiv w:val="1"/>
      <w:marLeft w:val="0"/>
      <w:marRight w:val="0"/>
      <w:marTop w:val="0"/>
      <w:marBottom w:val="0"/>
      <w:divBdr>
        <w:top w:val="none" w:sz="0" w:space="0" w:color="auto"/>
        <w:left w:val="none" w:sz="0" w:space="0" w:color="auto"/>
        <w:bottom w:val="none" w:sz="0" w:space="0" w:color="auto"/>
        <w:right w:val="none" w:sz="0" w:space="0" w:color="auto"/>
      </w:divBdr>
    </w:div>
    <w:div w:id="1268318460">
      <w:bodyDiv w:val="1"/>
      <w:marLeft w:val="0"/>
      <w:marRight w:val="0"/>
      <w:marTop w:val="0"/>
      <w:marBottom w:val="0"/>
      <w:divBdr>
        <w:top w:val="none" w:sz="0" w:space="0" w:color="auto"/>
        <w:left w:val="none" w:sz="0" w:space="0" w:color="auto"/>
        <w:bottom w:val="none" w:sz="0" w:space="0" w:color="auto"/>
        <w:right w:val="none" w:sz="0" w:space="0" w:color="auto"/>
      </w:divBdr>
    </w:div>
    <w:div w:id="1276253439">
      <w:bodyDiv w:val="1"/>
      <w:marLeft w:val="0"/>
      <w:marRight w:val="0"/>
      <w:marTop w:val="0"/>
      <w:marBottom w:val="0"/>
      <w:divBdr>
        <w:top w:val="none" w:sz="0" w:space="0" w:color="auto"/>
        <w:left w:val="none" w:sz="0" w:space="0" w:color="auto"/>
        <w:bottom w:val="none" w:sz="0" w:space="0" w:color="auto"/>
        <w:right w:val="none" w:sz="0" w:space="0" w:color="auto"/>
      </w:divBdr>
    </w:div>
    <w:div w:id="1281768549">
      <w:bodyDiv w:val="1"/>
      <w:marLeft w:val="0"/>
      <w:marRight w:val="0"/>
      <w:marTop w:val="0"/>
      <w:marBottom w:val="0"/>
      <w:divBdr>
        <w:top w:val="none" w:sz="0" w:space="0" w:color="auto"/>
        <w:left w:val="none" w:sz="0" w:space="0" w:color="auto"/>
        <w:bottom w:val="none" w:sz="0" w:space="0" w:color="auto"/>
        <w:right w:val="none" w:sz="0" w:space="0" w:color="auto"/>
      </w:divBdr>
    </w:div>
    <w:div w:id="1293174733">
      <w:bodyDiv w:val="1"/>
      <w:marLeft w:val="0"/>
      <w:marRight w:val="0"/>
      <w:marTop w:val="0"/>
      <w:marBottom w:val="0"/>
      <w:divBdr>
        <w:top w:val="none" w:sz="0" w:space="0" w:color="auto"/>
        <w:left w:val="none" w:sz="0" w:space="0" w:color="auto"/>
        <w:bottom w:val="none" w:sz="0" w:space="0" w:color="auto"/>
        <w:right w:val="none" w:sz="0" w:space="0" w:color="auto"/>
      </w:divBdr>
      <w:divsChild>
        <w:div w:id="106700540">
          <w:marLeft w:val="806"/>
          <w:marRight w:val="0"/>
          <w:marTop w:val="72"/>
          <w:marBottom w:val="0"/>
          <w:divBdr>
            <w:top w:val="none" w:sz="0" w:space="0" w:color="auto"/>
            <w:left w:val="none" w:sz="0" w:space="0" w:color="auto"/>
            <w:bottom w:val="none" w:sz="0" w:space="0" w:color="auto"/>
            <w:right w:val="none" w:sz="0" w:space="0" w:color="auto"/>
          </w:divBdr>
        </w:div>
      </w:divsChild>
    </w:div>
    <w:div w:id="1299915349">
      <w:bodyDiv w:val="1"/>
      <w:marLeft w:val="0"/>
      <w:marRight w:val="0"/>
      <w:marTop w:val="0"/>
      <w:marBottom w:val="0"/>
      <w:divBdr>
        <w:top w:val="none" w:sz="0" w:space="0" w:color="auto"/>
        <w:left w:val="none" w:sz="0" w:space="0" w:color="auto"/>
        <w:bottom w:val="none" w:sz="0" w:space="0" w:color="auto"/>
        <w:right w:val="none" w:sz="0" w:space="0" w:color="auto"/>
      </w:divBdr>
    </w:div>
    <w:div w:id="1299921810">
      <w:bodyDiv w:val="1"/>
      <w:marLeft w:val="0"/>
      <w:marRight w:val="0"/>
      <w:marTop w:val="0"/>
      <w:marBottom w:val="0"/>
      <w:divBdr>
        <w:top w:val="none" w:sz="0" w:space="0" w:color="auto"/>
        <w:left w:val="none" w:sz="0" w:space="0" w:color="auto"/>
        <w:bottom w:val="none" w:sz="0" w:space="0" w:color="auto"/>
        <w:right w:val="none" w:sz="0" w:space="0" w:color="auto"/>
      </w:divBdr>
    </w:div>
    <w:div w:id="1338382459">
      <w:bodyDiv w:val="1"/>
      <w:marLeft w:val="0"/>
      <w:marRight w:val="0"/>
      <w:marTop w:val="0"/>
      <w:marBottom w:val="0"/>
      <w:divBdr>
        <w:top w:val="none" w:sz="0" w:space="0" w:color="auto"/>
        <w:left w:val="none" w:sz="0" w:space="0" w:color="auto"/>
        <w:bottom w:val="none" w:sz="0" w:space="0" w:color="auto"/>
        <w:right w:val="none" w:sz="0" w:space="0" w:color="auto"/>
      </w:divBdr>
    </w:div>
    <w:div w:id="1348672813">
      <w:bodyDiv w:val="1"/>
      <w:marLeft w:val="0"/>
      <w:marRight w:val="0"/>
      <w:marTop w:val="0"/>
      <w:marBottom w:val="0"/>
      <w:divBdr>
        <w:top w:val="none" w:sz="0" w:space="0" w:color="auto"/>
        <w:left w:val="none" w:sz="0" w:space="0" w:color="auto"/>
        <w:bottom w:val="none" w:sz="0" w:space="0" w:color="auto"/>
        <w:right w:val="none" w:sz="0" w:space="0" w:color="auto"/>
      </w:divBdr>
    </w:div>
    <w:div w:id="1357078219">
      <w:bodyDiv w:val="1"/>
      <w:marLeft w:val="0"/>
      <w:marRight w:val="0"/>
      <w:marTop w:val="0"/>
      <w:marBottom w:val="0"/>
      <w:divBdr>
        <w:top w:val="none" w:sz="0" w:space="0" w:color="auto"/>
        <w:left w:val="none" w:sz="0" w:space="0" w:color="auto"/>
        <w:bottom w:val="none" w:sz="0" w:space="0" w:color="auto"/>
        <w:right w:val="none" w:sz="0" w:space="0" w:color="auto"/>
      </w:divBdr>
    </w:div>
    <w:div w:id="1363359710">
      <w:bodyDiv w:val="1"/>
      <w:marLeft w:val="0"/>
      <w:marRight w:val="0"/>
      <w:marTop w:val="0"/>
      <w:marBottom w:val="0"/>
      <w:divBdr>
        <w:top w:val="none" w:sz="0" w:space="0" w:color="auto"/>
        <w:left w:val="none" w:sz="0" w:space="0" w:color="auto"/>
        <w:bottom w:val="none" w:sz="0" w:space="0" w:color="auto"/>
        <w:right w:val="none" w:sz="0" w:space="0" w:color="auto"/>
      </w:divBdr>
    </w:div>
    <w:div w:id="1384912086">
      <w:bodyDiv w:val="1"/>
      <w:marLeft w:val="0"/>
      <w:marRight w:val="0"/>
      <w:marTop w:val="0"/>
      <w:marBottom w:val="0"/>
      <w:divBdr>
        <w:top w:val="none" w:sz="0" w:space="0" w:color="auto"/>
        <w:left w:val="none" w:sz="0" w:space="0" w:color="auto"/>
        <w:bottom w:val="none" w:sz="0" w:space="0" w:color="auto"/>
        <w:right w:val="none" w:sz="0" w:space="0" w:color="auto"/>
      </w:divBdr>
    </w:div>
    <w:div w:id="1385179224">
      <w:bodyDiv w:val="1"/>
      <w:marLeft w:val="0"/>
      <w:marRight w:val="0"/>
      <w:marTop w:val="0"/>
      <w:marBottom w:val="0"/>
      <w:divBdr>
        <w:top w:val="none" w:sz="0" w:space="0" w:color="auto"/>
        <w:left w:val="none" w:sz="0" w:space="0" w:color="auto"/>
        <w:bottom w:val="none" w:sz="0" w:space="0" w:color="auto"/>
        <w:right w:val="none" w:sz="0" w:space="0" w:color="auto"/>
      </w:divBdr>
    </w:div>
    <w:div w:id="1386485323">
      <w:bodyDiv w:val="1"/>
      <w:marLeft w:val="0"/>
      <w:marRight w:val="0"/>
      <w:marTop w:val="0"/>
      <w:marBottom w:val="0"/>
      <w:divBdr>
        <w:top w:val="none" w:sz="0" w:space="0" w:color="auto"/>
        <w:left w:val="none" w:sz="0" w:space="0" w:color="auto"/>
        <w:bottom w:val="none" w:sz="0" w:space="0" w:color="auto"/>
        <w:right w:val="none" w:sz="0" w:space="0" w:color="auto"/>
      </w:divBdr>
    </w:div>
    <w:div w:id="1399598992">
      <w:bodyDiv w:val="1"/>
      <w:marLeft w:val="0"/>
      <w:marRight w:val="0"/>
      <w:marTop w:val="0"/>
      <w:marBottom w:val="0"/>
      <w:divBdr>
        <w:top w:val="none" w:sz="0" w:space="0" w:color="auto"/>
        <w:left w:val="none" w:sz="0" w:space="0" w:color="auto"/>
        <w:bottom w:val="none" w:sz="0" w:space="0" w:color="auto"/>
        <w:right w:val="none" w:sz="0" w:space="0" w:color="auto"/>
      </w:divBdr>
    </w:div>
    <w:div w:id="1407725352">
      <w:bodyDiv w:val="1"/>
      <w:marLeft w:val="0"/>
      <w:marRight w:val="0"/>
      <w:marTop w:val="0"/>
      <w:marBottom w:val="0"/>
      <w:divBdr>
        <w:top w:val="none" w:sz="0" w:space="0" w:color="auto"/>
        <w:left w:val="none" w:sz="0" w:space="0" w:color="auto"/>
        <w:bottom w:val="none" w:sz="0" w:space="0" w:color="auto"/>
        <w:right w:val="none" w:sz="0" w:space="0" w:color="auto"/>
      </w:divBdr>
    </w:div>
    <w:div w:id="1418214901">
      <w:bodyDiv w:val="1"/>
      <w:marLeft w:val="0"/>
      <w:marRight w:val="0"/>
      <w:marTop w:val="0"/>
      <w:marBottom w:val="0"/>
      <w:divBdr>
        <w:top w:val="none" w:sz="0" w:space="0" w:color="auto"/>
        <w:left w:val="none" w:sz="0" w:space="0" w:color="auto"/>
        <w:bottom w:val="none" w:sz="0" w:space="0" w:color="auto"/>
        <w:right w:val="none" w:sz="0" w:space="0" w:color="auto"/>
      </w:divBdr>
    </w:div>
    <w:div w:id="1427581691">
      <w:bodyDiv w:val="1"/>
      <w:marLeft w:val="0"/>
      <w:marRight w:val="0"/>
      <w:marTop w:val="0"/>
      <w:marBottom w:val="0"/>
      <w:divBdr>
        <w:top w:val="none" w:sz="0" w:space="0" w:color="auto"/>
        <w:left w:val="none" w:sz="0" w:space="0" w:color="auto"/>
        <w:bottom w:val="none" w:sz="0" w:space="0" w:color="auto"/>
        <w:right w:val="none" w:sz="0" w:space="0" w:color="auto"/>
      </w:divBdr>
    </w:div>
    <w:div w:id="1431851633">
      <w:bodyDiv w:val="1"/>
      <w:marLeft w:val="0"/>
      <w:marRight w:val="0"/>
      <w:marTop w:val="0"/>
      <w:marBottom w:val="0"/>
      <w:divBdr>
        <w:top w:val="none" w:sz="0" w:space="0" w:color="auto"/>
        <w:left w:val="none" w:sz="0" w:space="0" w:color="auto"/>
        <w:bottom w:val="none" w:sz="0" w:space="0" w:color="auto"/>
        <w:right w:val="none" w:sz="0" w:space="0" w:color="auto"/>
      </w:divBdr>
    </w:div>
    <w:div w:id="1435398692">
      <w:bodyDiv w:val="1"/>
      <w:marLeft w:val="0"/>
      <w:marRight w:val="0"/>
      <w:marTop w:val="0"/>
      <w:marBottom w:val="0"/>
      <w:divBdr>
        <w:top w:val="none" w:sz="0" w:space="0" w:color="auto"/>
        <w:left w:val="none" w:sz="0" w:space="0" w:color="auto"/>
        <w:bottom w:val="none" w:sz="0" w:space="0" w:color="auto"/>
        <w:right w:val="none" w:sz="0" w:space="0" w:color="auto"/>
      </w:divBdr>
    </w:div>
    <w:div w:id="1439175909">
      <w:bodyDiv w:val="1"/>
      <w:marLeft w:val="0"/>
      <w:marRight w:val="0"/>
      <w:marTop w:val="0"/>
      <w:marBottom w:val="0"/>
      <w:divBdr>
        <w:top w:val="none" w:sz="0" w:space="0" w:color="auto"/>
        <w:left w:val="none" w:sz="0" w:space="0" w:color="auto"/>
        <w:bottom w:val="none" w:sz="0" w:space="0" w:color="auto"/>
        <w:right w:val="none" w:sz="0" w:space="0" w:color="auto"/>
      </w:divBdr>
    </w:div>
    <w:div w:id="1442147643">
      <w:bodyDiv w:val="1"/>
      <w:marLeft w:val="0"/>
      <w:marRight w:val="0"/>
      <w:marTop w:val="0"/>
      <w:marBottom w:val="0"/>
      <w:divBdr>
        <w:top w:val="none" w:sz="0" w:space="0" w:color="auto"/>
        <w:left w:val="none" w:sz="0" w:space="0" w:color="auto"/>
        <w:bottom w:val="none" w:sz="0" w:space="0" w:color="auto"/>
        <w:right w:val="none" w:sz="0" w:space="0" w:color="auto"/>
      </w:divBdr>
    </w:div>
    <w:div w:id="1465781254">
      <w:bodyDiv w:val="1"/>
      <w:marLeft w:val="0"/>
      <w:marRight w:val="0"/>
      <w:marTop w:val="0"/>
      <w:marBottom w:val="0"/>
      <w:divBdr>
        <w:top w:val="none" w:sz="0" w:space="0" w:color="auto"/>
        <w:left w:val="none" w:sz="0" w:space="0" w:color="auto"/>
        <w:bottom w:val="none" w:sz="0" w:space="0" w:color="auto"/>
        <w:right w:val="none" w:sz="0" w:space="0" w:color="auto"/>
      </w:divBdr>
    </w:div>
    <w:div w:id="1470246168">
      <w:bodyDiv w:val="1"/>
      <w:marLeft w:val="0"/>
      <w:marRight w:val="0"/>
      <w:marTop w:val="0"/>
      <w:marBottom w:val="0"/>
      <w:divBdr>
        <w:top w:val="none" w:sz="0" w:space="0" w:color="auto"/>
        <w:left w:val="none" w:sz="0" w:space="0" w:color="auto"/>
        <w:bottom w:val="none" w:sz="0" w:space="0" w:color="auto"/>
        <w:right w:val="none" w:sz="0" w:space="0" w:color="auto"/>
      </w:divBdr>
    </w:div>
    <w:div w:id="1481656580">
      <w:bodyDiv w:val="1"/>
      <w:marLeft w:val="0"/>
      <w:marRight w:val="0"/>
      <w:marTop w:val="0"/>
      <w:marBottom w:val="0"/>
      <w:divBdr>
        <w:top w:val="none" w:sz="0" w:space="0" w:color="auto"/>
        <w:left w:val="none" w:sz="0" w:space="0" w:color="auto"/>
        <w:bottom w:val="none" w:sz="0" w:space="0" w:color="auto"/>
        <w:right w:val="none" w:sz="0" w:space="0" w:color="auto"/>
      </w:divBdr>
    </w:div>
    <w:div w:id="1498494267">
      <w:bodyDiv w:val="1"/>
      <w:marLeft w:val="0"/>
      <w:marRight w:val="0"/>
      <w:marTop w:val="0"/>
      <w:marBottom w:val="0"/>
      <w:divBdr>
        <w:top w:val="none" w:sz="0" w:space="0" w:color="auto"/>
        <w:left w:val="none" w:sz="0" w:space="0" w:color="auto"/>
        <w:bottom w:val="none" w:sz="0" w:space="0" w:color="auto"/>
        <w:right w:val="none" w:sz="0" w:space="0" w:color="auto"/>
      </w:divBdr>
    </w:div>
    <w:div w:id="1514765413">
      <w:bodyDiv w:val="1"/>
      <w:marLeft w:val="0"/>
      <w:marRight w:val="0"/>
      <w:marTop w:val="0"/>
      <w:marBottom w:val="0"/>
      <w:divBdr>
        <w:top w:val="none" w:sz="0" w:space="0" w:color="auto"/>
        <w:left w:val="none" w:sz="0" w:space="0" w:color="auto"/>
        <w:bottom w:val="none" w:sz="0" w:space="0" w:color="auto"/>
        <w:right w:val="none" w:sz="0" w:space="0" w:color="auto"/>
      </w:divBdr>
    </w:div>
    <w:div w:id="1516378972">
      <w:bodyDiv w:val="1"/>
      <w:marLeft w:val="0"/>
      <w:marRight w:val="0"/>
      <w:marTop w:val="0"/>
      <w:marBottom w:val="0"/>
      <w:divBdr>
        <w:top w:val="none" w:sz="0" w:space="0" w:color="auto"/>
        <w:left w:val="none" w:sz="0" w:space="0" w:color="auto"/>
        <w:bottom w:val="none" w:sz="0" w:space="0" w:color="auto"/>
        <w:right w:val="none" w:sz="0" w:space="0" w:color="auto"/>
      </w:divBdr>
    </w:div>
    <w:div w:id="1546797868">
      <w:bodyDiv w:val="1"/>
      <w:marLeft w:val="0"/>
      <w:marRight w:val="0"/>
      <w:marTop w:val="0"/>
      <w:marBottom w:val="0"/>
      <w:divBdr>
        <w:top w:val="none" w:sz="0" w:space="0" w:color="auto"/>
        <w:left w:val="none" w:sz="0" w:space="0" w:color="auto"/>
        <w:bottom w:val="none" w:sz="0" w:space="0" w:color="auto"/>
        <w:right w:val="none" w:sz="0" w:space="0" w:color="auto"/>
      </w:divBdr>
    </w:div>
    <w:div w:id="1552571408">
      <w:bodyDiv w:val="1"/>
      <w:marLeft w:val="0"/>
      <w:marRight w:val="0"/>
      <w:marTop w:val="0"/>
      <w:marBottom w:val="0"/>
      <w:divBdr>
        <w:top w:val="none" w:sz="0" w:space="0" w:color="auto"/>
        <w:left w:val="none" w:sz="0" w:space="0" w:color="auto"/>
        <w:bottom w:val="none" w:sz="0" w:space="0" w:color="auto"/>
        <w:right w:val="none" w:sz="0" w:space="0" w:color="auto"/>
      </w:divBdr>
    </w:div>
    <w:div w:id="1559126656">
      <w:bodyDiv w:val="1"/>
      <w:marLeft w:val="0"/>
      <w:marRight w:val="0"/>
      <w:marTop w:val="0"/>
      <w:marBottom w:val="0"/>
      <w:divBdr>
        <w:top w:val="none" w:sz="0" w:space="0" w:color="auto"/>
        <w:left w:val="none" w:sz="0" w:space="0" w:color="auto"/>
        <w:bottom w:val="none" w:sz="0" w:space="0" w:color="auto"/>
        <w:right w:val="none" w:sz="0" w:space="0" w:color="auto"/>
      </w:divBdr>
    </w:div>
    <w:div w:id="1563102015">
      <w:bodyDiv w:val="1"/>
      <w:marLeft w:val="0"/>
      <w:marRight w:val="0"/>
      <w:marTop w:val="0"/>
      <w:marBottom w:val="0"/>
      <w:divBdr>
        <w:top w:val="none" w:sz="0" w:space="0" w:color="auto"/>
        <w:left w:val="none" w:sz="0" w:space="0" w:color="auto"/>
        <w:bottom w:val="none" w:sz="0" w:space="0" w:color="auto"/>
        <w:right w:val="none" w:sz="0" w:space="0" w:color="auto"/>
      </w:divBdr>
    </w:div>
    <w:div w:id="1579751263">
      <w:bodyDiv w:val="1"/>
      <w:marLeft w:val="0"/>
      <w:marRight w:val="0"/>
      <w:marTop w:val="0"/>
      <w:marBottom w:val="0"/>
      <w:divBdr>
        <w:top w:val="none" w:sz="0" w:space="0" w:color="auto"/>
        <w:left w:val="none" w:sz="0" w:space="0" w:color="auto"/>
        <w:bottom w:val="none" w:sz="0" w:space="0" w:color="auto"/>
        <w:right w:val="none" w:sz="0" w:space="0" w:color="auto"/>
      </w:divBdr>
    </w:div>
    <w:div w:id="1594556778">
      <w:bodyDiv w:val="1"/>
      <w:marLeft w:val="0"/>
      <w:marRight w:val="0"/>
      <w:marTop w:val="0"/>
      <w:marBottom w:val="0"/>
      <w:divBdr>
        <w:top w:val="none" w:sz="0" w:space="0" w:color="auto"/>
        <w:left w:val="none" w:sz="0" w:space="0" w:color="auto"/>
        <w:bottom w:val="none" w:sz="0" w:space="0" w:color="auto"/>
        <w:right w:val="none" w:sz="0" w:space="0" w:color="auto"/>
      </w:divBdr>
    </w:div>
    <w:div w:id="1609580425">
      <w:bodyDiv w:val="1"/>
      <w:marLeft w:val="0"/>
      <w:marRight w:val="0"/>
      <w:marTop w:val="0"/>
      <w:marBottom w:val="0"/>
      <w:divBdr>
        <w:top w:val="none" w:sz="0" w:space="0" w:color="auto"/>
        <w:left w:val="none" w:sz="0" w:space="0" w:color="auto"/>
        <w:bottom w:val="none" w:sz="0" w:space="0" w:color="auto"/>
        <w:right w:val="none" w:sz="0" w:space="0" w:color="auto"/>
      </w:divBdr>
    </w:div>
    <w:div w:id="1610627526">
      <w:bodyDiv w:val="1"/>
      <w:marLeft w:val="0"/>
      <w:marRight w:val="0"/>
      <w:marTop w:val="0"/>
      <w:marBottom w:val="0"/>
      <w:divBdr>
        <w:top w:val="none" w:sz="0" w:space="0" w:color="auto"/>
        <w:left w:val="none" w:sz="0" w:space="0" w:color="auto"/>
        <w:bottom w:val="none" w:sz="0" w:space="0" w:color="auto"/>
        <w:right w:val="none" w:sz="0" w:space="0" w:color="auto"/>
      </w:divBdr>
    </w:div>
    <w:div w:id="1614634636">
      <w:bodyDiv w:val="1"/>
      <w:marLeft w:val="0"/>
      <w:marRight w:val="0"/>
      <w:marTop w:val="0"/>
      <w:marBottom w:val="0"/>
      <w:divBdr>
        <w:top w:val="none" w:sz="0" w:space="0" w:color="auto"/>
        <w:left w:val="none" w:sz="0" w:space="0" w:color="auto"/>
        <w:bottom w:val="none" w:sz="0" w:space="0" w:color="auto"/>
        <w:right w:val="none" w:sz="0" w:space="0" w:color="auto"/>
      </w:divBdr>
    </w:div>
    <w:div w:id="1624187703">
      <w:bodyDiv w:val="1"/>
      <w:marLeft w:val="0"/>
      <w:marRight w:val="0"/>
      <w:marTop w:val="0"/>
      <w:marBottom w:val="0"/>
      <w:divBdr>
        <w:top w:val="none" w:sz="0" w:space="0" w:color="auto"/>
        <w:left w:val="none" w:sz="0" w:space="0" w:color="auto"/>
        <w:bottom w:val="none" w:sz="0" w:space="0" w:color="auto"/>
        <w:right w:val="none" w:sz="0" w:space="0" w:color="auto"/>
      </w:divBdr>
    </w:div>
    <w:div w:id="1636526522">
      <w:bodyDiv w:val="1"/>
      <w:marLeft w:val="0"/>
      <w:marRight w:val="0"/>
      <w:marTop w:val="0"/>
      <w:marBottom w:val="0"/>
      <w:divBdr>
        <w:top w:val="none" w:sz="0" w:space="0" w:color="auto"/>
        <w:left w:val="none" w:sz="0" w:space="0" w:color="auto"/>
        <w:bottom w:val="none" w:sz="0" w:space="0" w:color="auto"/>
        <w:right w:val="none" w:sz="0" w:space="0" w:color="auto"/>
      </w:divBdr>
    </w:div>
    <w:div w:id="1649900059">
      <w:bodyDiv w:val="1"/>
      <w:marLeft w:val="0"/>
      <w:marRight w:val="0"/>
      <w:marTop w:val="0"/>
      <w:marBottom w:val="0"/>
      <w:divBdr>
        <w:top w:val="none" w:sz="0" w:space="0" w:color="auto"/>
        <w:left w:val="none" w:sz="0" w:space="0" w:color="auto"/>
        <w:bottom w:val="none" w:sz="0" w:space="0" w:color="auto"/>
        <w:right w:val="none" w:sz="0" w:space="0" w:color="auto"/>
      </w:divBdr>
    </w:div>
    <w:div w:id="1651590021">
      <w:bodyDiv w:val="1"/>
      <w:marLeft w:val="0"/>
      <w:marRight w:val="0"/>
      <w:marTop w:val="0"/>
      <w:marBottom w:val="0"/>
      <w:divBdr>
        <w:top w:val="none" w:sz="0" w:space="0" w:color="auto"/>
        <w:left w:val="none" w:sz="0" w:space="0" w:color="auto"/>
        <w:bottom w:val="none" w:sz="0" w:space="0" w:color="auto"/>
        <w:right w:val="none" w:sz="0" w:space="0" w:color="auto"/>
      </w:divBdr>
    </w:div>
    <w:div w:id="1657493207">
      <w:bodyDiv w:val="1"/>
      <w:marLeft w:val="0"/>
      <w:marRight w:val="0"/>
      <w:marTop w:val="0"/>
      <w:marBottom w:val="0"/>
      <w:divBdr>
        <w:top w:val="none" w:sz="0" w:space="0" w:color="auto"/>
        <w:left w:val="none" w:sz="0" w:space="0" w:color="auto"/>
        <w:bottom w:val="none" w:sz="0" w:space="0" w:color="auto"/>
        <w:right w:val="none" w:sz="0" w:space="0" w:color="auto"/>
      </w:divBdr>
    </w:div>
    <w:div w:id="1681927251">
      <w:bodyDiv w:val="1"/>
      <w:marLeft w:val="0"/>
      <w:marRight w:val="0"/>
      <w:marTop w:val="0"/>
      <w:marBottom w:val="0"/>
      <w:divBdr>
        <w:top w:val="none" w:sz="0" w:space="0" w:color="auto"/>
        <w:left w:val="none" w:sz="0" w:space="0" w:color="auto"/>
        <w:bottom w:val="none" w:sz="0" w:space="0" w:color="auto"/>
        <w:right w:val="none" w:sz="0" w:space="0" w:color="auto"/>
      </w:divBdr>
    </w:div>
    <w:div w:id="1684821482">
      <w:bodyDiv w:val="1"/>
      <w:marLeft w:val="0"/>
      <w:marRight w:val="0"/>
      <w:marTop w:val="0"/>
      <w:marBottom w:val="0"/>
      <w:divBdr>
        <w:top w:val="none" w:sz="0" w:space="0" w:color="auto"/>
        <w:left w:val="none" w:sz="0" w:space="0" w:color="auto"/>
        <w:bottom w:val="none" w:sz="0" w:space="0" w:color="auto"/>
        <w:right w:val="none" w:sz="0" w:space="0" w:color="auto"/>
      </w:divBdr>
    </w:div>
    <w:div w:id="1689911640">
      <w:bodyDiv w:val="1"/>
      <w:marLeft w:val="0"/>
      <w:marRight w:val="0"/>
      <w:marTop w:val="0"/>
      <w:marBottom w:val="0"/>
      <w:divBdr>
        <w:top w:val="none" w:sz="0" w:space="0" w:color="auto"/>
        <w:left w:val="none" w:sz="0" w:space="0" w:color="auto"/>
        <w:bottom w:val="none" w:sz="0" w:space="0" w:color="auto"/>
        <w:right w:val="none" w:sz="0" w:space="0" w:color="auto"/>
      </w:divBdr>
    </w:div>
    <w:div w:id="1692992169">
      <w:bodyDiv w:val="1"/>
      <w:marLeft w:val="0"/>
      <w:marRight w:val="0"/>
      <w:marTop w:val="0"/>
      <w:marBottom w:val="0"/>
      <w:divBdr>
        <w:top w:val="none" w:sz="0" w:space="0" w:color="auto"/>
        <w:left w:val="none" w:sz="0" w:space="0" w:color="auto"/>
        <w:bottom w:val="none" w:sz="0" w:space="0" w:color="auto"/>
        <w:right w:val="none" w:sz="0" w:space="0" w:color="auto"/>
      </w:divBdr>
    </w:div>
    <w:div w:id="1706825437">
      <w:bodyDiv w:val="1"/>
      <w:marLeft w:val="0"/>
      <w:marRight w:val="0"/>
      <w:marTop w:val="0"/>
      <w:marBottom w:val="0"/>
      <w:divBdr>
        <w:top w:val="none" w:sz="0" w:space="0" w:color="auto"/>
        <w:left w:val="none" w:sz="0" w:space="0" w:color="auto"/>
        <w:bottom w:val="none" w:sz="0" w:space="0" w:color="auto"/>
        <w:right w:val="none" w:sz="0" w:space="0" w:color="auto"/>
      </w:divBdr>
    </w:div>
    <w:div w:id="1713654951">
      <w:bodyDiv w:val="1"/>
      <w:marLeft w:val="0"/>
      <w:marRight w:val="0"/>
      <w:marTop w:val="0"/>
      <w:marBottom w:val="0"/>
      <w:divBdr>
        <w:top w:val="none" w:sz="0" w:space="0" w:color="auto"/>
        <w:left w:val="none" w:sz="0" w:space="0" w:color="auto"/>
        <w:bottom w:val="none" w:sz="0" w:space="0" w:color="auto"/>
        <w:right w:val="none" w:sz="0" w:space="0" w:color="auto"/>
      </w:divBdr>
    </w:div>
    <w:div w:id="1720587858">
      <w:bodyDiv w:val="1"/>
      <w:marLeft w:val="0"/>
      <w:marRight w:val="0"/>
      <w:marTop w:val="0"/>
      <w:marBottom w:val="0"/>
      <w:divBdr>
        <w:top w:val="none" w:sz="0" w:space="0" w:color="auto"/>
        <w:left w:val="none" w:sz="0" w:space="0" w:color="auto"/>
        <w:bottom w:val="none" w:sz="0" w:space="0" w:color="auto"/>
        <w:right w:val="none" w:sz="0" w:space="0" w:color="auto"/>
      </w:divBdr>
    </w:div>
    <w:div w:id="1728797079">
      <w:bodyDiv w:val="1"/>
      <w:marLeft w:val="0"/>
      <w:marRight w:val="0"/>
      <w:marTop w:val="0"/>
      <w:marBottom w:val="0"/>
      <w:divBdr>
        <w:top w:val="none" w:sz="0" w:space="0" w:color="auto"/>
        <w:left w:val="none" w:sz="0" w:space="0" w:color="auto"/>
        <w:bottom w:val="none" w:sz="0" w:space="0" w:color="auto"/>
        <w:right w:val="none" w:sz="0" w:space="0" w:color="auto"/>
      </w:divBdr>
    </w:div>
    <w:div w:id="1734425068">
      <w:bodyDiv w:val="1"/>
      <w:marLeft w:val="0"/>
      <w:marRight w:val="0"/>
      <w:marTop w:val="0"/>
      <w:marBottom w:val="0"/>
      <w:divBdr>
        <w:top w:val="none" w:sz="0" w:space="0" w:color="auto"/>
        <w:left w:val="none" w:sz="0" w:space="0" w:color="auto"/>
        <w:bottom w:val="none" w:sz="0" w:space="0" w:color="auto"/>
        <w:right w:val="none" w:sz="0" w:space="0" w:color="auto"/>
      </w:divBdr>
    </w:div>
    <w:div w:id="1738823277">
      <w:bodyDiv w:val="1"/>
      <w:marLeft w:val="0"/>
      <w:marRight w:val="0"/>
      <w:marTop w:val="0"/>
      <w:marBottom w:val="0"/>
      <w:divBdr>
        <w:top w:val="none" w:sz="0" w:space="0" w:color="auto"/>
        <w:left w:val="none" w:sz="0" w:space="0" w:color="auto"/>
        <w:bottom w:val="none" w:sz="0" w:space="0" w:color="auto"/>
        <w:right w:val="none" w:sz="0" w:space="0" w:color="auto"/>
      </w:divBdr>
    </w:div>
    <w:div w:id="1740906941">
      <w:bodyDiv w:val="1"/>
      <w:marLeft w:val="0"/>
      <w:marRight w:val="0"/>
      <w:marTop w:val="0"/>
      <w:marBottom w:val="0"/>
      <w:divBdr>
        <w:top w:val="none" w:sz="0" w:space="0" w:color="auto"/>
        <w:left w:val="none" w:sz="0" w:space="0" w:color="auto"/>
        <w:bottom w:val="none" w:sz="0" w:space="0" w:color="auto"/>
        <w:right w:val="none" w:sz="0" w:space="0" w:color="auto"/>
      </w:divBdr>
    </w:div>
    <w:div w:id="1742219646">
      <w:bodyDiv w:val="1"/>
      <w:marLeft w:val="0"/>
      <w:marRight w:val="0"/>
      <w:marTop w:val="0"/>
      <w:marBottom w:val="0"/>
      <w:divBdr>
        <w:top w:val="none" w:sz="0" w:space="0" w:color="auto"/>
        <w:left w:val="none" w:sz="0" w:space="0" w:color="auto"/>
        <w:bottom w:val="none" w:sz="0" w:space="0" w:color="auto"/>
        <w:right w:val="none" w:sz="0" w:space="0" w:color="auto"/>
      </w:divBdr>
    </w:div>
    <w:div w:id="1743990069">
      <w:bodyDiv w:val="1"/>
      <w:marLeft w:val="0"/>
      <w:marRight w:val="0"/>
      <w:marTop w:val="0"/>
      <w:marBottom w:val="0"/>
      <w:divBdr>
        <w:top w:val="none" w:sz="0" w:space="0" w:color="auto"/>
        <w:left w:val="none" w:sz="0" w:space="0" w:color="auto"/>
        <w:bottom w:val="none" w:sz="0" w:space="0" w:color="auto"/>
        <w:right w:val="none" w:sz="0" w:space="0" w:color="auto"/>
      </w:divBdr>
    </w:div>
    <w:div w:id="1766145971">
      <w:bodyDiv w:val="1"/>
      <w:marLeft w:val="0"/>
      <w:marRight w:val="0"/>
      <w:marTop w:val="0"/>
      <w:marBottom w:val="0"/>
      <w:divBdr>
        <w:top w:val="none" w:sz="0" w:space="0" w:color="auto"/>
        <w:left w:val="none" w:sz="0" w:space="0" w:color="auto"/>
        <w:bottom w:val="none" w:sz="0" w:space="0" w:color="auto"/>
        <w:right w:val="none" w:sz="0" w:space="0" w:color="auto"/>
      </w:divBdr>
    </w:div>
    <w:div w:id="1766489137">
      <w:bodyDiv w:val="1"/>
      <w:marLeft w:val="0"/>
      <w:marRight w:val="0"/>
      <w:marTop w:val="0"/>
      <w:marBottom w:val="0"/>
      <w:divBdr>
        <w:top w:val="none" w:sz="0" w:space="0" w:color="auto"/>
        <w:left w:val="none" w:sz="0" w:space="0" w:color="auto"/>
        <w:bottom w:val="none" w:sz="0" w:space="0" w:color="auto"/>
        <w:right w:val="none" w:sz="0" w:space="0" w:color="auto"/>
      </w:divBdr>
    </w:div>
    <w:div w:id="1770664159">
      <w:bodyDiv w:val="1"/>
      <w:marLeft w:val="0"/>
      <w:marRight w:val="0"/>
      <w:marTop w:val="0"/>
      <w:marBottom w:val="0"/>
      <w:divBdr>
        <w:top w:val="none" w:sz="0" w:space="0" w:color="auto"/>
        <w:left w:val="none" w:sz="0" w:space="0" w:color="auto"/>
        <w:bottom w:val="none" w:sz="0" w:space="0" w:color="auto"/>
        <w:right w:val="none" w:sz="0" w:space="0" w:color="auto"/>
      </w:divBdr>
    </w:div>
    <w:div w:id="1770853732">
      <w:bodyDiv w:val="1"/>
      <w:marLeft w:val="0"/>
      <w:marRight w:val="0"/>
      <w:marTop w:val="0"/>
      <w:marBottom w:val="0"/>
      <w:divBdr>
        <w:top w:val="none" w:sz="0" w:space="0" w:color="auto"/>
        <w:left w:val="none" w:sz="0" w:space="0" w:color="auto"/>
        <w:bottom w:val="none" w:sz="0" w:space="0" w:color="auto"/>
        <w:right w:val="none" w:sz="0" w:space="0" w:color="auto"/>
      </w:divBdr>
    </w:div>
    <w:div w:id="1781492311">
      <w:bodyDiv w:val="1"/>
      <w:marLeft w:val="0"/>
      <w:marRight w:val="0"/>
      <w:marTop w:val="0"/>
      <w:marBottom w:val="0"/>
      <w:divBdr>
        <w:top w:val="none" w:sz="0" w:space="0" w:color="auto"/>
        <w:left w:val="none" w:sz="0" w:space="0" w:color="auto"/>
        <w:bottom w:val="none" w:sz="0" w:space="0" w:color="auto"/>
        <w:right w:val="none" w:sz="0" w:space="0" w:color="auto"/>
      </w:divBdr>
    </w:div>
    <w:div w:id="1803964494">
      <w:bodyDiv w:val="1"/>
      <w:marLeft w:val="0"/>
      <w:marRight w:val="0"/>
      <w:marTop w:val="0"/>
      <w:marBottom w:val="0"/>
      <w:divBdr>
        <w:top w:val="none" w:sz="0" w:space="0" w:color="auto"/>
        <w:left w:val="none" w:sz="0" w:space="0" w:color="auto"/>
        <w:bottom w:val="none" w:sz="0" w:space="0" w:color="auto"/>
        <w:right w:val="none" w:sz="0" w:space="0" w:color="auto"/>
      </w:divBdr>
    </w:div>
    <w:div w:id="1806583799">
      <w:bodyDiv w:val="1"/>
      <w:marLeft w:val="0"/>
      <w:marRight w:val="0"/>
      <w:marTop w:val="0"/>
      <w:marBottom w:val="0"/>
      <w:divBdr>
        <w:top w:val="none" w:sz="0" w:space="0" w:color="auto"/>
        <w:left w:val="none" w:sz="0" w:space="0" w:color="auto"/>
        <w:bottom w:val="none" w:sz="0" w:space="0" w:color="auto"/>
        <w:right w:val="none" w:sz="0" w:space="0" w:color="auto"/>
      </w:divBdr>
    </w:div>
    <w:div w:id="1819104804">
      <w:bodyDiv w:val="1"/>
      <w:marLeft w:val="0"/>
      <w:marRight w:val="0"/>
      <w:marTop w:val="0"/>
      <w:marBottom w:val="0"/>
      <w:divBdr>
        <w:top w:val="none" w:sz="0" w:space="0" w:color="auto"/>
        <w:left w:val="none" w:sz="0" w:space="0" w:color="auto"/>
        <w:bottom w:val="none" w:sz="0" w:space="0" w:color="auto"/>
        <w:right w:val="none" w:sz="0" w:space="0" w:color="auto"/>
      </w:divBdr>
    </w:div>
    <w:div w:id="1819684790">
      <w:bodyDiv w:val="1"/>
      <w:marLeft w:val="0"/>
      <w:marRight w:val="0"/>
      <w:marTop w:val="0"/>
      <w:marBottom w:val="0"/>
      <w:divBdr>
        <w:top w:val="none" w:sz="0" w:space="0" w:color="auto"/>
        <w:left w:val="none" w:sz="0" w:space="0" w:color="auto"/>
        <w:bottom w:val="none" w:sz="0" w:space="0" w:color="auto"/>
        <w:right w:val="none" w:sz="0" w:space="0" w:color="auto"/>
      </w:divBdr>
    </w:div>
    <w:div w:id="1830097039">
      <w:bodyDiv w:val="1"/>
      <w:marLeft w:val="0"/>
      <w:marRight w:val="0"/>
      <w:marTop w:val="0"/>
      <w:marBottom w:val="0"/>
      <w:divBdr>
        <w:top w:val="none" w:sz="0" w:space="0" w:color="auto"/>
        <w:left w:val="none" w:sz="0" w:space="0" w:color="auto"/>
        <w:bottom w:val="none" w:sz="0" w:space="0" w:color="auto"/>
        <w:right w:val="none" w:sz="0" w:space="0" w:color="auto"/>
      </w:divBdr>
    </w:div>
    <w:div w:id="1836801772">
      <w:bodyDiv w:val="1"/>
      <w:marLeft w:val="0"/>
      <w:marRight w:val="0"/>
      <w:marTop w:val="0"/>
      <w:marBottom w:val="0"/>
      <w:divBdr>
        <w:top w:val="none" w:sz="0" w:space="0" w:color="auto"/>
        <w:left w:val="none" w:sz="0" w:space="0" w:color="auto"/>
        <w:bottom w:val="none" w:sz="0" w:space="0" w:color="auto"/>
        <w:right w:val="none" w:sz="0" w:space="0" w:color="auto"/>
      </w:divBdr>
    </w:div>
    <w:div w:id="1855531448">
      <w:bodyDiv w:val="1"/>
      <w:marLeft w:val="0"/>
      <w:marRight w:val="0"/>
      <w:marTop w:val="0"/>
      <w:marBottom w:val="0"/>
      <w:divBdr>
        <w:top w:val="none" w:sz="0" w:space="0" w:color="auto"/>
        <w:left w:val="none" w:sz="0" w:space="0" w:color="auto"/>
        <w:bottom w:val="none" w:sz="0" w:space="0" w:color="auto"/>
        <w:right w:val="none" w:sz="0" w:space="0" w:color="auto"/>
      </w:divBdr>
    </w:div>
    <w:div w:id="1855607716">
      <w:bodyDiv w:val="1"/>
      <w:marLeft w:val="0"/>
      <w:marRight w:val="0"/>
      <w:marTop w:val="0"/>
      <w:marBottom w:val="0"/>
      <w:divBdr>
        <w:top w:val="none" w:sz="0" w:space="0" w:color="auto"/>
        <w:left w:val="none" w:sz="0" w:space="0" w:color="auto"/>
        <w:bottom w:val="none" w:sz="0" w:space="0" w:color="auto"/>
        <w:right w:val="none" w:sz="0" w:space="0" w:color="auto"/>
      </w:divBdr>
    </w:div>
    <w:div w:id="1856993429">
      <w:bodyDiv w:val="1"/>
      <w:marLeft w:val="0"/>
      <w:marRight w:val="0"/>
      <w:marTop w:val="0"/>
      <w:marBottom w:val="0"/>
      <w:divBdr>
        <w:top w:val="none" w:sz="0" w:space="0" w:color="auto"/>
        <w:left w:val="none" w:sz="0" w:space="0" w:color="auto"/>
        <w:bottom w:val="none" w:sz="0" w:space="0" w:color="auto"/>
        <w:right w:val="none" w:sz="0" w:space="0" w:color="auto"/>
      </w:divBdr>
    </w:div>
    <w:div w:id="1863204979">
      <w:bodyDiv w:val="1"/>
      <w:marLeft w:val="0"/>
      <w:marRight w:val="0"/>
      <w:marTop w:val="0"/>
      <w:marBottom w:val="0"/>
      <w:divBdr>
        <w:top w:val="none" w:sz="0" w:space="0" w:color="auto"/>
        <w:left w:val="none" w:sz="0" w:space="0" w:color="auto"/>
        <w:bottom w:val="none" w:sz="0" w:space="0" w:color="auto"/>
        <w:right w:val="none" w:sz="0" w:space="0" w:color="auto"/>
      </w:divBdr>
    </w:div>
    <w:div w:id="1868372200">
      <w:bodyDiv w:val="1"/>
      <w:marLeft w:val="0"/>
      <w:marRight w:val="0"/>
      <w:marTop w:val="0"/>
      <w:marBottom w:val="0"/>
      <w:divBdr>
        <w:top w:val="none" w:sz="0" w:space="0" w:color="auto"/>
        <w:left w:val="none" w:sz="0" w:space="0" w:color="auto"/>
        <w:bottom w:val="none" w:sz="0" w:space="0" w:color="auto"/>
        <w:right w:val="none" w:sz="0" w:space="0" w:color="auto"/>
      </w:divBdr>
    </w:div>
    <w:div w:id="1869485840">
      <w:bodyDiv w:val="1"/>
      <w:marLeft w:val="0"/>
      <w:marRight w:val="0"/>
      <w:marTop w:val="0"/>
      <w:marBottom w:val="0"/>
      <w:divBdr>
        <w:top w:val="none" w:sz="0" w:space="0" w:color="auto"/>
        <w:left w:val="none" w:sz="0" w:space="0" w:color="auto"/>
        <w:bottom w:val="none" w:sz="0" w:space="0" w:color="auto"/>
        <w:right w:val="none" w:sz="0" w:space="0" w:color="auto"/>
      </w:divBdr>
    </w:div>
    <w:div w:id="1876043121">
      <w:bodyDiv w:val="1"/>
      <w:marLeft w:val="0"/>
      <w:marRight w:val="0"/>
      <w:marTop w:val="0"/>
      <w:marBottom w:val="0"/>
      <w:divBdr>
        <w:top w:val="none" w:sz="0" w:space="0" w:color="auto"/>
        <w:left w:val="none" w:sz="0" w:space="0" w:color="auto"/>
        <w:bottom w:val="none" w:sz="0" w:space="0" w:color="auto"/>
        <w:right w:val="none" w:sz="0" w:space="0" w:color="auto"/>
      </w:divBdr>
    </w:div>
    <w:div w:id="1879079687">
      <w:bodyDiv w:val="1"/>
      <w:marLeft w:val="0"/>
      <w:marRight w:val="0"/>
      <w:marTop w:val="0"/>
      <w:marBottom w:val="0"/>
      <w:divBdr>
        <w:top w:val="none" w:sz="0" w:space="0" w:color="auto"/>
        <w:left w:val="none" w:sz="0" w:space="0" w:color="auto"/>
        <w:bottom w:val="none" w:sz="0" w:space="0" w:color="auto"/>
        <w:right w:val="none" w:sz="0" w:space="0" w:color="auto"/>
      </w:divBdr>
    </w:div>
    <w:div w:id="1884367484">
      <w:bodyDiv w:val="1"/>
      <w:marLeft w:val="0"/>
      <w:marRight w:val="0"/>
      <w:marTop w:val="0"/>
      <w:marBottom w:val="0"/>
      <w:divBdr>
        <w:top w:val="none" w:sz="0" w:space="0" w:color="auto"/>
        <w:left w:val="none" w:sz="0" w:space="0" w:color="auto"/>
        <w:bottom w:val="none" w:sz="0" w:space="0" w:color="auto"/>
        <w:right w:val="none" w:sz="0" w:space="0" w:color="auto"/>
      </w:divBdr>
    </w:div>
    <w:div w:id="1902641448">
      <w:bodyDiv w:val="1"/>
      <w:marLeft w:val="0"/>
      <w:marRight w:val="0"/>
      <w:marTop w:val="0"/>
      <w:marBottom w:val="0"/>
      <w:divBdr>
        <w:top w:val="none" w:sz="0" w:space="0" w:color="auto"/>
        <w:left w:val="none" w:sz="0" w:space="0" w:color="auto"/>
        <w:bottom w:val="none" w:sz="0" w:space="0" w:color="auto"/>
        <w:right w:val="none" w:sz="0" w:space="0" w:color="auto"/>
      </w:divBdr>
    </w:div>
    <w:div w:id="1903827975">
      <w:bodyDiv w:val="1"/>
      <w:marLeft w:val="0"/>
      <w:marRight w:val="0"/>
      <w:marTop w:val="0"/>
      <w:marBottom w:val="0"/>
      <w:divBdr>
        <w:top w:val="none" w:sz="0" w:space="0" w:color="auto"/>
        <w:left w:val="none" w:sz="0" w:space="0" w:color="auto"/>
        <w:bottom w:val="none" w:sz="0" w:space="0" w:color="auto"/>
        <w:right w:val="none" w:sz="0" w:space="0" w:color="auto"/>
      </w:divBdr>
    </w:div>
    <w:div w:id="1908613846">
      <w:bodyDiv w:val="1"/>
      <w:marLeft w:val="0"/>
      <w:marRight w:val="0"/>
      <w:marTop w:val="0"/>
      <w:marBottom w:val="0"/>
      <w:divBdr>
        <w:top w:val="none" w:sz="0" w:space="0" w:color="auto"/>
        <w:left w:val="none" w:sz="0" w:space="0" w:color="auto"/>
        <w:bottom w:val="none" w:sz="0" w:space="0" w:color="auto"/>
        <w:right w:val="none" w:sz="0" w:space="0" w:color="auto"/>
      </w:divBdr>
    </w:div>
    <w:div w:id="1909416593">
      <w:bodyDiv w:val="1"/>
      <w:marLeft w:val="0"/>
      <w:marRight w:val="0"/>
      <w:marTop w:val="0"/>
      <w:marBottom w:val="0"/>
      <w:divBdr>
        <w:top w:val="none" w:sz="0" w:space="0" w:color="auto"/>
        <w:left w:val="none" w:sz="0" w:space="0" w:color="auto"/>
        <w:bottom w:val="none" w:sz="0" w:space="0" w:color="auto"/>
        <w:right w:val="none" w:sz="0" w:space="0" w:color="auto"/>
      </w:divBdr>
    </w:div>
    <w:div w:id="1921714637">
      <w:bodyDiv w:val="1"/>
      <w:marLeft w:val="0"/>
      <w:marRight w:val="0"/>
      <w:marTop w:val="0"/>
      <w:marBottom w:val="0"/>
      <w:divBdr>
        <w:top w:val="none" w:sz="0" w:space="0" w:color="auto"/>
        <w:left w:val="none" w:sz="0" w:space="0" w:color="auto"/>
        <w:bottom w:val="none" w:sz="0" w:space="0" w:color="auto"/>
        <w:right w:val="none" w:sz="0" w:space="0" w:color="auto"/>
      </w:divBdr>
    </w:div>
    <w:div w:id="1923106004">
      <w:bodyDiv w:val="1"/>
      <w:marLeft w:val="0"/>
      <w:marRight w:val="0"/>
      <w:marTop w:val="0"/>
      <w:marBottom w:val="0"/>
      <w:divBdr>
        <w:top w:val="none" w:sz="0" w:space="0" w:color="auto"/>
        <w:left w:val="none" w:sz="0" w:space="0" w:color="auto"/>
        <w:bottom w:val="none" w:sz="0" w:space="0" w:color="auto"/>
        <w:right w:val="none" w:sz="0" w:space="0" w:color="auto"/>
      </w:divBdr>
    </w:div>
    <w:div w:id="1962834502">
      <w:bodyDiv w:val="1"/>
      <w:marLeft w:val="0"/>
      <w:marRight w:val="0"/>
      <w:marTop w:val="0"/>
      <w:marBottom w:val="0"/>
      <w:divBdr>
        <w:top w:val="none" w:sz="0" w:space="0" w:color="auto"/>
        <w:left w:val="none" w:sz="0" w:space="0" w:color="auto"/>
        <w:bottom w:val="none" w:sz="0" w:space="0" w:color="auto"/>
        <w:right w:val="none" w:sz="0" w:space="0" w:color="auto"/>
      </w:divBdr>
    </w:div>
    <w:div w:id="1965116513">
      <w:bodyDiv w:val="1"/>
      <w:marLeft w:val="0"/>
      <w:marRight w:val="0"/>
      <w:marTop w:val="0"/>
      <w:marBottom w:val="0"/>
      <w:divBdr>
        <w:top w:val="none" w:sz="0" w:space="0" w:color="auto"/>
        <w:left w:val="none" w:sz="0" w:space="0" w:color="auto"/>
        <w:bottom w:val="none" w:sz="0" w:space="0" w:color="auto"/>
        <w:right w:val="none" w:sz="0" w:space="0" w:color="auto"/>
      </w:divBdr>
    </w:div>
    <w:div w:id="1974944532">
      <w:bodyDiv w:val="1"/>
      <w:marLeft w:val="0"/>
      <w:marRight w:val="0"/>
      <w:marTop w:val="0"/>
      <w:marBottom w:val="0"/>
      <w:divBdr>
        <w:top w:val="none" w:sz="0" w:space="0" w:color="auto"/>
        <w:left w:val="none" w:sz="0" w:space="0" w:color="auto"/>
        <w:bottom w:val="none" w:sz="0" w:space="0" w:color="auto"/>
        <w:right w:val="none" w:sz="0" w:space="0" w:color="auto"/>
      </w:divBdr>
    </w:div>
    <w:div w:id="1992174247">
      <w:bodyDiv w:val="1"/>
      <w:marLeft w:val="0"/>
      <w:marRight w:val="0"/>
      <w:marTop w:val="0"/>
      <w:marBottom w:val="0"/>
      <w:divBdr>
        <w:top w:val="none" w:sz="0" w:space="0" w:color="auto"/>
        <w:left w:val="none" w:sz="0" w:space="0" w:color="auto"/>
        <w:bottom w:val="none" w:sz="0" w:space="0" w:color="auto"/>
        <w:right w:val="none" w:sz="0" w:space="0" w:color="auto"/>
      </w:divBdr>
    </w:div>
    <w:div w:id="1998072822">
      <w:bodyDiv w:val="1"/>
      <w:marLeft w:val="0"/>
      <w:marRight w:val="0"/>
      <w:marTop w:val="0"/>
      <w:marBottom w:val="0"/>
      <w:divBdr>
        <w:top w:val="none" w:sz="0" w:space="0" w:color="auto"/>
        <w:left w:val="none" w:sz="0" w:space="0" w:color="auto"/>
        <w:bottom w:val="none" w:sz="0" w:space="0" w:color="auto"/>
        <w:right w:val="none" w:sz="0" w:space="0" w:color="auto"/>
      </w:divBdr>
    </w:div>
    <w:div w:id="2021470142">
      <w:bodyDiv w:val="1"/>
      <w:marLeft w:val="0"/>
      <w:marRight w:val="0"/>
      <w:marTop w:val="0"/>
      <w:marBottom w:val="0"/>
      <w:divBdr>
        <w:top w:val="none" w:sz="0" w:space="0" w:color="auto"/>
        <w:left w:val="none" w:sz="0" w:space="0" w:color="auto"/>
        <w:bottom w:val="none" w:sz="0" w:space="0" w:color="auto"/>
        <w:right w:val="none" w:sz="0" w:space="0" w:color="auto"/>
      </w:divBdr>
    </w:div>
    <w:div w:id="2039507785">
      <w:bodyDiv w:val="1"/>
      <w:marLeft w:val="0"/>
      <w:marRight w:val="0"/>
      <w:marTop w:val="0"/>
      <w:marBottom w:val="0"/>
      <w:divBdr>
        <w:top w:val="none" w:sz="0" w:space="0" w:color="auto"/>
        <w:left w:val="none" w:sz="0" w:space="0" w:color="auto"/>
        <w:bottom w:val="none" w:sz="0" w:space="0" w:color="auto"/>
        <w:right w:val="none" w:sz="0" w:space="0" w:color="auto"/>
      </w:divBdr>
    </w:div>
    <w:div w:id="2041321898">
      <w:bodyDiv w:val="1"/>
      <w:marLeft w:val="0"/>
      <w:marRight w:val="0"/>
      <w:marTop w:val="0"/>
      <w:marBottom w:val="0"/>
      <w:divBdr>
        <w:top w:val="none" w:sz="0" w:space="0" w:color="auto"/>
        <w:left w:val="none" w:sz="0" w:space="0" w:color="auto"/>
        <w:bottom w:val="none" w:sz="0" w:space="0" w:color="auto"/>
        <w:right w:val="none" w:sz="0" w:space="0" w:color="auto"/>
      </w:divBdr>
    </w:div>
    <w:div w:id="2048750720">
      <w:bodyDiv w:val="1"/>
      <w:marLeft w:val="0"/>
      <w:marRight w:val="0"/>
      <w:marTop w:val="0"/>
      <w:marBottom w:val="0"/>
      <w:divBdr>
        <w:top w:val="none" w:sz="0" w:space="0" w:color="auto"/>
        <w:left w:val="none" w:sz="0" w:space="0" w:color="auto"/>
        <w:bottom w:val="none" w:sz="0" w:space="0" w:color="auto"/>
        <w:right w:val="none" w:sz="0" w:space="0" w:color="auto"/>
      </w:divBdr>
    </w:div>
    <w:div w:id="2049644383">
      <w:bodyDiv w:val="1"/>
      <w:marLeft w:val="0"/>
      <w:marRight w:val="0"/>
      <w:marTop w:val="0"/>
      <w:marBottom w:val="0"/>
      <w:divBdr>
        <w:top w:val="none" w:sz="0" w:space="0" w:color="auto"/>
        <w:left w:val="none" w:sz="0" w:space="0" w:color="auto"/>
        <w:bottom w:val="none" w:sz="0" w:space="0" w:color="auto"/>
        <w:right w:val="none" w:sz="0" w:space="0" w:color="auto"/>
      </w:divBdr>
    </w:div>
    <w:div w:id="2063140514">
      <w:bodyDiv w:val="1"/>
      <w:marLeft w:val="0"/>
      <w:marRight w:val="0"/>
      <w:marTop w:val="0"/>
      <w:marBottom w:val="0"/>
      <w:divBdr>
        <w:top w:val="none" w:sz="0" w:space="0" w:color="auto"/>
        <w:left w:val="none" w:sz="0" w:space="0" w:color="auto"/>
        <w:bottom w:val="none" w:sz="0" w:space="0" w:color="auto"/>
        <w:right w:val="none" w:sz="0" w:space="0" w:color="auto"/>
      </w:divBdr>
    </w:div>
    <w:div w:id="2064330474">
      <w:bodyDiv w:val="1"/>
      <w:marLeft w:val="0"/>
      <w:marRight w:val="0"/>
      <w:marTop w:val="0"/>
      <w:marBottom w:val="0"/>
      <w:divBdr>
        <w:top w:val="none" w:sz="0" w:space="0" w:color="auto"/>
        <w:left w:val="none" w:sz="0" w:space="0" w:color="auto"/>
        <w:bottom w:val="none" w:sz="0" w:space="0" w:color="auto"/>
        <w:right w:val="none" w:sz="0" w:space="0" w:color="auto"/>
      </w:divBdr>
    </w:div>
    <w:div w:id="2066680853">
      <w:bodyDiv w:val="1"/>
      <w:marLeft w:val="0"/>
      <w:marRight w:val="0"/>
      <w:marTop w:val="0"/>
      <w:marBottom w:val="0"/>
      <w:divBdr>
        <w:top w:val="none" w:sz="0" w:space="0" w:color="auto"/>
        <w:left w:val="none" w:sz="0" w:space="0" w:color="auto"/>
        <w:bottom w:val="none" w:sz="0" w:space="0" w:color="auto"/>
        <w:right w:val="none" w:sz="0" w:space="0" w:color="auto"/>
      </w:divBdr>
    </w:div>
    <w:div w:id="2084791213">
      <w:bodyDiv w:val="1"/>
      <w:marLeft w:val="0"/>
      <w:marRight w:val="0"/>
      <w:marTop w:val="0"/>
      <w:marBottom w:val="0"/>
      <w:divBdr>
        <w:top w:val="none" w:sz="0" w:space="0" w:color="auto"/>
        <w:left w:val="none" w:sz="0" w:space="0" w:color="auto"/>
        <w:bottom w:val="none" w:sz="0" w:space="0" w:color="auto"/>
        <w:right w:val="none" w:sz="0" w:space="0" w:color="auto"/>
      </w:divBdr>
    </w:div>
    <w:div w:id="2108379828">
      <w:bodyDiv w:val="1"/>
      <w:marLeft w:val="0"/>
      <w:marRight w:val="0"/>
      <w:marTop w:val="0"/>
      <w:marBottom w:val="0"/>
      <w:divBdr>
        <w:top w:val="none" w:sz="0" w:space="0" w:color="auto"/>
        <w:left w:val="none" w:sz="0" w:space="0" w:color="auto"/>
        <w:bottom w:val="none" w:sz="0" w:space="0" w:color="auto"/>
        <w:right w:val="none" w:sz="0" w:space="0" w:color="auto"/>
      </w:divBdr>
    </w:div>
    <w:div w:id="2119639818">
      <w:bodyDiv w:val="1"/>
      <w:marLeft w:val="0"/>
      <w:marRight w:val="0"/>
      <w:marTop w:val="0"/>
      <w:marBottom w:val="0"/>
      <w:divBdr>
        <w:top w:val="none" w:sz="0" w:space="0" w:color="auto"/>
        <w:left w:val="none" w:sz="0" w:space="0" w:color="auto"/>
        <w:bottom w:val="none" w:sz="0" w:space="0" w:color="auto"/>
        <w:right w:val="none" w:sz="0" w:space="0" w:color="auto"/>
      </w:divBdr>
    </w:div>
    <w:div w:id="2131122425">
      <w:bodyDiv w:val="1"/>
      <w:marLeft w:val="0"/>
      <w:marRight w:val="0"/>
      <w:marTop w:val="0"/>
      <w:marBottom w:val="0"/>
      <w:divBdr>
        <w:top w:val="none" w:sz="0" w:space="0" w:color="auto"/>
        <w:left w:val="none" w:sz="0" w:space="0" w:color="auto"/>
        <w:bottom w:val="none" w:sz="0" w:space="0" w:color="auto"/>
        <w:right w:val="none" w:sz="0" w:space="0" w:color="auto"/>
      </w:divBdr>
    </w:div>
    <w:div w:id="2133163475">
      <w:bodyDiv w:val="1"/>
      <w:marLeft w:val="0"/>
      <w:marRight w:val="0"/>
      <w:marTop w:val="0"/>
      <w:marBottom w:val="0"/>
      <w:divBdr>
        <w:top w:val="none" w:sz="0" w:space="0" w:color="auto"/>
        <w:left w:val="none" w:sz="0" w:space="0" w:color="auto"/>
        <w:bottom w:val="none" w:sz="0" w:space="0" w:color="auto"/>
        <w:right w:val="none" w:sz="0" w:space="0" w:color="auto"/>
      </w:divBdr>
    </w:div>
    <w:div w:id="2134127091">
      <w:bodyDiv w:val="1"/>
      <w:marLeft w:val="0"/>
      <w:marRight w:val="0"/>
      <w:marTop w:val="0"/>
      <w:marBottom w:val="0"/>
      <w:divBdr>
        <w:top w:val="none" w:sz="0" w:space="0" w:color="auto"/>
        <w:left w:val="none" w:sz="0" w:space="0" w:color="auto"/>
        <w:bottom w:val="none" w:sz="0" w:space="0" w:color="auto"/>
        <w:right w:val="none" w:sz="0" w:space="0" w:color="auto"/>
      </w:divBdr>
    </w:div>
    <w:div w:id="213741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Fon14</b:Tag>
    <b:SourceType>Report</b:SourceType>
    <b:Guid>{9FDC3900-7B98-48BD-BBAB-A3B1C9BDECDF}</b:Guid>
    <b:Author>
      <b:Author>
        <b:Corporate>Fondo Mundial de Lucha contra el Sida, la Tuberculosis y la Malaria</b:Corporate>
      </b:Author>
    </b:Author>
    <b:Title>Enfoque conjunto para aplicaciones de VIH/SIDA en la región de Centroamérica y la República Dominicana</b:Title>
    <b:Year>2014</b:Year>
    <b:RefOrder>1</b:RefOrder>
  </b:Source>
  <b:Source>
    <b:Tag>OMS16</b:Tag>
    <b:SourceType>Report</b:SourceType>
    <b:Guid>{968CF9D5-8CCB-47B8-8D32-771D3B4C75D2}</b:Guid>
    <b:Author>
      <b:Author>
        <b:Corporate>OMS</b:Corporate>
      </b:Author>
    </b:Author>
    <b:Title>Directrices unificadas sobre el uso de los antirretrovirales en el tratamiento y la prevención de la infección por VIH</b:Title>
    <b:Year>2016</b:Year>
    <b:RefOrder>2</b:RefOrder>
  </b:Source>
  <b:Source>
    <b:Tag>ONU14</b:Tag>
    <b:SourceType>Report</b:SourceType>
    <b:Guid>{D89DEF99-3D6F-4954-B4F5-C54EE3B5E58B}</b:Guid>
    <b:Author>
      <b:Author>
        <b:Corporate>ONUSIDA</b:Corporate>
      </b:Author>
    </b:Author>
    <b:Title>Fast Track: Ending the AIDS by 2030</b:Title>
    <b:Year>2014</b:Year>
    <b:RefOrder>3</b:RefOrder>
  </b:Source>
  <b:Source>
    <b:Tag>MIN16</b:Tag>
    <b:SourceType>Report</b:SourceType>
    <b:Guid>{3EC52435-6881-4F64-964D-B7BA7DB60385}</b:Guid>
    <b:Author>
      <b:Author>
        <b:Corporate>MINSAL &amp; USAID</b:Corporate>
      </b:Author>
    </b:Author>
    <b:Title>Informe nacional de cascada del continuo de la atención en VIH y medición del indicador de sobrevida</b:Title>
    <b:Year>2016</b:Year>
    <b:City>San Salvador</b:City>
    <b:RefOrder>4</b:RefOrder>
  </b:Source>
  <b:Source>
    <b:Tag>ONU11</b:Tag>
    <b:SourceType>Report</b:SourceType>
    <b:Guid>{D9F454DC-755D-4BA1-AF45-FAA8DD65CB7E}</b:Guid>
    <b:Author>
      <b:Author>
        <b:Corporate>ONUSIDA</b:Corporate>
      </b:Author>
    </b:Author>
    <b:Title>Acceso universal a la prevención, tratamiento, atención y apoyo relacionados con el VIH</b:Title>
    <b:Year>2011</b:Year>
    <b:City>Ginebra</b:City>
    <b:RefOrder>5</b:RefOrder>
  </b:Source>
  <b:Source>
    <b:Tag>COM17</b:Tag>
    <b:SourceType>Report</b:SourceType>
    <b:Guid>{88A56F91-316E-4D14-B03C-A7C61120FCD2}</b:Guid>
    <b:Author>
      <b:Author>
        <b:Corporate>COMISCA</b:Corporate>
      </b:Author>
    </b:Author>
    <b:Title>Estrategia de Sostenibilidad de los avances de Centroamérica y República Dominicana hacia el Acceso Universal a la Prevención, la Atención, el Tratamiento y el Apoyo relacionados con el VIH</b:Title>
    <b:Year>2017</b:Year>
    <b:RefOrder>6</b:RefOrder>
  </b:Source>
  <b:Source>
    <b:Tag>CON16</b:Tag>
    <b:SourceType>Report</b:SourceType>
    <b:Guid>{0781D943-07A1-4588-9770-D8F5EDF28CED}</b:Guid>
    <b:Author>
      <b:Author>
        <b:Corporate>CONASIDA &amp; MINSAL</b:Corporate>
      </b:Author>
    </b:Author>
    <b:Title>Plan Estratégico Nacional Multisectorial de VIH e ITS 2016-2020</b:Title>
    <b:Year>2016</b:Year>
    <b:City>San Salvador</b:City>
    <b:RefOrder>7</b:RefOrder>
  </b:Source>
</b:Sources>
</file>

<file path=customXml/itemProps1.xml><?xml version="1.0" encoding="utf-8"?>
<ds:datastoreItem xmlns:ds="http://schemas.openxmlformats.org/officeDocument/2006/customXml" ds:itemID="{CDAB4207-7658-41AC-9815-1DA6C7B7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53</Pages>
  <Words>17488</Words>
  <Characters>96187</Characters>
  <Application>Microsoft Office Word</Application>
  <DocSecurity>0</DocSecurity>
  <Lines>801</Lines>
  <Paragraphs>226</Paragraphs>
  <ScaleCrop>false</ScaleCrop>
  <HeadingPairs>
    <vt:vector size="2" baseType="variant">
      <vt:variant>
        <vt:lpstr>Título</vt:lpstr>
      </vt:variant>
      <vt:variant>
        <vt:i4>1</vt:i4>
      </vt:variant>
    </vt:vector>
  </HeadingPairs>
  <TitlesOfParts>
    <vt:vector size="1" baseType="lpstr">
      <vt:lpstr>el salvador
Estrategia nacional de sostenibilidad y plan de acción para la sostenibilidad de la respuesta al vih               
2019-2023
2019-2023
2019-2023</vt:lpstr>
    </vt:vector>
  </TitlesOfParts>
  <Company/>
  <LinksUpToDate>false</LinksUpToDate>
  <CharactersWithSpaces>113449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salvador
Estrategia nacional de sostenibilidad y plan de acción para la sostenibilidad de la respuesta al vih               
2019-2023
2019-2023
2019-2023</dc:title>
  <dc:creator>Julio, 2019</dc:creator>
  <cp:lastModifiedBy>Mirna Garcia</cp:lastModifiedBy>
  <cp:revision>8</cp:revision>
  <cp:lastPrinted>2019-08-30T15:17:00Z</cp:lastPrinted>
  <dcterms:created xsi:type="dcterms:W3CDTF">2019-08-29T22:07:00Z</dcterms:created>
  <dcterms:modified xsi:type="dcterms:W3CDTF">2019-08-30T15:18:00Z</dcterms:modified>
</cp:coreProperties>
</file>