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DFF" w:rsidRPr="00A30DFF" w:rsidRDefault="00A30DFF" w:rsidP="00A30DFF">
      <w:pPr>
        <w:ind w:left="360"/>
        <w:jc w:val="center"/>
        <w:rPr>
          <w:b/>
          <w:sz w:val="32"/>
          <w:szCs w:val="28"/>
        </w:rPr>
      </w:pPr>
      <w:r w:rsidRPr="00A30DFF">
        <w:rPr>
          <w:b/>
          <w:sz w:val="32"/>
          <w:szCs w:val="28"/>
        </w:rPr>
        <w:t>Financiamiento Basado en Resultados (RBF) en El Salvador.</w:t>
      </w:r>
    </w:p>
    <w:p w:rsidR="00A32267" w:rsidRPr="005B60D8" w:rsidRDefault="00A32267" w:rsidP="00A30DFF">
      <w:pPr>
        <w:spacing w:line="240" w:lineRule="auto"/>
        <w:jc w:val="center"/>
        <w:rPr>
          <w:b/>
          <w:sz w:val="32"/>
          <w:szCs w:val="36"/>
          <w:u w:val="single"/>
        </w:rPr>
      </w:pPr>
      <w:r w:rsidRPr="005B60D8">
        <w:rPr>
          <w:b/>
          <w:sz w:val="32"/>
          <w:szCs w:val="36"/>
          <w:u w:val="single"/>
        </w:rPr>
        <w:t>EXPERIENCIA DE EL SALVADOR 2016-2018</w:t>
      </w:r>
    </w:p>
    <w:p w:rsidR="00A32267" w:rsidRPr="005B60D8" w:rsidRDefault="00A32267">
      <w:pPr>
        <w:rPr>
          <w:szCs w:val="36"/>
        </w:rPr>
      </w:pPr>
    </w:p>
    <w:p w:rsidR="00A32267" w:rsidRPr="007E2BE6" w:rsidRDefault="009F2CA9">
      <w:pPr>
        <w:rPr>
          <w:rFonts w:ascii="Tahoma" w:hAnsi="Tahoma" w:cs="Tahoma"/>
          <w:color w:val="002060"/>
          <w:sz w:val="32"/>
          <w:szCs w:val="36"/>
        </w:rPr>
      </w:pPr>
      <w:r>
        <w:rPr>
          <w:rFonts w:ascii="Tahoma" w:hAnsi="Tahoma" w:cs="Tahoma"/>
          <w:color w:val="002060"/>
          <w:sz w:val="32"/>
          <w:szCs w:val="36"/>
        </w:rPr>
        <w:t>San Salvador, El Salvador, E</w:t>
      </w:r>
      <w:r w:rsidR="00A32267" w:rsidRPr="007E2BE6">
        <w:rPr>
          <w:rFonts w:ascii="Tahoma" w:hAnsi="Tahoma" w:cs="Tahoma"/>
          <w:color w:val="002060"/>
          <w:sz w:val="32"/>
          <w:szCs w:val="36"/>
        </w:rPr>
        <w:t>nero 2018</w:t>
      </w:r>
    </w:p>
    <w:p w:rsidR="00A32267" w:rsidRPr="005B60D8" w:rsidRDefault="00A32267" w:rsidP="00A32267">
      <w:pPr>
        <w:pStyle w:val="Prrafodelista"/>
        <w:numPr>
          <w:ilvl w:val="0"/>
          <w:numId w:val="1"/>
        </w:numPr>
        <w:rPr>
          <w:b/>
          <w:sz w:val="28"/>
          <w:szCs w:val="28"/>
        </w:rPr>
      </w:pPr>
      <w:r w:rsidRPr="005B60D8">
        <w:rPr>
          <w:b/>
          <w:sz w:val="28"/>
          <w:szCs w:val="28"/>
        </w:rPr>
        <w:t>Antecedentes</w:t>
      </w:r>
    </w:p>
    <w:p w:rsidR="00BF5C23" w:rsidRPr="00132C00" w:rsidRDefault="00A32267" w:rsidP="00BF5C23">
      <w:pPr>
        <w:pStyle w:val="NormalWeb"/>
        <w:ind w:left="708"/>
        <w:jc w:val="both"/>
        <w:rPr>
          <w:rFonts w:asciiTheme="minorHAnsi" w:hAnsiTheme="minorHAnsi" w:cstheme="minorBidi"/>
        </w:rPr>
      </w:pPr>
      <w:r w:rsidRPr="00132C00">
        <w:rPr>
          <w:rFonts w:asciiTheme="minorHAnsi" w:hAnsiTheme="minorHAnsi" w:cstheme="minorBidi"/>
        </w:rPr>
        <w:t xml:space="preserve">El Salvador </w:t>
      </w:r>
      <w:r w:rsidR="009F2CA9" w:rsidRPr="00132C00">
        <w:rPr>
          <w:rFonts w:asciiTheme="minorHAnsi" w:hAnsiTheme="minorHAnsi" w:cstheme="minorBidi"/>
        </w:rPr>
        <w:t xml:space="preserve">a través de convocatoria realizada por el Fondo Mundial fue </w:t>
      </w:r>
      <w:r w:rsidRPr="00132C00">
        <w:rPr>
          <w:rFonts w:asciiTheme="minorHAnsi" w:hAnsiTheme="minorHAnsi" w:cstheme="minorBidi"/>
        </w:rPr>
        <w:t xml:space="preserve">llamado a participar en el nuevo modelo de financiamiento </w:t>
      </w:r>
      <w:r w:rsidR="00114B74" w:rsidRPr="00132C00">
        <w:rPr>
          <w:rFonts w:asciiTheme="minorHAnsi" w:hAnsiTheme="minorHAnsi" w:cstheme="minorBidi"/>
        </w:rPr>
        <w:t xml:space="preserve">basado </w:t>
      </w:r>
      <w:r w:rsidR="009F2CA9" w:rsidRPr="00132C00">
        <w:rPr>
          <w:rFonts w:asciiTheme="minorHAnsi" w:hAnsiTheme="minorHAnsi" w:cstheme="minorBidi"/>
        </w:rPr>
        <w:t>en resultados</w:t>
      </w:r>
      <w:r w:rsidR="00114B74" w:rsidRPr="00132C00">
        <w:rPr>
          <w:rFonts w:asciiTheme="minorHAnsi" w:hAnsiTheme="minorHAnsi" w:cstheme="minorBidi"/>
        </w:rPr>
        <w:t xml:space="preserve"> para la subvención de Tuberculosis</w:t>
      </w:r>
      <w:r w:rsidR="00D65D9D">
        <w:rPr>
          <w:rFonts w:asciiTheme="minorHAnsi" w:hAnsiTheme="minorHAnsi" w:cstheme="minorBidi"/>
        </w:rPr>
        <w:t xml:space="preserve"> (periodo 2016-2018)</w:t>
      </w:r>
      <w:r w:rsidR="009F2CA9" w:rsidRPr="00132C00">
        <w:rPr>
          <w:rFonts w:asciiTheme="minorHAnsi" w:hAnsiTheme="minorHAnsi" w:cstheme="minorBidi"/>
        </w:rPr>
        <w:t>; por</w:t>
      </w:r>
      <w:r w:rsidRPr="00132C00">
        <w:rPr>
          <w:rFonts w:asciiTheme="minorHAnsi" w:hAnsiTheme="minorHAnsi" w:cstheme="minorBidi"/>
        </w:rPr>
        <w:t xml:space="preserve"> lo cual se conformó </w:t>
      </w:r>
      <w:r w:rsidR="00C61DC3">
        <w:rPr>
          <w:rFonts w:asciiTheme="minorHAnsi" w:hAnsiTheme="minorHAnsi" w:cstheme="minorBidi"/>
        </w:rPr>
        <w:t xml:space="preserve">un </w:t>
      </w:r>
      <w:r w:rsidRPr="00132C00">
        <w:rPr>
          <w:rFonts w:asciiTheme="minorHAnsi" w:hAnsiTheme="minorHAnsi" w:cstheme="minorBidi"/>
        </w:rPr>
        <w:t>equipo de elaboración de la propuesta</w:t>
      </w:r>
      <w:r w:rsidR="00BF5352" w:rsidRPr="00132C00">
        <w:rPr>
          <w:rFonts w:asciiTheme="minorHAnsi" w:hAnsiTheme="minorHAnsi" w:cstheme="minorBidi"/>
        </w:rPr>
        <w:t xml:space="preserve"> en conjunto con la sociedad civil</w:t>
      </w:r>
      <w:r w:rsidR="00C61DC3">
        <w:rPr>
          <w:rFonts w:asciiTheme="minorHAnsi" w:hAnsiTheme="minorHAnsi" w:cstheme="minorBidi"/>
        </w:rPr>
        <w:t>,</w:t>
      </w:r>
      <w:r w:rsidR="00BF5352" w:rsidRPr="00132C00">
        <w:rPr>
          <w:rFonts w:asciiTheme="minorHAnsi" w:hAnsiTheme="minorHAnsi" w:cstheme="minorBidi"/>
        </w:rPr>
        <w:t xml:space="preserve"> se </w:t>
      </w:r>
      <w:r w:rsidR="00D65D9D" w:rsidRPr="00132C00">
        <w:rPr>
          <w:rFonts w:asciiTheme="minorHAnsi" w:hAnsiTheme="minorHAnsi" w:cstheme="minorBidi"/>
        </w:rPr>
        <w:t>realizó</w:t>
      </w:r>
      <w:r w:rsidR="00BF5352" w:rsidRPr="00132C00">
        <w:rPr>
          <w:rFonts w:asciiTheme="minorHAnsi" w:hAnsiTheme="minorHAnsi" w:cstheme="minorBidi"/>
        </w:rPr>
        <w:t xml:space="preserve"> diálogo de país el cual sirvió de base para elaborar la solicitud</w:t>
      </w:r>
      <w:r w:rsidRPr="00132C00">
        <w:rPr>
          <w:rFonts w:asciiTheme="minorHAnsi" w:hAnsiTheme="minorHAnsi" w:cstheme="minorBidi"/>
        </w:rPr>
        <w:t xml:space="preserve">, que </w:t>
      </w:r>
      <w:r w:rsidR="00C61DC3">
        <w:rPr>
          <w:rFonts w:asciiTheme="minorHAnsi" w:hAnsiTheme="minorHAnsi" w:cstheme="minorBidi"/>
        </w:rPr>
        <w:t xml:space="preserve">fue presentada al </w:t>
      </w:r>
      <w:r w:rsidRPr="00132C00">
        <w:rPr>
          <w:rFonts w:asciiTheme="minorHAnsi" w:hAnsiTheme="minorHAnsi" w:cstheme="minorBidi"/>
        </w:rPr>
        <w:t xml:space="preserve">Fondo Mundial </w:t>
      </w:r>
      <w:r w:rsidR="00D85163" w:rsidRPr="00132C00">
        <w:rPr>
          <w:rFonts w:asciiTheme="minorHAnsi" w:hAnsiTheme="minorHAnsi" w:cstheme="minorBidi"/>
        </w:rPr>
        <w:t>para su revisión y aprobación</w:t>
      </w:r>
      <w:r w:rsidR="00BF5C23" w:rsidRPr="00132C00">
        <w:rPr>
          <w:rFonts w:asciiTheme="minorHAnsi" w:hAnsiTheme="minorHAnsi" w:cstheme="minorBidi"/>
        </w:rPr>
        <w:t>.</w:t>
      </w:r>
    </w:p>
    <w:p w:rsidR="009F2CA9" w:rsidRPr="00132C00" w:rsidRDefault="00C61DC3" w:rsidP="009F2CA9">
      <w:pPr>
        <w:pStyle w:val="Default"/>
        <w:ind w:left="708"/>
        <w:jc w:val="both"/>
        <w:rPr>
          <w:rFonts w:asciiTheme="minorHAnsi" w:hAnsiTheme="minorHAnsi" w:cstheme="minorBidi"/>
          <w:color w:val="auto"/>
          <w:szCs w:val="28"/>
        </w:rPr>
      </w:pPr>
      <w:r>
        <w:rPr>
          <w:rFonts w:asciiTheme="minorHAnsi" w:hAnsiTheme="minorHAnsi" w:cstheme="minorBidi"/>
          <w:color w:val="auto"/>
        </w:rPr>
        <w:t xml:space="preserve">Posteriormente </w:t>
      </w:r>
      <w:r w:rsidR="00D85163" w:rsidRPr="00132C00">
        <w:rPr>
          <w:rFonts w:asciiTheme="minorHAnsi" w:hAnsiTheme="minorHAnsi" w:cstheme="minorBidi"/>
          <w:color w:val="auto"/>
        </w:rPr>
        <w:t>fue</w:t>
      </w:r>
      <w:r w:rsidR="009F2CA9" w:rsidRPr="00132C00">
        <w:rPr>
          <w:rFonts w:asciiTheme="minorHAnsi" w:hAnsiTheme="minorHAnsi" w:cstheme="minorBidi"/>
          <w:color w:val="auto"/>
        </w:rPr>
        <w:t xml:space="preserve"> </w:t>
      </w:r>
      <w:r w:rsidR="00BF5352" w:rsidRPr="00132C00">
        <w:rPr>
          <w:rFonts w:asciiTheme="minorHAnsi" w:hAnsiTheme="minorHAnsi" w:cstheme="minorBidi"/>
          <w:color w:val="auto"/>
        </w:rPr>
        <w:t>notificado</w:t>
      </w:r>
      <w:r w:rsidR="001C734B" w:rsidRPr="00132C00">
        <w:rPr>
          <w:rFonts w:asciiTheme="minorHAnsi" w:hAnsiTheme="minorHAnsi" w:cstheme="minorBidi"/>
          <w:color w:val="auto"/>
        </w:rPr>
        <w:t xml:space="preserve"> al presidente del MCP – ES </w:t>
      </w:r>
      <w:r w:rsidR="00D85163" w:rsidRPr="00132C00">
        <w:rPr>
          <w:rFonts w:asciiTheme="minorHAnsi" w:hAnsiTheme="minorHAnsi" w:cstheme="minorBidi"/>
          <w:color w:val="auto"/>
        </w:rPr>
        <w:t>su</w:t>
      </w:r>
      <w:r w:rsidR="001C734B" w:rsidRPr="00132C00">
        <w:rPr>
          <w:rFonts w:asciiTheme="minorHAnsi" w:hAnsiTheme="minorHAnsi" w:cstheme="minorBidi"/>
          <w:color w:val="auto"/>
        </w:rPr>
        <w:t xml:space="preserve"> aprobación en fecha 16 </w:t>
      </w:r>
      <w:r w:rsidR="009F2CA9" w:rsidRPr="00132C00">
        <w:rPr>
          <w:rFonts w:asciiTheme="minorHAnsi" w:hAnsiTheme="minorHAnsi" w:cstheme="minorBidi"/>
          <w:color w:val="auto"/>
        </w:rPr>
        <w:t>de Julio 2015</w:t>
      </w:r>
      <w:r w:rsidR="001C734B" w:rsidRPr="00132C00">
        <w:rPr>
          <w:rStyle w:val="Refdenotaalpie"/>
          <w:rFonts w:asciiTheme="minorHAnsi" w:hAnsiTheme="minorHAnsi" w:cstheme="minorBidi"/>
          <w:color w:val="auto"/>
        </w:rPr>
        <w:footnoteReference w:id="1"/>
      </w:r>
      <w:r w:rsidR="009F2CA9" w:rsidRPr="00132C00">
        <w:rPr>
          <w:rFonts w:asciiTheme="minorHAnsi" w:hAnsiTheme="minorHAnsi" w:cstheme="minorBidi"/>
          <w:color w:val="auto"/>
        </w:rPr>
        <w:t xml:space="preserve"> con un monto total de $9.905.924</w:t>
      </w:r>
      <w:r w:rsidR="00315C56" w:rsidRPr="00132C00">
        <w:rPr>
          <w:rFonts w:asciiTheme="minorHAnsi" w:hAnsiTheme="minorHAnsi" w:cstheme="minorBidi"/>
          <w:color w:val="auto"/>
        </w:rPr>
        <w:t xml:space="preserve"> para tres años (01 de </w:t>
      </w:r>
      <w:r w:rsidR="00D65D9D" w:rsidRPr="00132C00">
        <w:rPr>
          <w:rFonts w:asciiTheme="minorHAnsi" w:hAnsiTheme="minorHAnsi" w:cstheme="minorBidi"/>
          <w:color w:val="auto"/>
        </w:rPr>
        <w:t>enero</w:t>
      </w:r>
      <w:r w:rsidR="00315C56" w:rsidRPr="00132C00">
        <w:rPr>
          <w:rFonts w:asciiTheme="minorHAnsi" w:hAnsiTheme="minorHAnsi" w:cstheme="minorBidi"/>
          <w:color w:val="auto"/>
        </w:rPr>
        <w:t xml:space="preserve"> 2016 – 31 de </w:t>
      </w:r>
      <w:r w:rsidR="00023DC3" w:rsidRPr="00132C00">
        <w:rPr>
          <w:rFonts w:asciiTheme="minorHAnsi" w:hAnsiTheme="minorHAnsi" w:cstheme="minorBidi"/>
          <w:color w:val="auto"/>
        </w:rPr>
        <w:t>diciembre</w:t>
      </w:r>
      <w:r w:rsidR="00315C56" w:rsidRPr="00132C00">
        <w:rPr>
          <w:rFonts w:asciiTheme="minorHAnsi" w:hAnsiTheme="minorHAnsi" w:cstheme="minorBidi"/>
          <w:color w:val="auto"/>
        </w:rPr>
        <w:t xml:space="preserve"> 2018)</w:t>
      </w:r>
      <w:r>
        <w:rPr>
          <w:rFonts w:asciiTheme="minorHAnsi" w:hAnsiTheme="minorHAnsi" w:cstheme="minorBidi"/>
          <w:color w:val="auto"/>
        </w:rPr>
        <w:t>,</w:t>
      </w:r>
      <w:r w:rsidR="009F2CA9" w:rsidRPr="00132C00">
        <w:rPr>
          <w:rFonts w:asciiTheme="minorHAnsi" w:hAnsiTheme="minorHAnsi" w:cstheme="minorBidi"/>
          <w:color w:val="auto"/>
        </w:rPr>
        <w:t xml:space="preserve"> </w:t>
      </w:r>
      <w:r>
        <w:rPr>
          <w:rFonts w:asciiTheme="minorHAnsi" w:hAnsiTheme="minorHAnsi" w:cstheme="minorBidi"/>
          <w:color w:val="auto"/>
        </w:rPr>
        <w:t>el</w:t>
      </w:r>
      <w:r w:rsidR="001C734B" w:rsidRPr="00132C00">
        <w:rPr>
          <w:rFonts w:asciiTheme="minorHAnsi" w:hAnsiTheme="minorHAnsi" w:cstheme="minorBidi"/>
          <w:color w:val="auto"/>
        </w:rPr>
        <w:t xml:space="preserve"> </w:t>
      </w:r>
      <w:r w:rsidR="00A32267" w:rsidRPr="00132C00">
        <w:rPr>
          <w:rFonts w:asciiTheme="minorHAnsi" w:hAnsiTheme="minorHAnsi" w:cstheme="minorBidi"/>
          <w:color w:val="auto"/>
        </w:rPr>
        <w:t xml:space="preserve">primer desembolso fue </w:t>
      </w:r>
      <w:r w:rsidR="001C734B" w:rsidRPr="00132C00">
        <w:rPr>
          <w:rFonts w:asciiTheme="minorHAnsi" w:hAnsiTheme="minorHAnsi" w:cstheme="minorBidi"/>
          <w:color w:val="auto"/>
        </w:rPr>
        <w:t xml:space="preserve">realizado </w:t>
      </w:r>
      <w:r w:rsidR="00A32267" w:rsidRPr="00132C00">
        <w:rPr>
          <w:rFonts w:asciiTheme="minorHAnsi" w:hAnsiTheme="minorHAnsi" w:cstheme="minorBidi"/>
          <w:color w:val="auto"/>
        </w:rPr>
        <w:t xml:space="preserve">en diciembre 2015, </w:t>
      </w:r>
      <w:r w:rsidR="001C734B" w:rsidRPr="00132C00">
        <w:rPr>
          <w:rFonts w:asciiTheme="minorHAnsi" w:hAnsiTheme="minorHAnsi" w:cstheme="minorBidi"/>
          <w:color w:val="auto"/>
        </w:rPr>
        <w:t xml:space="preserve">dando </w:t>
      </w:r>
      <w:r w:rsidR="00A32267" w:rsidRPr="00132C00">
        <w:rPr>
          <w:rFonts w:asciiTheme="minorHAnsi" w:hAnsiTheme="minorHAnsi" w:cstheme="minorBidi"/>
          <w:color w:val="auto"/>
        </w:rPr>
        <w:t xml:space="preserve">inicio </w:t>
      </w:r>
      <w:r>
        <w:rPr>
          <w:rFonts w:asciiTheme="minorHAnsi" w:hAnsiTheme="minorHAnsi" w:cstheme="minorBidi"/>
          <w:color w:val="auto"/>
        </w:rPr>
        <w:t xml:space="preserve">a </w:t>
      </w:r>
      <w:r w:rsidR="00A32267" w:rsidRPr="00132C00">
        <w:rPr>
          <w:rFonts w:asciiTheme="minorHAnsi" w:hAnsiTheme="minorHAnsi" w:cstheme="minorBidi"/>
          <w:color w:val="auto"/>
        </w:rPr>
        <w:t xml:space="preserve">la ejecución </w:t>
      </w:r>
      <w:r w:rsidR="001C734B" w:rsidRPr="00132C00">
        <w:rPr>
          <w:rFonts w:asciiTheme="minorHAnsi" w:hAnsiTheme="minorHAnsi" w:cstheme="minorBidi"/>
          <w:color w:val="auto"/>
        </w:rPr>
        <w:t xml:space="preserve">a partir del </w:t>
      </w:r>
      <w:r w:rsidR="00A32267" w:rsidRPr="00132C00">
        <w:rPr>
          <w:rFonts w:asciiTheme="minorHAnsi" w:hAnsiTheme="minorHAnsi" w:cstheme="minorBidi"/>
          <w:color w:val="auto"/>
        </w:rPr>
        <w:t>mes de enero 2016</w:t>
      </w:r>
      <w:r>
        <w:rPr>
          <w:rFonts w:asciiTheme="minorHAnsi" w:hAnsiTheme="minorHAnsi" w:cstheme="minorBidi"/>
          <w:color w:val="auto"/>
        </w:rPr>
        <w:t>.</w:t>
      </w:r>
    </w:p>
    <w:p w:rsidR="00D85163" w:rsidRPr="00D85163" w:rsidRDefault="00D85163" w:rsidP="00D85163">
      <w:pPr>
        <w:pStyle w:val="Default"/>
        <w:ind w:left="708"/>
        <w:jc w:val="both"/>
        <w:rPr>
          <w:rFonts w:asciiTheme="minorHAnsi" w:hAnsiTheme="minorHAnsi" w:cstheme="minorBidi"/>
          <w:color w:val="002060"/>
        </w:rPr>
      </w:pPr>
    </w:p>
    <w:p w:rsidR="009F2CA9" w:rsidRPr="001C734B" w:rsidRDefault="009F2CA9" w:rsidP="00D65D9D">
      <w:pPr>
        <w:pStyle w:val="Default"/>
        <w:jc w:val="both"/>
        <w:rPr>
          <w:rFonts w:asciiTheme="minorHAnsi" w:hAnsiTheme="minorHAnsi" w:cstheme="minorBidi"/>
          <w:color w:val="auto"/>
          <w:szCs w:val="28"/>
        </w:rPr>
      </w:pPr>
    </w:p>
    <w:p w:rsidR="00A32267" w:rsidRPr="005B60D8" w:rsidRDefault="00D65D9D" w:rsidP="00C61DC3">
      <w:pPr>
        <w:pStyle w:val="Prrafodelista"/>
        <w:numPr>
          <w:ilvl w:val="0"/>
          <w:numId w:val="1"/>
        </w:numPr>
        <w:jc w:val="both"/>
        <w:rPr>
          <w:b/>
          <w:sz w:val="28"/>
          <w:szCs w:val="28"/>
        </w:rPr>
      </w:pPr>
      <w:r>
        <w:rPr>
          <w:b/>
          <w:sz w:val="28"/>
          <w:szCs w:val="28"/>
        </w:rPr>
        <w:t>C</w:t>
      </w:r>
      <w:r w:rsidR="0036056E">
        <w:rPr>
          <w:b/>
          <w:sz w:val="28"/>
          <w:szCs w:val="28"/>
        </w:rPr>
        <w:t>ómo funciona el Financiamiento Basado en Resultados (RBF) en El Salvador.</w:t>
      </w:r>
    </w:p>
    <w:p w:rsidR="00520B70" w:rsidRDefault="003D3D50" w:rsidP="00005AAD">
      <w:pPr>
        <w:pStyle w:val="NormalWeb"/>
        <w:ind w:left="708"/>
        <w:jc w:val="both"/>
        <w:rPr>
          <w:rFonts w:asciiTheme="minorHAnsi" w:hAnsiTheme="minorHAnsi" w:cstheme="minorBidi"/>
        </w:rPr>
      </w:pPr>
      <w:r w:rsidRPr="00132C00">
        <w:rPr>
          <w:rFonts w:asciiTheme="minorHAnsi" w:hAnsiTheme="minorHAnsi" w:cstheme="minorBidi"/>
        </w:rPr>
        <w:t xml:space="preserve">El Fondo Mundial </w:t>
      </w:r>
      <w:r w:rsidR="00005AAD" w:rsidRPr="00132C00">
        <w:rPr>
          <w:rFonts w:asciiTheme="minorHAnsi" w:hAnsiTheme="minorHAnsi" w:cstheme="minorBidi"/>
        </w:rPr>
        <w:t xml:space="preserve">aporta al país recursos financieros para que este los administre y utilice según lo establece la subvención </w:t>
      </w:r>
      <w:r w:rsidR="002551E2">
        <w:rPr>
          <w:rFonts w:asciiTheme="minorHAnsi" w:hAnsiTheme="minorHAnsi" w:cstheme="minorBidi"/>
        </w:rPr>
        <w:t>(desembolsa automáticamente de forma trimestral para el primer año, una vez firmada la subvención)</w:t>
      </w:r>
      <w:r w:rsidR="00023DC3">
        <w:rPr>
          <w:rFonts w:asciiTheme="minorHAnsi" w:hAnsiTheme="minorHAnsi" w:cstheme="minorBidi"/>
        </w:rPr>
        <w:t xml:space="preserve"> </w:t>
      </w:r>
      <w:r w:rsidR="00005AAD" w:rsidRPr="00132C00">
        <w:rPr>
          <w:rFonts w:asciiTheme="minorHAnsi" w:hAnsiTheme="minorHAnsi" w:cstheme="minorBidi"/>
        </w:rPr>
        <w:t>y a cambio de ello el país le entreg</w:t>
      </w:r>
      <w:r w:rsidR="00023DC3">
        <w:rPr>
          <w:rFonts w:asciiTheme="minorHAnsi" w:hAnsiTheme="minorHAnsi" w:cstheme="minorBidi"/>
        </w:rPr>
        <w:t>a</w:t>
      </w:r>
      <w:r w:rsidR="00005AAD" w:rsidRPr="00132C00">
        <w:rPr>
          <w:rFonts w:asciiTheme="minorHAnsi" w:hAnsiTheme="minorHAnsi" w:cstheme="minorBidi"/>
        </w:rPr>
        <w:t xml:space="preserve"> resultados </w:t>
      </w:r>
      <w:r w:rsidR="00BF5C23" w:rsidRPr="00132C00">
        <w:rPr>
          <w:rFonts w:asciiTheme="minorHAnsi" w:hAnsiTheme="minorHAnsi" w:cstheme="minorBidi"/>
        </w:rPr>
        <w:t>basado</w:t>
      </w:r>
      <w:r w:rsidR="00005AAD" w:rsidRPr="00132C00">
        <w:rPr>
          <w:rFonts w:asciiTheme="minorHAnsi" w:hAnsiTheme="minorHAnsi" w:cstheme="minorBidi"/>
        </w:rPr>
        <w:t>s</w:t>
      </w:r>
      <w:r w:rsidR="00BF5C23" w:rsidRPr="00132C00">
        <w:rPr>
          <w:rFonts w:asciiTheme="minorHAnsi" w:hAnsiTheme="minorHAnsi" w:cstheme="minorBidi"/>
        </w:rPr>
        <w:t xml:space="preserve"> en </w:t>
      </w:r>
      <w:r w:rsidR="00005AAD" w:rsidRPr="00132C00">
        <w:rPr>
          <w:rFonts w:asciiTheme="minorHAnsi" w:hAnsiTheme="minorHAnsi" w:cstheme="minorBidi"/>
        </w:rPr>
        <w:t>metas cuantificables</w:t>
      </w:r>
      <w:r w:rsidR="00D65D9D">
        <w:rPr>
          <w:rFonts w:asciiTheme="minorHAnsi" w:hAnsiTheme="minorHAnsi" w:cstheme="minorBidi"/>
        </w:rPr>
        <w:t xml:space="preserve">, por cada indicador reportado cada año, </w:t>
      </w:r>
      <w:r w:rsidR="00C61DC3">
        <w:rPr>
          <w:rFonts w:asciiTheme="minorHAnsi" w:hAnsiTheme="minorHAnsi" w:cstheme="minorBidi"/>
        </w:rPr>
        <w:t xml:space="preserve">por </w:t>
      </w:r>
      <w:r w:rsidR="00D65D9D">
        <w:rPr>
          <w:rFonts w:asciiTheme="minorHAnsi" w:hAnsiTheme="minorHAnsi" w:cstheme="minorBidi"/>
        </w:rPr>
        <w:t xml:space="preserve">lo que el promedio de la sumatoria de los indicadores (4) no puede ser menor del 90%; si esta condición se cumple, el Fondo Mundial desembolsa automáticamente los fondos del siguiente año de forma trimestral, de obtener un indicador menor de lo convenido, por ejemplo el </w:t>
      </w:r>
      <w:r w:rsidR="002551E2">
        <w:rPr>
          <w:rFonts w:asciiTheme="minorHAnsi" w:hAnsiTheme="minorHAnsi" w:cstheme="minorBidi"/>
        </w:rPr>
        <w:t xml:space="preserve">año </w:t>
      </w:r>
      <w:r w:rsidR="00D65D9D">
        <w:rPr>
          <w:rFonts w:asciiTheme="minorHAnsi" w:hAnsiTheme="minorHAnsi" w:cstheme="minorBidi"/>
        </w:rPr>
        <w:t>actual que un indicador obtuvo el 52%, pero el promedio del resto era más alto</w:t>
      </w:r>
      <w:r w:rsidR="002551E2">
        <w:rPr>
          <w:rFonts w:asciiTheme="minorHAnsi" w:hAnsiTheme="minorHAnsi" w:cstheme="minorBidi"/>
        </w:rPr>
        <w:t>,</w:t>
      </w:r>
      <w:r w:rsidR="00D65D9D">
        <w:rPr>
          <w:rFonts w:asciiTheme="minorHAnsi" w:hAnsiTheme="minorHAnsi" w:cstheme="minorBidi"/>
        </w:rPr>
        <w:t xml:space="preserve"> propició que no </w:t>
      </w:r>
      <w:r w:rsidR="002551E2">
        <w:rPr>
          <w:rFonts w:asciiTheme="minorHAnsi" w:hAnsiTheme="minorHAnsi" w:cstheme="minorBidi"/>
        </w:rPr>
        <w:t>h</w:t>
      </w:r>
      <w:r w:rsidR="00D65D9D">
        <w:rPr>
          <w:rFonts w:asciiTheme="minorHAnsi" w:hAnsiTheme="minorHAnsi" w:cstheme="minorBidi"/>
        </w:rPr>
        <w:t xml:space="preserve">ubiera penalidad de </w:t>
      </w:r>
      <w:r w:rsidR="002551E2">
        <w:rPr>
          <w:rFonts w:asciiTheme="minorHAnsi" w:hAnsiTheme="minorHAnsi" w:cstheme="minorBidi"/>
        </w:rPr>
        <w:t>desembolso</w:t>
      </w:r>
      <w:r w:rsidR="00D65D9D">
        <w:rPr>
          <w:rFonts w:asciiTheme="minorHAnsi" w:hAnsiTheme="minorHAnsi" w:cstheme="minorBidi"/>
        </w:rPr>
        <w:t>, pero la calificación</w:t>
      </w:r>
      <w:r w:rsidR="002551E2">
        <w:rPr>
          <w:rFonts w:asciiTheme="minorHAnsi" w:hAnsiTheme="minorHAnsi" w:cstheme="minorBidi"/>
        </w:rPr>
        <w:t xml:space="preserve"> </w:t>
      </w:r>
      <w:r w:rsidR="00D65D9D">
        <w:rPr>
          <w:rFonts w:asciiTheme="minorHAnsi" w:hAnsiTheme="minorHAnsi" w:cstheme="minorBidi"/>
        </w:rPr>
        <w:t>cualitativa baj</w:t>
      </w:r>
      <w:r w:rsidR="002551E2">
        <w:rPr>
          <w:rFonts w:asciiTheme="minorHAnsi" w:hAnsiTheme="minorHAnsi" w:cstheme="minorBidi"/>
        </w:rPr>
        <w:t>ó</w:t>
      </w:r>
      <w:r w:rsidR="00D65D9D">
        <w:rPr>
          <w:rFonts w:asciiTheme="minorHAnsi" w:hAnsiTheme="minorHAnsi" w:cstheme="minorBidi"/>
        </w:rPr>
        <w:t xml:space="preserve"> de A1 a B1</w:t>
      </w:r>
      <w:r w:rsidR="002551E2">
        <w:rPr>
          <w:rFonts w:asciiTheme="minorHAnsi" w:hAnsiTheme="minorHAnsi" w:cstheme="minorBidi"/>
        </w:rPr>
        <w:t xml:space="preserve">. </w:t>
      </w:r>
      <w:bookmarkStart w:id="0" w:name="_Hlk504375951"/>
      <w:r w:rsidR="002551E2">
        <w:rPr>
          <w:rFonts w:asciiTheme="minorHAnsi" w:hAnsiTheme="minorHAnsi" w:cstheme="minorBidi"/>
        </w:rPr>
        <w:t xml:space="preserve">La verificación de la información, calidad de informes y datos lo realiza el Agente Local del Fondo (ALF) a través de la herramienta de la OMS DQR (revisión de la calidad de los datos del año anterior); siendo éste quien verifica que la información ha cumplido los estándares y </w:t>
      </w:r>
      <w:r w:rsidR="00C61DC3">
        <w:rPr>
          <w:rFonts w:asciiTheme="minorHAnsi" w:hAnsiTheme="minorHAnsi" w:cstheme="minorBidi"/>
        </w:rPr>
        <w:t xml:space="preserve">la confiabilidad de </w:t>
      </w:r>
      <w:r w:rsidR="002551E2">
        <w:rPr>
          <w:rFonts w:asciiTheme="minorHAnsi" w:hAnsiTheme="minorHAnsi" w:cstheme="minorBidi"/>
        </w:rPr>
        <w:t>los da</w:t>
      </w:r>
      <w:r w:rsidR="00C61DC3">
        <w:rPr>
          <w:rFonts w:asciiTheme="minorHAnsi" w:hAnsiTheme="minorHAnsi" w:cstheme="minorBidi"/>
        </w:rPr>
        <w:t>t</w:t>
      </w:r>
      <w:r w:rsidR="002551E2">
        <w:rPr>
          <w:rFonts w:asciiTheme="minorHAnsi" w:hAnsiTheme="minorHAnsi" w:cstheme="minorBidi"/>
        </w:rPr>
        <w:t xml:space="preserve">os que se están </w:t>
      </w:r>
      <w:r w:rsidR="00C61DC3">
        <w:rPr>
          <w:rFonts w:asciiTheme="minorHAnsi" w:hAnsiTheme="minorHAnsi" w:cstheme="minorBidi"/>
        </w:rPr>
        <w:t>reportando</w:t>
      </w:r>
      <w:r w:rsidR="004100BD">
        <w:rPr>
          <w:rFonts w:asciiTheme="minorHAnsi" w:hAnsiTheme="minorHAnsi" w:cstheme="minorBidi"/>
        </w:rPr>
        <w:t>.</w:t>
      </w:r>
      <w:r w:rsidR="00B62860">
        <w:rPr>
          <w:rFonts w:asciiTheme="minorHAnsi" w:hAnsiTheme="minorHAnsi" w:cstheme="minorBidi"/>
        </w:rPr>
        <w:t xml:space="preserve"> </w:t>
      </w:r>
      <w:bookmarkStart w:id="1" w:name="_Hlk504567936"/>
    </w:p>
    <w:p w:rsidR="00520B70" w:rsidRPr="00235135" w:rsidRDefault="00C35CC3" w:rsidP="00005AAD">
      <w:pPr>
        <w:pStyle w:val="NormalWeb"/>
        <w:ind w:left="708"/>
        <w:jc w:val="both"/>
        <w:rPr>
          <w:rFonts w:asciiTheme="minorHAnsi" w:hAnsiTheme="minorHAnsi" w:cstheme="minorBidi"/>
          <w:color w:val="4472C4" w:themeColor="accent1"/>
        </w:rPr>
      </w:pPr>
      <w:r w:rsidRPr="00235135">
        <w:rPr>
          <w:rFonts w:asciiTheme="minorHAnsi" w:hAnsiTheme="minorHAnsi" w:cstheme="minorBidi"/>
          <w:color w:val="4472C4" w:themeColor="accent1"/>
        </w:rPr>
        <w:t xml:space="preserve">Para la </w:t>
      </w:r>
      <w:r w:rsidR="00B62860" w:rsidRPr="00235135">
        <w:rPr>
          <w:rFonts w:asciiTheme="minorHAnsi" w:hAnsiTheme="minorHAnsi" w:cstheme="minorBidi"/>
          <w:color w:val="4472C4" w:themeColor="accent1"/>
        </w:rPr>
        <w:t>verificación de</w:t>
      </w:r>
      <w:r w:rsidRPr="00235135">
        <w:rPr>
          <w:rFonts w:asciiTheme="minorHAnsi" w:hAnsiTheme="minorHAnsi" w:cstheme="minorBidi"/>
          <w:color w:val="4472C4" w:themeColor="accent1"/>
        </w:rPr>
        <w:t xml:space="preserve"> la calidad de datos, el ALF (y el equipo </w:t>
      </w:r>
      <w:r w:rsidRPr="00235135">
        <w:rPr>
          <w:rFonts w:asciiTheme="minorHAnsi" w:hAnsiTheme="minorHAnsi" w:cstheme="minorBidi"/>
          <w:color w:val="4472C4" w:themeColor="accent1"/>
        </w:rPr>
        <w:t>operativo contratado por el ALF</w:t>
      </w:r>
      <w:r w:rsidRPr="00235135">
        <w:rPr>
          <w:rFonts w:asciiTheme="minorHAnsi" w:hAnsiTheme="minorHAnsi" w:cstheme="minorBidi"/>
          <w:color w:val="4472C4" w:themeColor="accent1"/>
        </w:rPr>
        <w:t>) en coordinación con el PNTY</w:t>
      </w:r>
      <w:r w:rsidR="0000600B" w:rsidRPr="00235135">
        <w:rPr>
          <w:rFonts w:asciiTheme="minorHAnsi" w:hAnsiTheme="minorHAnsi" w:cstheme="minorBidi"/>
          <w:color w:val="4472C4" w:themeColor="accent1"/>
        </w:rPr>
        <w:t>E</w:t>
      </w:r>
      <w:r w:rsidRPr="00235135">
        <w:rPr>
          <w:rFonts w:asciiTheme="minorHAnsi" w:hAnsiTheme="minorHAnsi" w:cstheme="minorBidi"/>
          <w:color w:val="4472C4" w:themeColor="accent1"/>
        </w:rPr>
        <w:t xml:space="preserve">R se estableció a través de un software se estableció el cálculo de la muestra de las UCSF del MINSAL, Unidades Médicas del ISSS </w:t>
      </w:r>
      <w:r w:rsidRPr="00235135">
        <w:rPr>
          <w:rFonts w:asciiTheme="minorHAnsi" w:hAnsiTheme="minorHAnsi" w:cstheme="minorBidi"/>
          <w:color w:val="4472C4" w:themeColor="accent1"/>
        </w:rPr>
        <w:lastRenderedPageBreak/>
        <w:t>Y Centros Penales en donde se verificó el cumplimiento de indicadores, condicionantes del desembolso. El resultado de la evaluación mostró un alcance del 94% de cumplimiento. (ver anexo 20_</w:t>
      </w:r>
      <w:r w:rsidR="0000600B" w:rsidRPr="00235135">
        <w:rPr>
          <w:rFonts w:asciiTheme="minorHAnsi" w:hAnsiTheme="minorHAnsi" w:cstheme="minorBidi"/>
          <w:color w:val="4472C4" w:themeColor="accent1"/>
        </w:rPr>
        <w:t xml:space="preserve">Carta de Retroalimentación del FM, sección </w:t>
      </w:r>
      <w:proofErr w:type="gramStart"/>
      <w:r w:rsidR="0000600B" w:rsidRPr="00235135">
        <w:rPr>
          <w:rFonts w:asciiTheme="minorHAnsi" w:hAnsiTheme="minorHAnsi" w:cstheme="minorBidi"/>
          <w:color w:val="4472C4" w:themeColor="accent1"/>
        </w:rPr>
        <w:t>E</w:t>
      </w:r>
      <w:proofErr w:type="gramEnd"/>
      <w:r w:rsidR="0000600B" w:rsidRPr="00235135">
        <w:rPr>
          <w:rFonts w:asciiTheme="minorHAnsi" w:hAnsiTheme="minorHAnsi" w:cstheme="minorBidi"/>
          <w:color w:val="4472C4" w:themeColor="accent1"/>
        </w:rPr>
        <w:t xml:space="preserve"> </w:t>
      </w:r>
      <w:r w:rsidR="00520B70" w:rsidRPr="00235135">
        <w:rPr>
          <w:rFonts w:asciiTheme="minorHAnsi" w:hAnsiTheme="minorHAnsi" w:cstheme="minorBidi"/>
          <w:color w:val="4472C4" w:themeColor="accent1"/>
        </w:rPr>
        <w:t>página</w:t>
      </w:r>
      <w:r w:rsidR="0000600B" w:rsidRPr="00235135">
        <w:rPr>
          <w:rFonts w:asciiTheme="minorHAnsi" w:hAnsiTheme="minorHAnsi" w:cstheme="minorBidi"/>
          <w:color w:val="4472C4" w:themeColor="accent1"/>
        </w:rPr>
        <w:t xml:space="preserve"> 11)</w:t>
      </w:r>
      <w:r w:rsidR="00520B70" w:rsidRPr="00235135">
        <w:rPr>
          <w:rFonts w:asciiTheme="minorHAnsi" w:hAnsiTheme="minorHAnsi" w:cstheme="minorBidi"/>
          <w:color w:val="4472C4" w:themeColor="accent1"/>
        </w:rPr>
        <w:t xml:space="preserve">. </w:t>
      </w:r>
    </w:p>
    <w:p w:rsidR="00235135" w:rsidRPr="00235135" w:rsidRDefault="00235135" w:rsidP="00235135">
      <w:pPr>
        <w:pStyle w:val="HTMLconformatoprevio"/>
        <w:shd w:val="clear" w:color="auto" w:fill="FFFFFF"/>
        <w:tabs>
          <w:tab w:val="clear" w:pos="916"/>
          <w:tab w:val="left" w:pos="709"/>
        </w:tabs>
        <w:ind w:left="708"/>
        <w:jc w:val="both"/>
        <w:rPr>
          <w:rFonts w:asciiTheme="minorHAnsi" w:eastAsiaTheme="minorHAnsi" w:hAnsiTheme="minorHAnsi" w:cstheme="minorBidi"/>
          <w:color w:val="4472C4" w:themeColor="accent1"/>
          <w:sz w:val="24"/>
          <w:szCs w:val="24"/>
          <w:lang w:eastAsia="en-US"/>
        </w:rPr>
      </w:pPr>
      <w:r w:rsidRPr="00235135">
        <w:rPr>
          <w:rFonts w:asciiTheme="minorHAnsi" w:eastAsiaTheme="minorHAnsi" w:hAnsiTheme="minorHAnsi" w:cstheme="minorBidi"/>
          <w:color w:val="4472C4" w:themeColor="accent1"/>
          <w:sz w:val="24"/>
          <w:szCs w:val="24"/>
          <w:lang w:eastAsia="en-US"/>
        </w:rPr>
        <w:t xml:space="preserve">Siendo El Salvador un piloto para el modelo RBF fue sujeto a la verificación externa de la calidad de los datos a través de esta metodología (QDR) que fue ejecutada por el ALF, con la participación de </w:t>
      </w:r>
      <w:r w:rsidRPr="00D06EB9">
        <w:rPr>
          <w:rFonts w:asciiTheme="minorHAnsi" w:eastAsiaTheme="minorHAnsi" w:hAnsiTheme="minorHAnsi" w:cstheme="minorBidi"/>
          <w:color w:val="4472C4" w:themeColor="accent1"/>
          <w:sz w:val="24"/>
          <w:szCs w:val="24"/>
          <w:lang w:eastAsia="en-US"/>
        </w:rPr>
        <w:t>socios técnicos</w:t>
      </w:r>
      <w:r w:rsidRPr="00235135">
        <w:rPr>
          <w:rFonts w:asciiTheme="minorHAnsi" w:eastAsiaTheme="minorHAnsi" w:hAnsiTheme="minorHAnsi" w:cstheme="minorBidi"/>
          <w:color w:val="4472C4" w:themeColor="accent1"/>
          <w:sz w:val="24"/>
          <w:szCs w:val="24"/>
          <w:lang w:eastAsia="en-US"/>
        </w:rPr>
        <w:t xml:space="preserve"> y </w:t>
      </w:r>
      <w:r w:rsidRPr="00D06EB9">
        <w:rPr>
          <w:rFonts w:asciiTheme="minorHAnsi" w:eastAsiaTheme="minorHAnsi" w:hAnsiTheme="minorHAnsi" w:cstheme="minorBidi"/>
          <w:color w:val="4472C4" w:themeColor="accent1"/>
          <w:sz w:val="24"/>
          <w:szCs w:val="24"/>
          <w:lang w:eastAsia="en-US"/>
        </w:rPr>
        <w:t>Equipo de País</w:t>
      </w:r>
      <w:r w:rsidRPr="00235135">
        <w:rPr>
          <w:rFonts w:asciiTheme="minorHAnsi" w:eastAsiaTheme="minorHAnsi" w:hAnsiTheme="minorHAnsi" w:cstheme="minorBidi"/>
          <w:color w:val="4472C4" w:themeColor="accent1"/>
          <w:sz w:val="24"/>
          <w:szCs w:val="24"/>
          <w:lang w:eastAsia="en-US"/>
        </w:rPr>
        <w:t xml:space="preserve"> de </w:t>
      </w:r>
      <w:r w:rsidRPr="00D06EB9">
        <w:rPr>
          <w:rFonts w:asciiTheme="minorHAnsi" w:eastAsiaTheme="minorHAnsi" w:hAnsiTheme="minorHAnsi" w:cstheme="minorBidi"/>
          <w:color w:val="4472C4" w:themeColor="accent1"/>
          <w:sz w:val="24"/>
          <w:szCs w:val="24"/>
          <w:lang w:eastAsia="en-US"/>
        </w:rPr>
        <w:t>Monitoreo</w:t>
      </w:r>
      <w:r w:rsidRPr="00235135">
        <w:rPr>
          <w:rFonts w:asciiTheme="minorHAnsi" w:eastAsiaTheme="minorHAnsi" w:hAnsiTheme="minorHAnsi" w:cstheme="minorBidi"/>
          <w:color w:val="4472C4" w:themeColor="accent1"/>
          <w:sz w:val="24"/>
          <w:szCs w:val="24"/>
          <w:lang w:eastAsia="en-US"/>
        </w:rPr>
        <w:t xml:space="preserve"> y</w:t>
      </w:r>
      <w:r w:rsidRPr="00D06EB9">
        <w:rPr>
          <w:rFonts w:asciiTheme="minorHAnsi" w:eastAsiaTheme="minorHAnsi" w:hAnsiTheme="minorHAnsi" w:cstheme="minorBidi"/>
          <w:color w:val="4472C4" w:themeColor="accent1"/>
          <w:sz w:val="24"/>
          <w:szCs w:val="24"/>
          <w:lang w:eastAsia="en-US"/>
        </w:rPr>
        <w:t xml:space="preserve"> Evaluación.</w:t>
      </w:r>
      <w:r w:rsidRPr="00235135">
        <w:rPr>
          <w:rFonts w:asciiTheme="minorHAnsi" w:eastAsiaTheme="minorHAnsi" w:hAnsiTheme="minorHAnsi" w:cstheme="minorBidi"/>
          <w:color w:val="4472C4" w:themeColor="accent1"/>
          <w:sz w:val="24"/>
          <w:szCs w:val="24"/>
          <w:lang w:eastAsia="en-US"/>
        </w:rPr>
        <w:t xml:space="preserve"> Este proceso representa una garantía adicional en el RBF, del buen uso de los recursos para el logro de los fines de las propuestas.</w:t>
      </w:r>
    </w:p>
    <w:p w:rsidR="00235135" w:rsidRPr="00235135" w:rsidRDefault="00235135" w:rsidP="00235135">
      <w:pPr>
        <w:pStyle w:val="HTMLconformatoprevio"/>
        <w:shd w:val="clear" w:color="auto" w:fill="FFFFFF"/>
        <w:tabs>
          <w:tab w:val="clear" w:pos="916"/>
          <w:tab w:val="left" w:pos="709"/>
        </w:tabs>
        <w:ind w:left="708"/>
        <w:jc w:val="both"/>
        <w:rPr>
          <w:rFonts w:asciiTheme="minorHAnsi" w:eastAsiaTheme="minorHAnsi" w:hAnsiTheme="minorHAnsi" w:cstheme="minorBidi"/>
          <w:color w:val="4472C4" w:themeColor="accent1"/>
          <w:sz w:val="24"/>
          <w:szCs w:val="24"/>
          <w:lang w:eastAsia="en-US"/>
        </w:rPr>
      </w:pPr>
      <w:bookmarkStart w:id="2" w:name="_GoBack"/>
      <w:bookmarkEnd w:id="2"/>
    </w:p>
    <w:p w:rsidR="00235135" w:rsidRPr="00235135" w:rsidRDefault="00235135" w:rsidP="00235135">
      <w:pPr>
        <w:spacing w:after="0" w:line="240" w:lineRule="auto"/>
        <w:ind w:left="709"/>
        <w:jc w:val="both"/>
        <w:rPr>
          <w:color w:val="4472C4" w:themeColor="accent1"/>
          <w:sz w:val="24"/>
          <w:szCs w:val="24"/>
        </w:rPr>
      </w:pPr>
      <w:r w:rsidRPr="00235135">
        <w:rPr>
          <w:color w:val="4472C4" w:themeColor="accent1"/>
          <w:sz w:val="24"/>
          <w:szCs w:val="24"/>
        </w:rPr>
        <w:t>La metodología de desembolso incluye: verificación anual de resultados por indicadores acordados en el marco de desempeño, el resultado arrojado por el índice de rendimiento será utilizado para calcular el monto de desembolso, el incumplimiento de los indicadores (menor del 90%) es penalizado. (Ver anexo 21_Acuerdo de Subvención, sección IV, ítems 2 - 5)</w:t>
      </w:r>
    </w:p>
    <w:p w:rsidR="00235135" w:rsidRDefault="00235135" w:rsidP="00235135">
      <w:pPr>
        <w:spacing w:after="0" w:line="240" w:lineRule="auto"/>
        <w:ind w:left="709"/>
        <w:jc w:val="both"/>
        <w:rPr>
          <w:sz w:val="24"/>
          <w:szCs w:val="24"/>
          <w:highlight w:val="yellow"/>
        </w:rPr>
      </w:pPr>
    </w:p>
    <w:bookmarkEnd w:id="1"/>
    <w:bookmarkEnd w:id="0"/>
    <w:p w:rsidR="0036056E" w:rsidRPr="00520B70" w:rsidRDefault="0036056E" w:rsidP="00114B74">
      <w:pPr>
        <w:pStyle w:val="NormalWeb"/>
        <w:ind w:left="708"/>
        <w:jc w:val="both"/>
        <w:rPr>
          <w:rFonts w:asciiTheme="minorHAnsi" w:hAnsiTheme="minorHAnsi" w:cstheme="minorBidi"/>
          <w:b/>
        </w:rPr>
      </w:pPr>
      <w:r w:rsidRPr="00520B70">
        <w:rPr>
          <w:rFonts w:asciiTheme="minorHAnsi" w:hAnsiTheme="minorHAnsi" w:cstheme="minorBidi"/>
          <w:b/>
        </w:rPr>
        <w:t xml:space="preserve">Cuáles han sido </w:t>
      </w:r>
      <w:r w:rsidR="00C61DC3" w:rsidRPr="00520B70">
        <w:rPr>
          <w:rFonts w:asciiTheme="minorHAnsi" w:hAnsiTheme="minorHAnsi" w:cstheme="minorBidi"/>
          <w:b/>
        </w:rPr>
        <w:t xml:space="preserve">las </w:t>
      </w:r>
      <w:r w:rsidRPr="00520B70">
        <w:rPr>
          <w:rFonts w:asciiTheme="minorHAnsi" w:hAnsiTheme="minorHAnsi" w:cstheme="minorBidi"/>
          <w:b/>
        </w:rPr>
        <w:t>ventajas del Financiamiento basado en Resultado (RBF) en El Salvador.</w:t>
      </w:r>
    </w:p>
    <w:p w:rsidR="005215FD" w:rsidRDefault="00AC7AFA" w:rsidP="005215FD">
      <w:pPr>
        <w:pStyle w:val="Prrafodelista"/>
        <w:jc w:val="both"/>
        <w:rPr>
          <w:rFonts w:eastAsia="Times New Roman"/>
          <w:sz w:val="24"/>
          <w:szCs w:val="24"/>
          <w:lang w:eastAsia="es-SV"/>
        </w:rPr>
      </w:pPr>
      <w:r w:rsidRPr="00132C00">
        <w:rPr>
          <w:rFonts w:eastAsia="Times New Roman"/>
          <w:sz w:val="24"/>
          <w:szCs w:val="24"/>
          <w:lang w:eastAsia="es-SV"/>
        </w:rPr>
        <w:t xml:space="preserve">El </w:t>
      </w:r>
      <w:r w:rsidR="005215FD" w:rsidRPr="00132C00">
        <w:rPr>
          <w:rFonts w:eastAsia="Times New Roman"/>
          <w:sz w:val="24"/>
          <w:szCs w:val="24"/>
          <w:lang w:eastAsia="es-SV"/>
        </w:rPr>
        <w:t>financiamiento basado en resultado (RBF)</w:t>
      </w:r>
      <w:r w:rsidRPr="00132C00">
        <w:rPr>
          <w:rFonts w:eastAsia="Times New Roman"/>
          <w:sz w:val="24"/>
          <w:szCs w:val="24"/>
          <w:lang w:eastAsia="es-SV"/>
        </w:rPr>
        <w:t xml:space="preserve"> en</w:t>
      </w:r>
      <w:r w:rsidR="00305954" w:rsidRPr="00132C00">
        <w:rPr>
          <w:rFonts w:eastAsia="Times New Roman"/>
          <w:sz w:val="24"/>
          <w:szCs w:val="24"/>
          <w:lang w:eastAsia="es-SV"/>
        </w:rPr>
        <w:t xml:space="preserve"> El Salvador</w:t>
      </w:r>
      <w:r w:rsidRPr="00132C00">
        <w:rPr>
          <w:rFonts w:eastAsia="Times New Roman"/>
          <w:sz w:val="24"/>
          <w:szCs w:val="24"/>
          <w:lang w:eastAsia="es-SV"/>
        </w:rPr>
        <w:t xml:space="preserve"> ha llevado como </w:t>
      </w:r>
      <w:r w:rsidR="00C61DC3" w:rsidRPr="00132C00">
        <w:rPr>
          <w:rFonts w:eastAsia="Times New Roman"/>
          <w:sz w:val="24"/>
          <w:szCs w:val="24"/>
          <w:lang w:eastAsia="es-SV"/>
        </w:rPr>
        <w:t>primera ventaja</w:t>
      </w:r>
      <w:r w:rsidRPr="00132C00">
        <w:rPr>
          <w:rFonts w:eastAsia="Times New Roman"/>
          <w:sz w:val="24"/>
          <w:szCs w:val="24"/>
          <w:lang w:eastAsia="es-SV"/>
        </w:rPr>
        <w:t xml:space="preserve"> la flexibilidad con la que este</w:t>
      </w:r>
      <w:r w:rsidR="00305954" w:rsidRPr="00132C00">
        <w:rPr>
          <w:rFonts w:eastAsia="Times New Roman"/>
          <w:sz w:val="24"/>
          <w:szCs w:val="24"/>
          <w:lang w:eastAsia="es-SV"/>
        </w:rPr>
        <w:t xml:space="preserve"> modelo basado en resultados</w:t>
      </w:r>
      <w:r w:rsidRPr="00132C00">
        <w:rPr>
          <w:rFonts w:eastAsia="Times New Roman"/>
          <w:sz w:val="24"/>
          <w:szCs w:val="24"/>
          <w:lang w:eastAsia="es-SV"/>
        </w:rPr>
        <w:t xml:space="preserve"> permite, autoriza y </w:t>
      </w:r>
      <w:r w:rsidR="0054696E" w:rsidRPr="00132C00">
        <w:rPr>
          <w:rFonts w:eastAsia="Times New Roman"/>
          <w:sz w:val="24"/>
          <w:szCs w:val="24"/>
          <w:lang w:eastAsia="es-SV"/>
        </w:rPr>
        <w:t>es</w:t>
      </w:r>
      <w:r w:rsidRPr="00132C00">
        <w:rPr>
          <w:rFonts w:eastAsia="Times New Roman"/>
          <w:sz w:val="24"/>
          <w:szCs w:val="24"/>
          <w:lang w:eastAsia="es-SV"/>
        </w:rPr>
        <w:t>tablece</w:t>
      </w:r>
      <w:r w:rsidR="00305954" w:rsidRPr="00132C00">
        <w:rPr>
          <w:rFonts w:eastAsia="Times New Roman"/>
          <w:sz w:val="24"/>
          <w:szCs w:val="24"/>
          <w:lang w:eastAsia="es-SV"/>
        </w:rPr>
        <w:t xml:space="preserve"> </w:t>
      </w:r>
      <w:r w:rsidRPr="00132C00">
        <w:rPr>
          <w:rFonts w:eastAsia="Times New Roman"/>
          <w:sz w:val="24"/>
          <w:szCs w:val="24"/>
          <w:lang w:eastAsia="es-SV"/>
        </w:rPr>
        <w:t>que los fondos asignados, deben y serán utilizados en actividades, intervenciones, tareas y fines que generan un valor agregado y mayor impacto en la prevención y control de la enfermedad sujeta a intervención</w:t>
      </w:r>
      <w:r w:rsidR="00C61DC3">
        <w:rPr>
          <w:rFonts w:eastAsia="Times New Roman"/>
          <w:sz w:val="24"/>
          <w:szCs w:val="24"/>
          <w:lang w:eastAsia="es-SV"/>
        </w:rPr>
        <w:t>.</w:t>
      </w:r>
    </w:p>
    <w:p w:rsidR="00305954" w:rsidRPr="00132C00" w:rsidRDefault="00305954" w:rsidP="005B60D8">
      <w:pPr>
        <w:pStyle w:val="Prrafodelista"/>
        <w:jc w:val="both"/>
        <w:rPr>
          <w:rFonts w:eastAsia="Times New Roman"/>
          <w:sz w:val="24"/>
          <w:szCs w:val="24"/>
          <w:lang w:eastAsia="es-SV"/>
        </w:rPr>
      </w:pPr>
    </w:p>
    <w:p w:rsidR="00305954" w:rsidRPr="00132C00" w:rsidRDefault="00305954" w:rsidP="00305954">
      <w:pPr>
        <w:pStyle w:val="Prrafodelista"/>
        <w:jc w:val="both"/>
        <w:rPr>
          <w:rFonts w:eastAsia="Times New Roman"/>
          <w:sz w:val="24"/>
          <w:szCs w:val="24"/>
          <w:lang w:eastAsia="es-SV"/>
        </w:rPr>
      </w:pPr>
      <w:r w:rsidRPr="00132C00">
        <w:rPr>
          <w:rFonts w:eastAsia="Times New Roman"/>
          <w:sz w:val="24"/>
          <w:szCs w:val="24"/>
          <w:lang w:eastAsia="es-SV"/>
        </w:rPr>
        <w:t>Indicadores que se miden actualmente (Piloto</w:t>
      </w:r>
      <w:r w:rsidR="005215FD" w:rsidRPr="00132C00">
        <w:rPr>
          <w:rFonts w:eastAsia="Times New Roman"/>
          <w:sz w:val="24"/>
          <w:szCs w:val="24"/>
          <w:lang w:eastAsia="es-SV"/>
        </w:rPr>
        <w:t xml:space="preserve"> financiamiento</w:t>
      </w:r>
      <w:r w:rsidRPr="00132C00">
        <w:rPr>
          <w:rFonts w:eastAsia="Times New Roman"/>
          <w:sz w:val="24"/>
          <w:szCs w:val="24"/>
          <w:lang w:eastAsia="es-SV"/>
        </w:rPr>
        <w:t xml:space="preserve"> basado en resultados</w:t>
      </w:r>
      <w:r w:rsidR="005215FD" w:rsidRPr="00132C00">
        <w:rPr>
          <w:rFonts w:eastAsia="Times New Roman"/>
          <w:sz w:val="24"/>
          <w:szCs w:val="24"/>
          <w:lang w:eastAsia="es-SV"/>
        </w:rPr>
        <w:t xml:space="preserve"> - RBF</w:t>
      </w:r>
      <w:r w:rsidRPr="00132C00">
        <w:rPr>
          <w:rFonts w:eastAsia="Times New Roman"/>
          <w:sz w:val="24"/>
          <w:szCs w:val="24"/>
          <w:lang w:eastAsia="es-SV"/>
        </w:rPr>
        <w:t xml:space="preserve">): </w:t>
      </w:r>
    </w:p>
    <w:p w:rsidR="00305954" w:rsidRPr="00132C00" w:rsidRDefault="00305954" w:rsidP="00305954">
      <w:pPr>
        <w:pStyle w:val="Prrafodelista"/>
        <w:jc w:val="both"/>
        <w:rPr>
          <w:rFonts w:eastAsia="Times New Roman"/>
          <w:sz w:val="24"/>
          <w:szCs w:val="24"/>
          <w:lang w:eastAsia="es-SV"/>
        </w:rPr>
      </w:pPr>
    </w:p>
    <w:p w:rsidR="00305954" w:rsidRPr="00132C00" w:rsidRDefault="00305954" w:rsidP="00305954">
      <w:pPr>
        <w:pStyle w:val="Prrafodelista"/>
        <w:numPr>
          <w:ilvl w:val="0"/>
          <w:numId w:val="9"/>
        </w:numPr>
        <w:jc w:val="both"/>
        <w:rPr>
          <w:rFonts w:eastAsia="Times New Roman"/>
          <w:sz w:val="24"/>
          <w:szCs w:val="24"/>
          <w:lang w:eastAsia="es-SV"/>
        </w:rPr>
      </w:pPr>
      <w:r w:rsidRPr="00132C00">
        <w:rPr>
          <w:rFonts w:eastAsia="Times New Roman"/>
          <w:b/>
          <w:sz w:val="24"/>
          <w:szCs w:val="24"/>
          <w:lang w:eastAsia="es-SV"/>
        </w:rPr>
        <w:t>DOTS-1a:</w:t>
      </w:r>
      <w:r w:rsidRPr="00132C00">
        <w:rPr>
          <w:rFonts w:eastAsia="Times New Roman"/>
          <w:sz w:val="24"/>
          <w:szCs w:val="24"/>
          <w:lang w:eastAsia="es-SV"/>
        </w:rPr>
        <w:t xml:space="preserve"> Número de casos notificados de tuberculosis (todas las formas) confirmados bacteriológicamente y con diagnóstico clínico, casos nuevos y recaídas.</w:t>
      </w:r>
    </w:p>
    <w:p w:rsidR="00305954" w:rsidRPr="00132C00" w:rsidRDefault="00305954" w:rsidP="00305954">
      <w:pPr>
        <w:pStyle w:val="Prrafodelista"/>
        <w:numPr>
          <w:ilvl w:val="0"/>
          <w:numId w:val="9"/>
        </w:numPr>
        <w:jc w:val="both"/>
        <w:rPr>
          <w:rFonts w:eastAsia="Times New Roman"/>
          <w:b/>
          <w:sz w:val="24"/>
          <w:szCs w:val="24"/>
          <w:lang w:eastAsia="es-SV"/>
        </w:rPr>
      </w:pPr>
      <w:r w:rsidRPr="00132C00">
        <w:rPr>
          <w:rFonts w:eastAsia="Times New Roman"/>
          <w:b/>
          <w:sz w:val="24"/>
          <w:szCs w:val="24"/>
          <w:lang w:eastAsia="es-SV"/>
        </w:rPr>
        <w:t xml:space="preserve">DOTS-2b: </w:t>
      </w:r>
      <w:r w:rsidRPr="00132C00">
        <w:rPr>
          <w:rFonts w:eastAsia="Times New Roman"/>
          <w:sz w:val="24"/>
          <w:szCs w:val="24"/>
          <w:lang w:eastAsia="es-SV"/>
        </w:rPr>
        <w:t>Porcentaje de casos de tuberculosis confirmados bacteriológicamente que se han tratado con éxito (curados y con tratamiento completo) entre los casos de tuberculosis.</w:t>
      </w:r>
    </w:p>
    <w:p w:rsidR="00305954" w:rsidRPr="00132C00" w:rsidRDefault="00305954" w:rsidP="00305954">
      <w:pPr>
        <w:pStyle w:val="Prrafodelista"/>
        <w:numPr>
          <w:ilvl w:val="0"/>
          <w:numId w:val="9"/>
        </w:numPr>
        <w:jc w:val="both"/>
        <w:rPr>
          <w:rFonts w:eastAsia="Times New Roman"/>
          <w:b/>
          <w:sz w:val="24"/>
          <w:szCs w:val="24"/>
          <w:lang w:eastAsia="es-SV"/>
        </w:rPr>
      </w:pPr>
      <w:r w:rsidRPr="00132C00">
        <w:rPr>
          <w:rFonts w:eastAsia="Times New Roman"/>
          <w:b/>
          <w:sz w:val="24"/>
          <w:szCs w:val="24"/>
          <w:lang w:eastAsia="es-SV"/>
        </w:rPr>
        <w:t xml:space="preserve">MDR TB-other1: </w:t>
      </w:r>
      <w:r w:rsidRPr="00132C00">
        <w:rPr>
          <w:rFonts w:eastAsia="Times New Roman"/>
          <w:sz w:val="24"/>
          <w:szCs w:val="24"/>
          <w:lang w:eastAsia="es-SV"/>
        </w:rPr>
        <w:t>Número y porcentaje de pacientes sospechosos de tuberculosis resistente a los fármacos (RR-TB y / o MDR-TB) que se sometieron a pruebas de sensibilidad farmacológica.</w:t>
      </w:r>
      <w:r w:rsidRPr="00132C00">
        <w:rPr>
          <w:rFonts w:eastAsia="Times New Roman"/>
          <w:b/>
          <w:sz w:val="24"/>
          <w:szCs w:val="24"/>
          <w:lang w:eastAsia="es-SV"/>
        </w:rPr>
        <w:t xml:space="preserve"> </w:t>
      </w:r>
    </w:p>
    <w:p w:rsidR="00305954" w:rsidRPr="00132C00" w:rsidRDefault="00305954" w:rsidP="00305954">
      <w:pPr>
        <w:pStyle w:val="Prrafodelista"/>
        <w:numPr>
          <w:ilvl w:val="0"/>
          <w:numId w:val="9"/>
        </w:numPr>
        <w:jc w:val="both"/>
        <w:rPr>
          <w:rFonts w:eastAsia="Times New Roman"/>
          <w:b/>
          <w:sz w:val="24"/>
          <w:szCs w:val="24"/>
          <w:u w:val="single"/>
          <w:lang w:eastAsia="es-SV"/>
        </w:rPr>
      </w:pPr>
      <w:r w:rsidRPr="00132C00">
        <w:rPr>
          <w:rFonts w:eastAsia="Times New Roman"/>
          <w:b/>
          <w:sz w:val="24"/>
          <w:szCs w:val="24"/>
          <w:lang w:eastAsia="es-SV"/>
        </w:rPr>
        <w:t xml:space="preserve">MDR TB-other2: </w:t>
      </w:r>
      <w:r w:rsidRPr="00132C00">
        <w:rPr>
          <w:rFonts w:eastAsia="Times New Roman"/>
          <w:sz w:val="24"/>
          <w:szCs w:val="24"/>
          <w:lang w:eastAsia="es-SV"/>
        </w:rPr>
        <w:t>Número y porcentaje de casos de TB resistentes a los medicamentos (TB-RR y / o MDR-TB) confirmados durante el último año calendario que están en tratamiento de segunda línea.</w:t>
      </w:r>
    </w:p>
    <w:p w:rsidR="002E4467" w:rsidRPr="00132C00" w:rsidRDefault="002E4467" w:rsidP="005B60D8">
      <w:pPr>
        <w:pStyle w:val="Prrafodelista"/>
        <w:jc w:val="both"/>
        <w:rPr>
          <w:rFonts w:eastAsia="Times New Roman"/>
          <w:sz w:val="24"/>
          <w:szCs w:val="24"/>
          <w:lang w:eastAsia="es-SV"/>
        </w:rPr>
      </w:pPr>
    </w:p>
    <w:p w:rsidR="003F3D0F" w:rsidRPr="00132C00" w:rsidRDefault="00A32267" w:rsidP="005B60D8">
      <w:pPr>
        <w:pStyle w:val="Prrafodelista"/>
        <w:jc w:val="both"/>
        <w:rPr>
          <w:rFonts w:eastAsia="Times New Roman"/>
          <w:sz w:val="24"/>
          <w:szCs w:val="24"/>
          <w:lang w:eastAsia="es-SV"/>
        </w:rPr>
      </w:pPr>
      <w:r w:rsidRPr="00132C00">
        <w:rPr>
          <w:rFonts w:eastAsia="Times New Roman"/>
          <w:sz w:val="24"/>
          <w:szCs w:val="24"/>
          <w:lang w:eastAsia="es-SV"/>
        </w:rPr>
        <w:t xml:space="preserve">Siendo un </w:t>
      </w:r>
      <w:r w:rsidR="00780ECA" w:rsidRPr="00132C00">
        <w:rPr>
          <w:rFonts w:eastAsia="Times New Roman"/>
          <w:sz w:val="24"/>
          <w:szCs w:val="24"/>
          <w:lang w:eastAsia="es-SV"/>
        </w:rPr>
        <w:t>cofinanciamiento</w:t>
      </w:r>
      <w:r w:rsidRPr="00132C00">
        <w:rPr>
          <w:rFonts w:eastAsia="Times New Roman"/>
          <w:sz w:val="24"/>
          <w:szCs w:val="24"/>
          <w:lang w:eastAsia="es-SV"/>
        </w:rPr>
        <w:t xml:space="preserve"> al Plan Estratégico Nacional Multisectorial 2016-2018,</w:t>
      </w:r>
      <w:r w:rsidR="008E370E" w:rsidRPr="00132C00">
        <w:rPr>
          <w:rFonts w:eastAsia="Times New Roman"/>
          <w:sz w:val="24"/>
          <w:szCs w:val="24"/>
          <w:lang w:eastAsia="es-SV"/>
        </w:rPr>
        <w:t xml:space="preserve"> basada en resultados la experiencia de la subvención actual </w:t>
      </w:r>
      <w:r w:rsidR="003F3D0F" w:rsidRPr="00132C00">
        <w:rPr>
          <w:rFonts w:eastAsia="Times New Roman"/>
          <w:sz w:val="24"/>
          <w:szCs w:val="24"/>
          <w:lang w:eastAsia="es-SV"/>
        </w:rPr>
        <w:t>más</w:t>
      </w:r>
      <w:r w:rsidR="008E370E" w:rsidRPr="00132C00">
        <w:rPr>
          <w:rFonts w:eastAsia="Times New Roman"/>
          <w:sz w:val="24"/>
          <w:szCs w:val="24"/>
          <w:lang w:eastAsia="es-SV"/>
        </w:rPr>
        <w:t xml:space="preserve"> importante es la flexibilidad co</w:t>
      </w:r>
      <w:r w:rsidR="00B162F0">
        <w:rPr>
          <w:rFonts w:eastAsia="Times New Roman"/>
          <w:sz w:val="24"/>
          <w:szCs w:val="24"/>
          <w:lang w:eastAsia="es-SV"/>
        </w:rPr>
        <w:t>n la que el país a través del</w:t>
      </w:r>
      <w:r w:rsidR="008E370E" w:rsidRPr="00132C00">
        <w:rPr>
          <w:rFonts w:eastAsia="Times New Roman"/>
          <w:sz w:val="24"/>
          <w:szCs w:val="24"/>
          <w:lang w:eastAsia="es-SV"/>
        </w:rPr>
        <w:t xml:space="preserve"> receptor principal </w:t>
      </w:r>
      <w:r w:rsidR="002C47B3" w:rsidRPr="00132C00">
        <w:rPr>
          <w:rFonts w:eastAsia="Times New Roman"/>
          <w:sz w:val="24"/>
          <w:szCs w:val="24"/>
          <w:lang w:eastAsia="es-SV"/>
        </w:rPr>
        <w:t>decide</w:t>
      </w:r>
      <w:r w:rsidR="008E370E" w:rsidRPr="00132C00">
        <w:rPr>
          <w:rFonts w:eastAsia="Times New Roman"/>
          <w:sz w:val="24"/>
          <w:szCs w:val="24"/>
          <w:lang w:eastAsia="es-SV"/>
        </w:rPr>
        <w:t>, implementa, moviliza r</w:t>
      </w:r>
      <w:r w:rsidR="00B162F0">
        <w:rPr>
          <w:rFonts w:eastAsia="Times New Roman"/>
          <w:sz w:val="24"/>
          <w:szCs w:val="24"/>
          <w:lang w:eastAsia="es-SV"/>
        </w:rPr>
        <w:t xml:space="preserve">ecurso, establece prioridades, </w:t>
      </w:r>
      <w:r w:rsidR="008E370E" w:rsidRPr="00132C00">
        <w:rPr>
          <w:rFonts w:eastAsia="Times New Roman"/>
          <w:sz w:val="24"/>
          <w:szCs w:val="24"/>
          <w:lang w:eastAsia="es-SV"/>
        </w:rPr>
        <w:t xml:space="preserve">ejecuta intervenciones y obtiene los mejores </w:t>
      </w:r>
      <w:r w:rsidR="008E370E" w:rsidRPr="00132C00">
        <w:rPr>
          <w:rFonts w:eastAsia="Times New Roman"/>
          <w:sz w:val="24"/>
          <w:szCs w:val="24"/>
          <w:lang w:eastAsia="es-SV"/>
        </w:rPr>
        <w:lastRenderedPageBreak/>
        <w:t>resultados</w:t>
      </w:r>
      <w:r w:rsidR="00B162F0">
        <w:rPr>
          <w:rFonts w:eastAsia="Times New Roman"/>
          <w:sz w:val="24"/>
          <w:szCs w:val="24"/>
          <w:lang w:eastAsia="es-SV"/>
        </w:rPr>
        <w:t>. D</w:t>
      </w:r>
      <w:r w:rsidR="008E370E" w:rsidRPr="00132C00">
        <w:rPr>
          <w:rFonts w:eastAsia="Times New Roman"/>
          <w:sz w:val="24"/>
          <w:szCs w:val="24"/>
          <w:lang w:eastAsia="es-SV"/>
        </w:rPr>
        <w:t xml:space="preserve">e esta forma y particularmente el Fondo Mundial no </w:t>
      </w:r>
      <w:r w:rsidR="003F3D0F" w:rsidRPr="00132C00">
        <w:rPr>
          <w:rFonts w:eastAsia="Times New Roman"/>
          <w:sz w:val="24"/>
          <w:szCs w:val="24"/>
          <w:lang w:eastAsia="es-SV"/>
        </w:rPr>
        <w:t>está</w:t>
      </w:r>
      <w:r w:rsidR="008E370E" w:rsidRPr="00132C00">
        <w:rPr>
          <w:rFonts w:eastAsia="Times New Roman"/>
          <w:sz w:val="24"/>
          <w:szCs w:val="24"/>
          <w:lang w:eastAsia="es-SV"/>
        </w:rPr>
        <w:t xml:space="preserve"> pendiente de los procesos ni de los medios para lograrlos, sino más bien, verifica el uso eficiente de los fondos, el cumplimiento de metas y </w:t>
      </w:r>
      <w:r w:rsidR="003F3D0F" w:rsidRPr="00132C00">
        <w:rPr>
          <w:rFonts w:eastAsia="Times New Roman"/>
          <w:sz w:val="24"/>
          <w:szCs w:val="24"/>
          <w:lang w:eastAsia="es-SV"/>
        </w:rPr>
        <w:t>está</w:t>
      </w:r>
      <w:r w:rsidR="008E370E" w:rsidRPr="00132C00">
        <w:rPr>
          <w:rFonts w:eastAsia="Times New Roman"/>
          <w:sz w:val="24"/>
          <w:szCs w:val="24"/>
          <w:lang w:eastAsia="es-SV"/>
        </w:rPr>
        <w:t xml:space="preserve"> particularmente pendiente que se obtenga</w:t>
      </w:r>
      <w:r w:rsidR="00C81759">
        <w:rPr>
          <w:rFonts w:eastAsia="Times New Roman"/>
          <w:sz w:val="24"/>
          <w:szCs w:val="24"/>
          <w:lang w:eastAsia="es-SV"/>
        </w:rPr>
        <w:t>n</w:t>
      </w:r>
      <w:r w:rsidR="008E370E" w:rsidRPr="00132C00">
        <w:rPr>
          <w:rFonts w:eastAsia="Times New Roman"/>
          <w:sz w:val="24"/>
          <w:szCs w:val="24"/>
          <w:lang w:eastAsia="es-SV"/>
        </w:rPr>
        <w:t xml:space="preserve"> los resultados que al inicio se propusieron que se </w:t>
      </w:r>
      <w:r w:rsidR="003F3D0F" w:rsidRPr="00132C00">
        <w:rPr>
          <w:rFonts w:eastAsia="Times New Roman"/>
          <w:sz w:val="24"/>
          <w:szCs w:val="24"/>
          <w:lang w:eastAsia="es-SV"/>
        </w:rPr>
        <w:t>iban</w:t>
      </w:r>
      <w:r w:rsidR="008E370E" w:rsidRPr="00132C00">
        <w:rPr>
          <w:rFonts w:eastAsia="Times New Roman"/>
          <w:sz w:val="24"/>
          <w:szCs w:val="24"/>
          <w:lang w:eastAsia="es-SV"/>
        </w:rPr>
        <w:t xml:space="preserve"> a obtener</w:t>
      </w:r>
      <w:r w:rsidR="003F3D0F" w:rsidRPr="00132C00">
        <w:rPr>
          <w:rFonts w:eastAsia="Times New Roman"/>
          <w:sz w:val="24"/>
          <w:szCs w:val="24"/>
          <w:lang w:eastAsia="es-SV"/>
        </w:rPr>
        <w:t>, es así que para el primer año</w:t>
      </w:r>
      <w:r w:rsidR="00B162F0">
        <w:rPr>
          <w:rFonts w:eastAsia="Times New Roman"/>
          <w:sz w:val="24"/>
          <w:szCs w:val="24"/>
          <w:lang w:eastAsia="es-SV"/>
        </w:rPr>
        <w:t xml:space="preserve"> 2016 se reportaron los siguientes resultados</w:t>
      </w:r>
      <w:r w:rsidR="003F3D0F" w:rsidRPr="00132C00">
        <w:rPr>
          <w:rFonts w:eastAsia="Times New Roman"/>
          <w:sz w:val="24"/>
          <w:szCs w:val="24"/>
          <w:lang w:eastAsia="es-SV"/>
        </w:rPr>
        <w:t>.</w:t>
      </w:r>
    </w:p>
    <w:tbl>
      <w:tblPr>
        <w:tblStyle w:val="Tablaconcuadrcula"/>
        <w:tblW w:w="8843" w:type="dxa"/>
        <w:tblInd w:w="705" w:type="dxa"/>
        <w:tblLook w:val="04A0" w:firstRow="1" w:lastRow="0" w:firstColumn="1" w:lastColumn="0" w:noHBand="0" w:noVBand="1"/>
      </w:tblPr>
      <w:tblGrid>
        <w:gridCol w:w="13"/>
        <w:gridCol w:w="2682"/>
        <w:gridCol w:w="12"/>
        <w:gridCol w:w="1878"/>
        <w:gridCol w:w="12"/>
        <w:gridCol w:w="1931"/>
        <w:gridCol w:w="12"/>
        <w:gridCol w:w="2303"/>
      </w:tblGrid>
      <w:tr w:rsidR="00132C00" w:rsidRPr="00132C00" w:rsidTr="008D403B">
        <w:trPr>
          <w:gridBefore w:val="1"/>
          <w:wBefore w:w="13" w:type="dxa"/>
          <w:trHeight w:val="574"/>
        </w:trPr>
        <w:tc>
          <w:tcPr>
            <w:tcW w:w="2694" w:type="dxa"/>
            <w:gridSpan w:val="2"/>
            <w:shd w:val="clear" w:color="auto" w:fill="D9D9D9" w:themeFill="background1" w:themeFillShade="D9"/>
            <w:vAlign w:val="center"/>
          </w:tcPr>
          <w:p w:rsidR="003F3D0F" w:rsidRPr="00132C00" w:rsidRDefault="003F3D0F" w:rsidP="008D403B">
            <w:pPr>
              <w:pStyle w:val="Prrafodelista"/>
              <w:ind w:left="0"/>
              <w:jc w:val="center"/>
              <w:rPr>
                <w:rFonts w:eastAsia="Times New Roman"/>
                <w:b/>
                <w:sz w:val="18"/>
                <w:szCs w:val="24"/>
                <w:lang w:eastAsia="es-SV"/>
              </w:rPr>
            </w:pPr>
            <w:r w:rsidRPr="00132C00">
              <w:rPr>
                <w:rFonts w:eastAsia="Times New Roman"/>
                <w:b/>
                <w:sz w:val="18"/>
                <w:szCs w:val="24"/>
                <w:lang w:eastAsia="es-SV"/>
              </w:rPr>
              <w:t>INDICADOR</w:t>
            </w:r>
          </w:p>
        </w:tc>
        <w:tc>
          <w:tcPr>
            <w:tcW w:w="1890" w:type="dxa"/>
            <w:gridSpan w:val="2"/>
            <w:shd w:val="clear" w:color="auto" w:fill="D9D9D9" w:themeFill="background1" w:themeFillShade="D9"/>
            <w:vAlign w:val="center"/>
          </w:tcPr>
          <w:p w:rsidR="003F3D0F" w:rsidRPr="00132C00" w:rsidRDefault="003F3D0F" w:rsidP="008D403B">
            <w:pPr>
              <w:pStyle w:val="Prrafodelista"/>
              <w:ind w:left="0"/>
              <w:jc w:val="center"/>
              <w:rPr>
                <w:rFonts w:eastAsia="Times New Roman"/>
                <w:b/>
                <w:sz w:val="18"/>
                <w:szCs w:val="24"/>
                <w:lang w:eastAsia="es-SV"/>
              </w:rPr>
            </w:pPr>
            <w:r w:rsidRPr="00132C00">
              <w:rPr>
                <w:rFonts w:eastAsia="Times New Roman"/>
                <w:b/>
                <w:sz w:val="18"/>
                <w:szCs w:val="24"/>
                <w:lang w:eastAsia="es-SV"/>
              </w:rPr>
              <w:t>META PROPUESTA</w:t>
            </w:r>
          </w:p>
        </w:tc>
        <w:tc>
          <w:tcPr>
            <w:tcW w:w="1943" w:type="dxa"/>
            <w:gridSpan w:val="2"/>
            <w:shd w:val="clear" w:color="auto" w:fill="D9D9D9" w:themeFill="background1" w:themeFillShade="D9"/>
            <w:vAlign w:val="center"/>
          </w:tcPr>
          <w:p w:rsidR="003F3D0F" w:rsidRPr="00132C00" w:rsidRDefault="003F3D0F" w:rsidP="008D403B">
            <w:pPr>
              <w:pStyle w:val="Prrafodelista"/>
              <w:ind w:left="0"/>
              <w:jc w:val="center"/>
              <w:rPr>
                <w:rFonts w:eastAsia="Times New Roman"/>
                <w:b/>
                <w:sz w:val="18"/>
                <w:szCs w:val="24"/>
                <w:lang w:eastAsia="es-SV"/>
              </w:rPr>
            </w:pPr>
            <w:r w:rsidRPr="00132C00">
              <w:rPr>
                <w:rFonts w:eastAsia="Times New Roman"/>
                <w:b/>
                <w:sz w:val="18"/>
                <w:szCs w:val="24"/>
                <w:lang w:eastAsia="es-SV"/>
              </w:rPr>
              <w:t>RESULTADO ALCANZADO</w:t>
            </w:r>
          </w:p>
        </w:tc>
        <w:tc>
          <w:tcPr>
            <w:tcW w:w="2303" w:type="dxa"/>
            <w:shd w:val="clear" w:color="auto" w:fill="D9D9D9" w:themeFill="background1" w:themeFillShade="D9"/>
            <w:vAlign w:val="center"/>
          </w:tcPr>
          <w:p w:rsidR="003F3D0F" w:rsidRPr="00132C00" w:rsidRDefault="003F3D0F" w:rsidP="008D403B">
            <w:pPr>
              <w:pStyle w:val="Prrafodelista"/>
              <w:ind w:left="0"/>
              <w:jc w:val="center"/>
              <w:rPr>
                <w:rFonts w:eastAsia="Times New Roman"/>
                <w:b/>
                <w:sz w:val="18"/>
                <w:szCs w:val="24"/>
                <w:lang w:eastAsia="es-SV"/>
              </w:rPr>
            </w:pPr>
            <w:r w:rsidRPr="00132C00">
              <w:rPr>
                <w:rFonts w:eastAsia="Times New Roman"/>
                <w:b/>
                <w:sz w:val="18"/>
                <w:szCs w:val="24"/>
                <w:lang w:eastAsia="es-SV"/>
              </w:rPr>
              <w:t>PORCENTAJE DE CUMPLIMIENTO</w:t>
            </w:r>
          </w:p>
        </w:tc>
      </w:tr>
      <w:tr w:rsidR="00132C00" w:rsidRPr="00132C00" w:rsidTr="001F502F">
        <w:trPr>
          <w:trHeight w:val="1355"/>
        </w:trPr>
        <w:tc>
          <w:tcPr>
            <w:tcW w:w="2695" w:type="dxa"/>
            <w:gridSpan w:val="2"/>
          </w:tcPr>
          <w:p w:rsidR="003F3D0F" w:rsidRPr="00132C00" w:rsidRDefault="003F3D0F" w:rsidP="008D403B">
            <w:pPr>
              <w:jc w:val="both"/>
              <w:rPr>
                <w:rFonts w:eastAsia="Times New Roman"/>
                <w:sz w:val="18"/>
                <w:szCs w:val="24"/>
                <w:lang w:eastAsia="es-SV"/>
              </w:rPr>
            </w:pPr>
            <w:r w:rsidRPr="00132C00">
              <w:rPr>
                <w:rFonts w:eastAsia="Times New Roman"/>
                <w:b/>
                <w:sz w:val="18"/>
                <w:szCs w:val="24"/>
                <w:lang w:eastAsia="es-SV"/>
              </w:rPr>
              <w:t>DOTS-1a:</w:t>
            </w:r>
            <w:r w:rsidRPr="00132C00">
              <w:rPr>
                <w:rFonts w:eastAsia="Times New Roman"/>
                <w:sz w:val="18"/>
                <w:szCs w:val="24"/>
                <w:lang w:eastAsia="es-SV"/>
              </w:rPr>
              <w:t xml:space="preserve"> Número de casos notificados de tuberculosis (todas las formas) confirmados bacteriológicamente y con diagnóstico clínico, casos nuevos y recaídas.</w:t>
            </w:r>
          </w:p>
          <w:p w:rsidR="003F3D0F" w:rsidRPr="00132C00" w:rsidRDefault="003F3D0F" w:rsidP="003F3D0F">
            <w:pPr>
              <w:pStyle w:val="Prrafodelista"/>
              <w:ind w:left="0"/>
              <w:jc w:val="both"/>
              <w:rPr>
                <w:rFonts w:eastAsia="Times New Roman"/>
                <w:sz w:val="18"/>
                <w:szCs w:val="24"/>
                <w:lang w:eastAsia="es-SV"/>
              </w:rPr>
            </w:pPr>
          </w:p>
        </w:tc>
        <w:tc>
          <w:tcPr>
            <w:tcW w:w="1890" w:type="dxa"/>
            <w:gridSpan w:val="2"/>
            <w:vAlign w:val="center"/>
          </w:tcPr>
          <w:p w:rsidR="003F3D0F" w:rsidRPr="00132C00" w:rsidRDefault="003F3D0F" w:rsidP="003F3D0F">
            <w:pPr>
              <w:pStyle w:val="Prrafodelista"/>
              <w:ind w:left="0"/>
              <w:jc w:val="center"/>
              <w:rPr>
                <w:rFonts w:eastAsia="Times New Roman"/>
                <w:sz w:val="24"/>
                <w:szCs w:val="24"/>
                <w:lang w:eastAsia="es-SV"/>
              </w:rPr>
            </w:pPr>
            <w:r w:rsidRPr="00132C00">
              <w:rPr>
                <w:rFonts w:eastAsia="Times New Roman"/>
                <w:sz w:val="24"/>
                <w:szCs w:val="24"/>
                <w:lang w:eastAsia="es-SV"/>
              </w:rPr>
              <w:t>2,322</w:t>
            </w:r>
          </w:p>
        </w:tc>
        <w:tc>
          <w:tcPr>
            <w:tcW w:w="1943" w:type="dxa"/>
            <w:gridSpan w:val="2"/>
            <w:vAlign w:val="center"/>
          </w:tcPr>
          <w:p w:rsidR="003F3D0F" w:rsidRPr="00132C00" w:rsidRDefault="003F3D0F" w:rsidP="003F3D0F">
            <w:pPr>
              <w:pStyle w:val="Prrafodelista"/>
              <w:ind w:left="0"/>
              <w:jc w:val="center"/>
              <w:rPr>
                <w:rFonts w:eastAsia="Times New Roman"/>
                <w:sz w:val="24"/>
                <w:szCs w:val="24"/>
                <w:lang w:eastAsia="es-SV"/>
              </w:rPr>
            </w:pPr>
            <w:r w:rsidRPr="00132C00">
              <w:rPr>
                <w:rFonts w:eastAsia="Times New Roman"/>
                <w:sz w:val="24"/>
                <w:szCs w:val="24"/>
                <w:lang w:eastAsia="es-SV"/>
              </w:rPr>
              <w:t>3,030</w:t>
            </w:r>
          </w:p>
        </w:tc>
        <w:tc>
          <w:tcPr>
            <w:tcW w:w="2315" w:type="dxa"/>
            <w:gridSpan w:val="2"/>
            <w:vAlign w:val="center"/>
          </w:tcPr>
          <w:p w:rsidR="003F3D0F" w:rsidRPr="00132C00" w:rsidRDefault="003F3D0F" w:rsidP="003F3D0F">
            <w:pPr>
              <w:pStyle w:val="Prrafodelista"/>
              <w:ind w:left="0"/>
              <w:jc w:val="center"/>
              <w:rPr>
                <w:rFonts w:eastAsia="Times New Roman"/>
                <w:sz w:val="24"/>
                <w:szCs w:val="24"/>
                <w:lang w:eastAsia="es-SV"/>
              </w:rPr>
            </w:pPr>
            <w:r w:rsidRPr="00132C00">
              <w:rPr>
                <w:rFonts w:eastAsia="Times New Roman"/>
                <w:sz w:val="24"/>
                <w:szCs w:val="24"/>
                <w:lang w:eastAsia="es-SV"/>
              </w:rPr>
              <w:t>120 %</w:t>
            </w:r>
          </w:p>
        </w:tc>
      </w:tr>
      <w:tr w:rsidR="00132C00" w:rsidRPr="00132C00" w:rsidTr="001F502F">
        <w:trPr>
          <w:trHeight w:val="1505"/>
        </w:trPr>
        <w:tc>
          <w:tcPr>
            <w:tcW w:w="2695" w:type="dxa"/>
            <w:gridSpan w:val="2"/>
          </w:tcPr>
          <w:p w:rsidR="003F3D0F" w:rsidRPr="00132C00" w:rsidRDefault="003F3D0F" w:rsidP="008D403B">
            <w:pPr>
              <w:jc w:val="both"/>
              <w:rPr>
                <w:rFonts w:eastAsia="Times New Roman"/>
                <w:b/>
                <w:sz w:val="18"/>
                <w:szCs w:val="24"/>
                <w:lang w:eastAsia="es-SV"/>
              </w:rPr>
            </w:pPr>
            <w:r w:rsidRPr="00132C00">
              <w:rPr>
                <w:rFonts w:eastAsia="Times New Roman"/>
                <w:b/>
                <w:sz w:val="18"/>
                <w:szCs w:val="24"/>
                <w:lang w:eastAsia="es-SV"/>
              </w:rPr>
              <w:t xml:space="preserve">DOTS-2b: </w:t>
            </w:r>
            <w:r w:rsidRPr="00132C00">
              <w:rPr>
                <w:rFonts w:eastAsia="Times New Roman"/>
                <w:sz w:val="18"/>
                <w:szCs w:val="24"/>
                <w:lang w:eastAsia="es-SV"/>
              </w:rPr>
              <w:t>Porcentaje de casos de tuberculosis confirmados bacteriológicamente que se han tratado con éxito (curados y con tratamiento completo) entre los casos de tuberculosis.</w:t>
            </w:r>
          </w:p>
          <w:p w:rsidR="003F3D0F" w:rsidRPr="00132C00" w:rsidRDefault="003F3D0F" w:rsidP="003F3D0F">
            <w:pPr>
              <w:ind w:left="360"/>
              <w:jc w:val="both"/>
              <w:rPr>
                <w:rFonts w:eastAsia="Times New Roman"/>
                <w:sz w:val="18"/>
                <w:szCs w:val="24"/>
                <w:lang w:eastAsia="es-SV"/>
              </w:rPr>
            </w:pPr>
          </w:p>
        </w:tc>
        <w:tc>
          <w:tcPr>
            <w:tcW w:w="1890" w:type="dxa"/>
            <w:gridSpan w:val="2"/>
            <w:vAlign w:val="center"/>
          </w:tcPr>
          <w:p w:rsidR="003F3D0F" w:rsidRPr="00132C00" w:rsidRDefault="003F3D0F" w:rsidP="003F3D0F">
            <w:pPr>
              <w:pStyle w:val="Prrafodelista"/>
              <w:ind w:left="0"/>
              <w:jc w:val="center"/>
              <w:rPr>
                <w:rFonts w:eastAsia="Times New Roman"/>
                <w:sz w:val="24"/>
                <w:szCs w:val="24"/>
                <w:lang w:eastAsia="es-SV"/>
              </w:rPr>
            </w:pPr>
            <w:r w:rsidRPr="00132C00">
              <w:rPr>
                <w:rFonts w:eastAsia="Times New Roman"/>
                <w:sz w:val="24"/>
                <w:szCs w:val="24"/>
                <w:lang w:eastAsia="es-SV"/>
              </w:rPr>
              <w:t>90 %</w:t>
            </w:r>
          </w:p>
        </w:tc>
        <w:tc>
          <w:tcPr>
            <w:tcW w:w="1943" w:type="dxa"/>
            <w:gridSpan w:val="2"/>
            <w:vAlign w:val="center"/>
          </w:tcPr>
          <w:p w:rsidR="003F3D0F" w:rsidRPr="00132C00" w:rsidRDefault="003F3D0F" w:rsidP="003F3D0F">
            <w:pPr>
              <w:pStyle w:val="Prrafodelista"/>
              <w:ind w:left="0"/>
              <w:jc w:val="center"/>
              <w:rPr>
                <w:rFonts w:eastAsia="Times New Roman"/>
                <w:sz w:val="24"/>
                <w:szCs w:val="24"/>
                <w:lang w:eastAsia="es-SV"/>
              </w:rPr>
            </w:pPr>
            <w:r w:rsidRPr="00132C00">
              <w:rPr>
                <w:rFonts w:eastAsia="Times New Roman"/>
                <w:sz w:val="24"/>
                <w:szCs w:val="24"/>
                <w:lang w:eastAsia="es-SV"/>
              </w:rPr>
              <w:t>94 %</w:t>
            </w:r>
          </w:p>
        </w:tc>
        <w:tc>
          <w:tcPr>
            <w:tcW w:w="2315" w:type="dxa"/>
            <w:gridSpan w:val="2"/>
            <w:vAlign w:val="center"/>
          </w:tcPr>
          <w:p w:rsidR="003F3D0F" w:rsidRPr="00132C00" w:rsidRDefault="003F3D0F" w:rsidP="003F3D0F">
            <w:pPr>
              <w:pStyle w:val="Prrafodelista"/>
              <w:ind w:left="0"/>
              <w:jc w:val="center"/>
              <w:rPr>
                <w:rFonts w:eastAsia="Times New Roman"/>
                <w:sz w:val="24"/>
                <w:szCs w:val="24"/>
                <w:lang w:eastAsia="es-SV"/>
              </w:rPr>
            </w:pPr>
            <w:r w:rsidRPr="00132C00">
              <w:rPr>
                <w:rFonts w:eastAsia="Times New Roman"/>
                <w:sz w:val="24"/>
                <w:szCs w:val="24"/>
                <w:lang w:eastAsia="es-SV"/>
              </w:rPr>
              <w:t>104 %</w:t>
            </w:r>
          </w:p>
        </w:tc>
      </w:tr>
      <w:tr w:rsidR="00132C00" w:rsidRPr="00132C00" w:rsidTr="001F502F">
        <w:trPr>
          <w:trHeight w:val="1654"/>
        </w:trPr>
        <w:tc>
          <w:tcPr>
            <w:tcW w:w="2695" w:type="dxa"/>
            <w:gridSpan w:val="2"/>
          </w:tcPr>
          <w:p w:rsidR="003F3D0F" w:rsidRPr="00132C00" w:rsidRDefault="003F3D0F" w:rsidP="008D403B">
            <w:pPr>
              <w:jc w:val="both"/>
              <w:rPr>
                <w:rFonts w:eastAsia="Times New Roman"/>
                <w:b/>
                <w:sz w:val="18"/>
                <w:szCs w:val="24"/>
                <w:lang w:eastAsia="es-SV"/>
              </w:rPr>
            </w:pPr>
            <w:r w:rsidRPr="00132C00">
              <w:rPr>
                <w:rFonts w:eastAsia="Times New Roman"/>
                <w:b/>
                <w:sz w:val="18"/>
                <w:szCs w:val="24"/>
                <w:lang w:eastAsia="es-SV"/>
              </w:rPr>
              <w:t xml:space="preserve">MDR TB-other1: </w:t>
            </w:r>
            <w:r w:rsidRPr="00132C00">
              <w:rPr>
                <w:rFonts w:eastAsia="Times New Roman"/>
                <w:sz w:val="18"/>
                <w:szCs w:val="24"/>
                <w:lang w:eastAsia="es-SV"/>
              </w:rPr>
              <w:t>Número y porcentaje de pacientes sospechosos de tuberculosis resistente a los fármacos (RR-TB y / o MDR-TB) que se sometieron a pruebas de sensibilidad farmacológica.</w:t>
            </w:r>
            <w:r w:rsidRPr="00132C00">
              <w:rPr>
                <w:rFonts w:eastAsia="Times New Roman"/>
                <w:b/>
                <w:sz w:val="18"/>
                <w:szCs w:val="24"/>
                <w:lang w:eastAsia="es-SV"/>
              </w:rPr>
              <w:t xml:space="preserve"> </w:t>
            </w:r>
          </w:p>
          <w:p w:rsidR="003F3D0F" w:rsidRPr="00132C00" w:rsidRDefault="003F3D0F" w:rsidP="003F3D0F">
            <w:pPr>
              <w:pStyle w:val="Prrafodelista"/>
              <w:ind w:left="0"/>
              <w:jc w:val="both"/>
              <w:rPr>
                <w:rFonts w:eastAsia="Times New Roman"/>
                <w:sz w:val="18"/>
                <w:szCs w:val="24"/>
                <w:lang w:eastAsia="es-SV"/>
              </w:rPr>
            </w:pPr>
          </w:p>
        </w:tc>
        <w:tc>
          <w:tcPr>
            <w:tcW w:w="1890" w:type="dxa"/>
            <w:gridSpan w:val="2"/>
            <w:vAlign w:val="center"/>
          </w:tcPr>
          <w:p w:rsidR="003F3D0F" w:rsidRPr="00132C00" w:rsidRDefault="003F3D0F" w:rsidP="003F3D0F">
            <w:pPr>
              <w:pStyle w:val="Prrafodelista"/>
              <w:ind w:left="0"/>
              <w:jc w:val="center"/>
              <w:rPr>
                <w:rFonts w:eastAsia="Times New Roman"/>
                <w:sz w:val="24"/>
                <w:szCs w:val="24"/>
                <w:lang w:eastAsia="es-SV"/>
              </w:rPr>
            </w:pPr>
            <w:r w:rsidRPr="00132C00">
              <w:rPr>
                <w:rFonts w:eastAsia="Times New Roman"/>
                <w:sz w:val="24"/>
                <w:szCs w:val="24"/>
                <w:lang w:eastAsia="es-SV"/>
              </w:rPr>
              <w:t>70 %</w:t>
            </w:r>
          </w:p>
        </w:tc>
        <w:tc>
          <w:tcPr>
            <w:tcW w:w="1943" w:type="dxa"/>
            <w:gridSpan w:val="2"/>
            <w:vAlign w:val="center"/>
          </w:tcPr>
          <w:p w:rsidR="003F3D0F" w:rsidRPr="00132C00" w:rsidRDefault="0036056E" w:rsidP="003F3D0F">
            <w:pPr>
              <w:pStyle w:val="Prrafodelista"/>
              <w:ind w:left="0"/>
              <w:jc w:val="center"/>
              <w:rPr>
                <w:rFonts w:eastAsia="Times New Roman"/>
                <w:sz w:val="24"/>
                <w:szCs w:val="24"/>
                <w:lang w:eastAsia="es-SV"/>
              </w:rPr>
            </w:pPr>
            <w:r w:rsidRPr="00132C00">
              <w:rPr>
                <w:rFonts w:eastAsia="Times New Roman"/>
                <w:sz w:val="24"/>
                <w:szCs w:val="24"/>
                <w:lang w:eastAsia="es-SV"/>
              </w:rPr>
              <w:t>36.3 %</w:t>
            </w:r>
          </w:p>
        </w:tc>
        <w:tc>
          <w:tcPr>
            <w:tcW w:w="2315" w:type="dxa"/>
            <w:gridSpan w:val="2"/>
            <w:vAlign w:val="center"/>
          </w:tcPr>
          <w:p w:rsidR="003F3D0F" w:rsidRPr="00132C00" w:rsidRDefault="0036056E" w:rsidP="003F3D0F">
            <w:pPr>
              <w:pStyle w:val="Prrafodelista"/>
              <w:ind w:left="0"/>
              <w:jc w:val="center"/>
              <w:rPr>
                <w:rFonts w:eastAsia="Times New Roman"/>
                <w:sz w:val="24"/>
                <w:szCs w:val="24"/>
                <w:lang w:eastAsia="es-SV"/>
              </w:rPr>
            </w:pPr>
            <w:r w:rsidRPr="00132C00">
              <w:rPr>
                <w:rFonts w:eastAsia="Times New Roman"/>
                <w:sz w:val="24"/>
                <w:szCs w:val="24"/>
                <w:lang w:eastAsia="es-SV"/>
              </w:rPr>
              <w:t>52%</w:t>
            </w:r>
          </w:p>
        </w:tc>
      </w:tr>
      <w:tr w:rsidR="00132C00" w:rsidRPr="00132C00" w:rsidTr="001F502F">
        <w:trPr>
          <w:trHeight w:val="1722"/>
        </w:trPr>
        <w:tc>
          <w:tcPr>
            <w:tcW w:w="2695" w:type="dxa"/>
            <w:gridSpan w:val="2"/>
          </w:tcPr>
          <w:p w:rsidR="003F3D0F" w:rsidRPr="00132C00" w:rsidRDefault="003F3D0F" w:rsidP="008D403B">
            <w:pPr>
              <w:jc w:val="both"/>
              <w:rPr>
                <w:rFonts w:eastAsia="Times New Roman"/>
                <w:b/>
                <w:sz w:val="18"/>
                <w:szCs w:val="24"/>
                <w:u w:val="single"/>
                <w:lang w:eastAsia="es-SV"/>
              </w:rPr>
            </w:pPr>
            <w:r w:rsidRPr="00132C00">
              <w:rPr>
                <w:rFonts w:eastAsia="Times New Roman"/>
                <w:b/>
                <w:sz w:val="18"/>
                <w:szCs w:val="24"/>
                <w:lang w:eastAsia="es-SV"/>
              </w:rPr>
              <w:t xml:space="preserve">MDR TB-other2: </w:t>
            </w:r>
            <w:r w:rsidRPr="00132C00">
              <w:rPr>
                <w:rFonts w:eastAsia="Times New Roman"/>
                <w:sz w:val="18"/>
                <w:szCs w:val="24"/>
                <w:lang w:eastAsia="es-SV"/>
              </w:rPr>
              <w:t>Número y porcentaje de casos de TB resistentes a los medicamentos (TB-RR y / o MDR-TB) confirmados durante el último año calendario que están en tratamiento de segunda línea.</w:t>
            </w:r>
          </w:p>
          <w:p w:rsidR="003F3D0F" w:rsidRPr="00132C00" w:rsidRDefault="003F3D0F" w:rsidP="003F3D0F">
            <w:pPr>
              <w:pStyle w:val="Prrafodelista"/>
              <w:ind w:left="0"/>
              <w:jc w:val="both"/>
              <w:rPr>
                <w:rFonts w:eastAsia="Times New Roman"/>
                <w:sz w:val="18"/>
                <w:szCs w:val="24"/>
                <w:lang w:eastAsia="es-SV"/>
              </w:rPr>
            </w:pPr>
          </w:p>
        </w:tc>
        <w:tc>
          <w:tcPr>
            <w:tcW w:w="1890" w:type="dxa"/>
            <w:gridSpan w:val="2"/>
            <w:vAlign w:val="center"/>
          </w:tcPr>
          <w:p w:rsidR="003F3D0F" w:rsidRPr="00132C00" w:rsidRDefault="0036056E" w:rsidP="003F3D0F">
            <w:pPr>
              <w:pStyle w:val="Prrafodelista"/>
              <w:ind w:left="0"/>
              <w:jc w:val="center"/>
              <w:rPr>
                <w:rFonts w:eastAsia="Times New Roman"/>
                <w:sz w:val="24"/>
                <w:szCs w:val="24"/>
                <w:lang w:eastAsia="es-SV"/>
              </w:rPr>
            </w:pPr>
            <w:r w:rsidRPr="00132C00">
              <w:rPr>
                <w:rFonts w:eastAsia="Times New Roman"/>
                <w:sz w:val="24"/>
                <w:szCs w:val="24"/>
                <w:lang w:eastAsia="es-SV"/>
              </w:rPr>
              <w:t xml:space="preserve">100 % </w:t>
            </w:r>
          </w:p>
        </w:tc>
        <w:tc>
          <w:tcPr>
            <w:tcW w:w="1943" w:type="dxa"/>
            <w:gridSpan w:val="2"/>
            <w:vAlign w:val="center"/>
          </w:tcPr>
          <w:p w:rsidR="003F3D0F" w:rsidRPr="00132C00" w:rsidRDefault="0036056E" w:rsidP="003F3D0F">
            <w:pPr>
              <w:pStyle w:val="Prrafodelista"/>
              <w:ind w:left="0"/>
              <w:jc w:val="center"/>
              <w:rPr>
                <w:rFonts w:eastAsia="Times New Roman"/>
                <w:sz w:val="24"/>
                <w:szCs w:val="24"/>
                <w:lang w:eastAsia="es-SV"/>
              </w:rPr>
            </w:pPr>
            <w:r w:rsidRPr="00132C00">
              <w:rPr>
                <w:rFonts w:eastAsia="Times New Roman"/>
                <w:sz w:val="24"/>
                <w:szCs w:val="24"/>
                <w:lang w:eastAsia="es-SV"/>
              </w:rPr>
              <w:t>100 %</w:t>
            </w:r>
          </w:p>
        </w:tc>
        <w:tc>
          <w:tcPr>
            <w:tcW w:w="2315" w:type="dxa"/>
            <w:gridSpan w:val="2"/>
            <w:vAlign w:val="center"/>
          </w:tcPr>
          <w:p w:rsidR="003F3D0F" w:rsidRPr="00132C00" w:rsidRDefault="0036056E" w:rsidP="003F3D0F">
            <w:pPr>
              <w:pStyle w:val="Prrafodelista"/>
              <w:ind w:left="0"/>
              <w:jc w:val="center"/>
              <w:rPr>
                <w:rFonts w:eastAsia="Times New Roman"/>
                <w:sz w:val="24"/>
                <w:szCs w:val="24"/>
                <w:lang w:eastAsia="es-SV"/>
              </w:rPr>
            </w:pPr>
            <w:r w:rsidRPr="00132C00">
              <w:rPr>
                <w:rFonts w:eastAsia="Times New Roman"/>
                <w:sz w:val="24"/>
                <w:szCs w:val="24"/>
                <w:lang w:eastAsia="es-SV"/>
              </w:rPr>
              <w:t>100 %</w:t>
            </w:r>
          </w:p>
        </w:tc>
      </w:tr>
    </w:tbl>
    <w:p w:rsidR="003F3D0F" w:rsidRDefault="003F3D0F" w:rsidP="005B60D8">
      <w:pPr>
        <w:pStyle w:val="Prrafodelista"/>
        <w:jc w:val="both"/>
        <w:rPr>
          <w:rFonts w:eastAsia="Times New Roman"/>
          <w:sz w:val="24"/>
          <w:szCs w:val="24"/>
          <w:lang w:eastAsia="es-SV"/>
        </w:rPr>
      </w:pPr>
    </w:p>
    <w:p w:rsidR="004100BD" w:rsidRDefault="004100BD" w:rsidP="005B60D8">
      <w:pPr>
        <w:pStyle w:val="Prrafodelista"/>
        <w:jc w:val="both"/>
        <w:rPr>
          <w:rFonts w:eastAsia="Times New Roman"/>
          <w:sz w:val="24"/>
          <w:szCs w:val="24"/>
          <w:lang w:eastAsia="es-SV"/>
        </w:rPr>
      </w:pPr>
      <w:r>
        <w:rPr>
          <w:rFonts w:eastAsia="Times New Roman"/>
          <w:sz w:val="24"/>
          <w:szCs w:val="24"/>
          <w:lang w:eastAsia="es-SV"/>
        </w:rPr>
        <w:t>Ventajas</w:t>
      </w:r>
    </w:p>
    <w:p w:rsidR="004100BD" w:rsidRDefault="004100BD" w:rsidP="005B60D8">
      <w:pPr>
        <w:pStyle w:val="Prrafodelista"/>
        <w:jc w:val="both"/>
        <w:rPr>
          <w:sz w:val="24"/>
          <w:szCs w:val="24"/>
        </w:rPr>
      </w:pPr>
      <w:r>
        <w:rPr>
          <w:sz w:val="24"/>
          <w:szCs w:val="24"/>
        </w:rPr>
        <w:t xml:space="preserve">El </w:t>
      </w:r>
      <w:r w:rsidRPr="004100BD">
        <w:rPr>
          <w:sz w:val="24"/>
          <w:szCs w:val="24"/>
        </w:rPr>
        <w:t>RBF</w:t>
      </w:r>
      <w:r>
        <w:rPr>
          <w:sz w:val="24"/>
          <w:szCs w:val="24"/>
        </w:rPr>
        <w:t xml:space="preserve"> ha beneficiado y facilitado la alineación hacia la sostenibilidad, puesto que una vez determinadas actividades o tareas son puestas en los presupuestos nacionales, éstos continúan apareciendo los próximos años y se convierten en una sostenibilidad permanente; siendo el RBF quien financia parte del presupuesto del PENMTB, la integración de este financiamiento al quehacer nacional se vuelve parte de éste.</w:t>
      </w:r>
    </w:p>
    <w:p w:rsidR="000004E0" w:rsidRPr="000004E0" w:rsidRDefault="000004E0" w:rsidP="000004E0">
      <w:pPr>
        <w:pStyle w:val="HTMLconformatoprevio"/>
        <w:shd w:val="clear" w:color="auto" w:fill="FFFFFF"/>
        <w:tabs>
          <w:tab w:val="clear" w:pos="916"/>
          <w:tab w:val="left" w:pos="709"/>
        </w:tabs>
        <w:ind w:left="708"/>
        <w:jc w:val="both"/>
        <w:rPr>
          <w:rFonts w:asciiTheme="minorHAnsi" w:eastAsiaTheme="minorHAnsi" w:hAnsiTheme="minorHAnsi" w:cstheme="minorBidi"/>
          <w:sz w:val="24"/>
          <w:szCs w:val="24"/>
          <w:highlight w:val="yellow"/>
          <w:lang w:eastAsia="en-US"/>
        </w:rPr>
      </w:pPr>
    </w:p>
    <w:p w:rsidR="0036056E" w:rsidRPr="00520B70" w:rsidRDefault="0036056E" w:rsidP="005B60D8">
      <w:pPr>
        <w:pStyle w:val="Prrafodelista"/>
        <w:jc w:val="both"/>
        <w:rPr>
          <w:b/>
          <w:sz w:val="24"/>
          <w:szCs w:val="24"/>
        </w:rPr>
      </w:pPr>
      <w:r w:rsidRPr="00520B70">
        <w:rPr>
          <w:b/>
          <w:sz w:val="24"/>
          <w:szCs w:val="24"/>
        </w:rPr>
        <w:t xml:space="preserve">Cuáles han sido </w:t>
      </w:r>
      <w:r w:rsidR="004100BD" w:rsidRPr="00520B70">
        <w:rPr>
          <w:b/>
          <w:sz w:val="24"/>
          <w:szCs w:val="24"/>
        </w:rPr>
        <w:t>lo</w:t>
      </w:r>
      <w:r w:rsidRPr="00520B70">
        <w:rPr>
          <w:b/>
          <w:sz w:val="24"/>
          <w:szCs w:val="24"/>
        </w:rPr>
        <w:t>s desafíos del Financiamiento basado en Resultado (RBF) en El Salvador.</w:t>
      </w:r>
    </w:p>
    <w:p w:rsidR="0036056E" w:rsidRPr="00132C00" w:rsidRDefault="0036056E" w:rsidP="005B60D8">
      <w:pPr>
        <w:pStyle w:val="Prrafodelista"/>
        <w:jc w:val="both"/>
      </w:pPr>
    </w:p>
    <w:p w:rsidR="004100BD" w:rsidRDefault="00227BA1" w:rsidP="00AC7AFA">
      <w:pPr>
        <w:pStyle w:val="Prrafodelista"/>
        <w:jc w:val="both"/>
        <w:rPr>
          <w:rFonts w:eastAsia="Times New Roman"/>
          <w:sz w:val="24"/>
          <w:szCs w:val="24"/>
          <w:lang w:eastAsia="es-SV"/>
        </w:rPr>
      </w:pPr>
      <w:r>
        <w:rPr>
          <w:rFonts w:eastAsia="Times New Roman"/>
          <w:sz w:val="24"/>
          <w:szCs w:val="24"/>
          <w:lang w:eastAsia="es-SV"/>
        </w:rPr>
        <w:t xml:space="preserve">Uno de los desafíos para el modelo </w:t>
      </w:r>
      <w:r w:rsidR="004100BD" w:rsidRPr="00132C00">
        <w:rPr>
          <w:rFonts w:eastAsia="Times New Roman"/>
          <w:sz w:val="24"/>
          <w:szCs w:val="24"/>
          <w:lang w:eastAsia="es-SV"/>
        </w:rPr>
        <w:t xml:space="preserve">ha sido alinear a otras instituciones para que hagan del control de la TB una prioridad y cumplan </w:t>
      </w:r>
      <w:r w:rsidR="004100BD">
        <w:rPr>
          <w:rFonts w:eastAsia="Times New Roman"/>
          <w:sz w:val="24"/>
          <w:szCs w:val="24"/>
          <w:lang w:eastAsia="es-SV"/>
        </w:rPr>
        <w:t xml:space="preserve">con los propósitos, metas y objetivos </w:t>
      </w:r>
      <w:r w:rsidR="004100BD" w:rsidRPr="00132C00">
        <w:rPr>
          <w:rFonts w:eastAsia="Times New Roman"/>
          <w:sz w:val="24"/>
          <w:szCs w:val="24"/>
          <w:lang w:eastAsia="es-SV"/>
        </w:rPr>
        <w:t>programad</w:t>
      </w:r>
      <w:r w:rsidR="00C81759">
        <w:rPr>
          <w:rFonts w:eastAsia="Times New Roman"/>
          <w:sz w:val="24"/>
          <w:szCs w:val="24"/>
          <w:lang w:eastAsia="es-SV"/>
        </w:rPr>
        <w:t>os</w:t>
      </w:r>
      <w:r w:rsidR="004100BD">
        <w:rPr>
          <w:rFonts w:eastAsia="Times New Roman"/>
          <w:sz w:val="24"/>
          <w:szCs w:val="24"/>
          <w:lang w:eastAsia="es-SV"/>
        </w:rPr>
        <w:t xml:space="preserve"> y </w:t>
      </w:r>
      <w:r>
        <w:rPr>
          <w:rFonts w:eastAsia="Times New Roman"/>
          <w:sz w:val="24"/>
          <w:szCs w:val="24"/>
          <w:lang w:eastAsia="es-SV"/>
        </w:rPr>
        <w:t xml:space="preserve">mantengan la calidad del dato </w:t>
      </w:r>
      <w:r w:rsidR="004100BD">
        <w:rPr>
          <w:rFonts w:eastAsia="Times New Roman"/>
          <w:sz w:val="24"/>
          <w:szCs w:val="24"/>
          <w:lang w:eastAsia="es-SV"/>
        </w:rPr>
        <w:t xml:space="preserve">necesaria para el reporte de indicadores </w:t>
      </w:r>
      <w:r w:rsidR="004100BD">
        <w:rPr>
          <w:rFonts w:eastAsia="Times New Roman"/>
          <w:sz w:val="24"/>
          <w:szCs w:val="24"/>
          <w:lang w:eastAsia="es-SV"/>
        </w:rPr>
        <w:lastRenderedPageBreak/>
        <w:t xml:space="preserve">contractuales, </w:t>
      </w:r>
      <w:r w:rsidR="005A4329">
        <w:rPr>
          <w:rFonts w:eastAsia="Times New Roman"/>
          <w:sz w:val="24"/>
          <w:szCs w:val="24"/>
          <w:lang w:eastAsia="es-SV"/>
        </w:rPr>
        <w:t>ya que,</w:t>
      </w:r>
      <w:r w:rsidR="004100BD">
        <w:rPr>
          <w:rFonts w:eastAsia="Times New Roman"/>
          <w:sz w:val="24"/>
          <w:szCs w:val="24"/>
          <w:lang w:eastAsia="es-SV"/>
        </w:rPr>
        <w:t xml:space="preserve"> siendo una subvención de país</w:t>
      </w:r>
      <w:r w:rsidR="005A4329">
        <w:rPr>
          <w:rFonts w:eastAsia="Times New Roman"/>
          <w:sz w:val="24"/>
          <w:szCs w:val="24"/>
          <w:lang w:eastAsia="es-SV"/>
        </w:rPr>
        <w:t>, todas las instituciones deben aportar por un fin común y el país no sea penalizado con los siguientes desembolsos.</w:t>
      </w:r>
    </w:p>
    <w:p w:rsidR="005A4329" w:rsidRDefault="005A4329" w:rsidP="00AC7AFA">
      <w:pPr>
        <w:pStyle w:val="Prrafodelista"/>
        <w:jc w:val="both"/>
        <w:rPr>
          <w:rFonts w:eastAsia="Times New Roman"/>
          <w:sz w:val="24"/>
          <w:szCs w:val="24"/>
          <w:lang w:eastAsia="es-SV"/>
        </w:rPr>
      </w:pPr>
    </w:p>
    <w:p w:rsidR="0036056E" w:rsidRDefault="005A4329" w:rsidP="005A4329">
      <w:pPr>
        <w:pStyle w:val="Prrafodelista"/>
        <w:jc w:val="both"/>
        <w:rPr>
          <w:rFonts w:eastAsia="Times New Roman"/>
          <w:sz w:val="24"/>
          <w:szCs w:val="24"/>
          <w:lang w:eastAsia="es-SV"/>
        </w:rPr>
      </w:pPr>
      <w:r>
        <w:rPr>
          <w:rFonts w:eastAsia="Times New Roman"/>
          <w:sz w:val="24"/>
          <w:szCs w:val="24"/>
          <w:lang w:eastAsia="es-SV"/>
        </w:rPr>
        <w:t>También este modelo representa una oportunidad para que el resto de instituciones sistematicen y mantengan la calidad de</w:t>
      </w:r>
      <w:r w:rsidR="00C81759">
        <w:rPr>
          <w:rFonts w:eastAsia="Times New Roman"/>
          <w:sz w:val="24"/>
          <w:szCs w:val="24"/>
          <w:lang w:eastAsia="es-SV"/>
        </w:rPr>
        <w:t xml:space="preserve">l dato para </w:t>
      </w:r>
      <w:r>
        <w:rPr>
          <w:rFonts w:eastAsia="Times New Roman"/>
          <w:sz w:val="24"/>
          <w:szCs w:val="24"/>
          <w:lang w:eastAsia="es-SV"/>
        </w:rPr>
        <w:t xml:space="preserve">todos los indicadores </w:t>
      </w:r>
      <w:r w:rsidR="00AC7AFA" w:rsidRPr="005A4329">
        <w:rPr>
          <w:rFonts w:eastAsia="Times New Roman"/>
          <w:sz w:val="24"/>
          <w:szCs w:val="24"/>
          <w:lang w:eastAsia="es-SV"/>
        </w:rPr>
        <w:t>contractuales con el Fondo Mundial</w:t>
      </w:r>
      <w:r w:rsidR="00C81759">
        <w:rPr>
          <w:rFonts w:eastAsia="Times New Roman"/>
          <w:sz w:val="24"/>
          <w:szCs w:val="24"/>
          <w:lang w:eastAsia="es-SV"/>
        </w:rPr>
        <w:t>,</w:t>
      </w:r>
      <w:r w:rsidR="00AC7AFA" w:rsidRPr="005A4329">
        <w:rPr>
          <w:rFonts w:eastAsia="Times New Roman"/>
          <w:sz w:val="24"/>
          <w:szCs w:val="24"/>
          <w:lang w:eastAsia="es-SV"/>
        </w:rPr>
        <w:t xml:space="preserve"> de igual forma la recolección rutinaria de </w:t>
      </w:r>
      <w:r w:rsidR="00C81759">
        <w:rPr>
          <w:rFonts w:eastAsia="Times New Roman"/>
          <w:sz w:val="24"/>
          <w:szCs w:val="24"/>
          <w:lang w:eastAsia="es-SV"/>
        </w:rPr>
        <w:t xml:space="preserve">datos de calidad </w:t>
      </w:r>
      <w:r w:rsidR="00AC7AFA" w:rsidRPr="005A4329">
        <w:rPr>
          <w:rFonts w:eastAsia="Times New Roman"/>
          <w:sz w:val="24"/>
          <w:szCs w:val="24"/>
          <w:lang w:eastAsia="es-SV"/>
        </w:rPr>
        <w:t>representa un reto</w:t>
      </w:r>
      <w:r w:rsidR="00C81759">
        <w:rPr>
          <w:rFonts w:eastAsia="Times New Roman"/>
          <w:sz w:val="24"/>
          <w:szCs w:val="24"/>
          <w:lang w:eastAsia="es-SV"/>
        </w:rPr>
        <w:t xml:space="preserve"> para la </w:t>
      </w:r>
      <w:r w:rsidR="00AC7AFA" w:rsidRPr="005A4329">
        <w:rPr>
          <w:rFonts w:eastAsia="Times New Roman"/>
          <w:sz w:val="24"/>
          <w:szCs w:val="24"/>
          <w:lang w:eastAsia="es-SV"/>
        </w:rPr>
        <w:t>sostenibilidad y en el ámbito financiero el mayor desafío es la sostenibilidad de las intervenciones asegurando o incrementando los recursos para los próximos años; tal como lo muestra el MEGA TB</w:t>
      </w:r>
      <w:r>
        <w:rPr>
          <w:rFonts w:eastAsia="Times New Roman"/>
          <w:sz w:val="24"/>
          <w:szCs w:val="24"/>
          <w:lang w:eastAsia="es-SV"/>
        </w:rPr>
        <w:t>,</w:t>
      </w:r>
      <w:r w:rsidR="00AC7AFA" w:rsidRPr="005A4329">
        <w:rPr>
          <w:rFonts w:eastAsia="Times New Roman"/>
          <w:sz w:val="24"/>
          <w:szCs w:val="24"/>
          <w:lang w:eastAsia="es-SV"/>
        </w:rPr>
        <w:t xml:space="preserve"> el país ha cumplido con una inversión adicional mayor al 15%, con aportes domésticos o nacionales. </w:t>
      </w:r>
    </w:p>
    <w:p w:rsidR="00C81759" w:rsidRPr="005A4329" w:rsidRDefault="00C81759" w:rsidP="005A4329">
      <w:pPr>
        <w:pStyle w:val="Prrafodelista"/>
        <w:jc w:val="both"/>
        <w:rPr>
          <w:rFonts w:eastAsia="Times New Roman"/>
          <w:sz w:val="24"/>
          <w:szCs w:val="24"/>
          <w:lang w:eastAsia="es-SV"/>
        </w:rPr>
      </w:pPr>
    </w:p>
    <w:p w:rsidR="008D403B" w:rsidRPr="005B60D8" w:rsidRDefault="00703466" w:rsidP="008D403B">
      <w:pPr>
        <w:pStyle w:val="Prrafodelista"/>
        <w:numPr>
          <w:ilvl w:val="0"/>
          <w:numId w:val="1"/>
        </w:numPr>
        <w:rPr>
          <w:b/>
          <w:sz w:val="28"/>
          <w:szCs w:val="28"/>
        </w:rPr>
      </w:pPr>
      <w:r>
        <w:rPr>
          <w:b/>
          <w:sz w:val="28"/>
          <w:szCs w:val="28"/>
        </w:rPr>
        <w:t>Resultados</w:t>
      </w:r>
      <w:r w:rsidR="008D403B">
        <w:rPr>
          <w:b/>
          <w:sz w:val="28"/>
          <w:szCs w:val="28"/>
        </w:rPr>
        <w:t xml:space="preserve"> del Financiamiento Basado en Resultados (RBF) en El Salvador.</w:t>
      </w:r>
    </w:p>
    <w:p w:rsidR="00703466" w:rsidRDefault="00703466" w:rsidP="005B60D8">
      <w:pPr>
        <w:pStyle w:val="Prrafodelista"/>
        <w:jc w:val="both"/>
        <w:rPr>
          <w:sz w:val="24"/>
          <w:szCs w:val="28"/>
        </w:rPr>
      </w:pPr>
    </w:p>
    <w:p w:rsidR="00E50E50" w:rsidRPr="001F502F" w:rsidRDefault="008D403B" w:rsidP="001707E3">
      <w:pPr>
        <w:pStyle w:val="Prrafodelista"/>
        <w:jc w:val="both"/>
        <w:rPr>
          <w:rFonts w:eastAsia="Times New Roman"/>
          <w:sz w:val="24"/>
          <w:szCs w:val="24"/>
          <w:lang w:eastAsia="es-SV"/>
        </w:rPr>
      </w:pPr>
      <w:r w:rsidRPr="001F502F">
        <w:rPr>
          <w:rFonts w:eastAsia="Times New Roman"/>
          <w:sz w:val="24"/>
          <w:szCs w:val="24"/>
          <w:lang w:eastAsia="es-SV"/>
        </w:rPr>
        <w:t>Algunos de los principales resultados del Financiamiento Basado en Resultados (R</w:t>
      </w:r>
      <w:r w:rsidR="00A403D6">
        <w:rPr>
          <w:rFonts w:eastAsia="Times New Roman"/>
          <w:sz w:val="24"/>
          <w:szCs w:val="24"/>
          <w:lang w:eastAsia="es-SV"/>
        </w:rPr>
        <w:t>B</w:t>
      </w:r>
      <w:r w:rsidRPr="001F502F">
        <w:rPr>
          <w:rFonts w:eastAsia="Times New Roman"/>
          <w:sz w:val="24"/>
          <w:szCs w:val="24"/>
          <w:lang w:eastAsia="es-SV"/>
        </w:rPr>
        <w:t>F) en El Salvador</w:t>
      </w:r>
      <w:r w:rsidR="001707E3" w:rsidRPr="001F502F">
        <w:rPr>
          <w:rFonts w:eastAsia="Times New Roman"/>
          <w:sz w:val="24"/>
          <w:szCs w:val="24"/>
          <w:lang w:eastAsia="es-SV"/>
        </w:rPr>
        <w:t xml:space="preserve"> como piloto </w:t>
      </w:r>
      <w:r w:rsidRPr="001F502F">
        <w:rPr>
          <w:rFonts w:eastAsia="Times New Roman"/>
          <w:sz w:val="24"/>
          <w:szCs w:val="24"/>
          <w:lang w:eastAsia="es-SV"/>
        </w:rPr>
        <w:t xml:space="preserve">de país </w:t>
      </w:r>
      <w:r w:rsidR="001707E3" w:rsidRPr="001F502F">
        <w:rPr>
          <w:rFonts w:eastAsia="Times New Roman"/>
          <w:sz w:val="24"/>
          <w:szCs w:val="24"/>
          <w:lang w:eastAsia="es-SV"/>
        </w:rPr>
        <w:t xml:space="preserve">para </w:t>
      </w:r>
      <w:r w:rsidRPr="001F502F">
        <w:rPr>
          <w:rFonts w:eastAsia="Times New Roman"/>
          <w:sz w:val="24"/>
          <w:szCs w:val="24"/>
          <w:lang w:eastAsia="es-SV"/>
        </w:rPr>
        <w:t>este modelo son entre otros</w:t>
      </w:r>
      <w:r w:rsidR="00E50E50" w:rsidRPr="001F502F">
        <w:rPr>
          <w:rFonts w:eastAsia="Times New Roman"/>
          <w:sz w:val="24"/>
          <w:szCs w:val="24"/>
          <w:lang w:eastAsia="es-SV"/>
        </w:rPr>
        <w:t>:</w:t>
      </w:r>
    </w:p>
    <w:p w:rsidR="00E50E50" w:rsidRPr="001F502F" w:rsidRDefault="00E50E50" w:rsidP="00E50E50">
      <w:pPr>
        <w:pStyle w:val="Prrafodelista"/>
        <w:numPr>
          <w:ilvl w:val="0"/>
          <w:numId w:val="12"/>
        </w:numPr>
        <w:jc w:val="both"/>
        <w:rPr>
          <w:rFonts w:eastAsia="Times New Roman"/>
          <w:sz w:val="24"/>
          <w:szCs w:val="24"/>
          <w:lang w:eastAsia="es-SV"/>
        </w:rPr>
      </w:pPr>
      <w:r w:rsidRPr="001F502F">
        <w:rPr>
          <w:rFonts w:eastAsia="Times New Roman"/>
          <w:sz w:val="24"/>
          <w:szCs w:val="24"/>
          <w:lang w:eastAsia="es-SV"/>
        </w:rPr>
        <w:t xml:space="preserve">Agilidad en los desembolsos tanto en tiempo como en las cantidades establecidas lo que permitió adquisición de bienes y servicios de forma ágil debido que se </w:t>
      </w:r>
      <w:r w:rsidR="002C47B3">
        <w:rPr>
          <w:rFonts w:eastAsia="Times New Roman"/>
          <w:sz w:val="24"/>
          <w:szCs w:val="24"/>
          <w:lang w:eastAsia="es-SV"/>
        </w:rPr>
        <w:t>cuenta</w:t>
      </w:r>
      <w:r w:rsidRPr="001F502F">
        <w:rPr>
          <w:rFonts w:eastAsia="Times New Roman"/>
          <w:sz w:val="24"/>
          <w:szCs w:val="24"/>
          <w:lang w:eastAsia="es-SV"/>
        </w:rPr>
        <w:t xml:space="preserve"> con recursos financieros de forma oportuna.</w:t>
      </w:r>
    </w:p>
    <w:p w:rsidR="00E50E50" w:rsidRPr="001F502F" w:rsidRDefault="00E50E50" w:rsidP="00E50E50">
      <w:pPr>
        <w:pStyle w:val="Prrafodelista"/>
        <w:numPr>
          <w:ilvl w:val="0"/>
          <w:numId w:val="12"/>
        </w:numPr>
        <w:jc w:val="both"/>
        <w:rPr>
          <w:rFonts w:eastAsia="Times New Roman"/>
          <w:sz w:val="24"/>
          <w:szCs w:val="24"/>
          <w:lang w:eastAsia="es-SV"/>
        </w:rPr>
      </w:pPr>
      <w:r w:rsidRPr="001F502F">
        <w:rPr>
          <w:rFonts w:eastAsia="Times New Roman"/>
          <w:sz w:val="24"/>
          <w:szCs w:val="24"/>
          <w:lang w:eastAsia="es-SV"/>
        </w:rPr>
        <w:t>Flexibilidad para la toma de decisión local en la reprogramación, recalendarización y usos de los fondos en las áreas que mejor impacto ofrecen y resultados que contribuyen al logro de los objetivos y metas firmada en la subvención.</w:t>
      </w:r>
    </w:p>
    <w:p w:rsidR="00E50E50" w:rsidRPr="001F502F" w:rsidRDefault="00E50E50" w:rsidP="00E50E50">
      <w:pPr>
        <w:pStyle w:val="Prrafodelista"/>
        <w:numPr>
          <w:ilvl w:val="0"/>
          <w:numId w:val="12"/>
        </w:numPr>
        <w:jc w:val="both"/>
        <w:rPr>
          <w:rFonts w:eastAsia="Times New Roman"/>
          <w:sz w:val="24"/>
          <w:szCs w:val="24"/>
          <w:lang w:eastAsia="es-SV"/>
        </w:rPr>
      </w:pPr>
      <w:r w:rsidRPr="001F502F">
        <w:rPr>
          <w:rFonts w:eastAsia="Times New Roman"/>
          <w:sz w:val="24"/>
          <w:szCs w:val="24"/>
          <w:lang w:eastAsia="es-SV"/>
        </w:rPr>
        <w:t xml:space="preserve"> V</w:t>
      </w:r>
      <w:r w:rsidR="001707E3" w:rsidRPr="001F502F">
        <w:rPr>
          <w:rFonts w:eastAsia="Times New Roman"/>
          <w:sz w:val="24"/>
          <w:szCs w:val="24"/>
          <w:lang w:eastAsia="es-SV"/>
        </w:rPr>
        <w:t xml:space="preserve">alor agregado </w:t>
      </w:r>
      <w:r w:rsidRPr="001F502F">
        <w:rPr>
          <w:rFonts w:eastAsia="Times New Roman"/>
          <w:sz w:val="24"/>
          <w:szCs w:val="24"/>
          <w:lang w:eastAsia="es-SV"/>
        </w:rPr>
        <w:t>y/</w:t>
      </w:r>
      <w:r w:rsidR="001707E3" w:rsidRPr="001F502F">
        <w:rPr>
          <w:rFonts w:eastAsia="Times New Roman"/>
          <w:sz w:val="24"/>
          <w:szCs w:val="24"/>
          <w:lang w:eastAsia="es-SV"/>
        </w:rPr>
        <w:t xml:space="preserve">o </w:t>
      </w:r>
      <w:r w:rsidRPr="001F502F">
        <w:rPr>
          <w:rFonts w:eastAsia="Times New Roman"/>
          <w:sz w:val="24"/>
          <w:szCs w:val="24"/>
          <w:lang w:eastAsia="es-SV"/>
        </w:rPr>
        <w:t xml:space="preserve">economía en escala en la compra de bienes y servicios, debido a que con anticipación el país </w:t>
      </w:r>
      <w:r w:rsidR="002C47B3">
        <w:rPr>
          <w:rFonts w:eastAsia="Times New Roman"/>
          <w:sz w:val="24"/>
          <w:szCs w:val="24"/>
          <w:lang w:eastAsia="es-SV"/>
        </w:rPr>
        <w:t>cuenta</w:t>
      </w:r>
      <w:r w:rsidRPr="001F502F">
        <w:rPr>
          <w:rFonts w:eastAsia="Times New Roman"/>
          <w:sz w:val="24"/>
          <w:szCs w:val="24"/>
          <w:lang w:eastAsia="es-SV"/>
        </w:rPr>
        <w:t xml:space="preserve"> con recursos financieros para el inicio de todos estos procesos.</w:t>
      </w:r>
    </w:p>
    <w:p w:rsidR="00E50E50" w:rsidRPr="001F502F" w:rsidRDefault="00E50E50" w:rsidP="00E50E50">
      <w:pPr>
        <w:pStyle w:val="Prrafodelista"/>
        <w:numPr>
          <w:ilvl w:val="0"/>
          <w:numId w:val="12"/>
        </w:numPr>
        <w:jc w:val="both"/>
        <w:rPr>
          <w:rFonts w:eastAsia="Times New Roman"/>
          <w:sz w:val="24"/>
          <w:szCs w:val="24"/>
          <w:lang w:eastAsia="es-SV"/>
        </w:rPr>
      </w:pPr>
      <w:r w:rsidRPr="001F502F">
        <w:rPr>
          <w:rFonts w:eastAsia="Times New Roman"/>
          <w:sz w:val="24"/>
          <w:szCs w:val="24"/>
          <w:lang w:eastAsia="es-SV"/>
        </w:rPr>
        <w:t>Verificación administrativa, técnica y financiera por i</w:t>
      </w:r>
      <w:r w:rsidR="002C47B3">
        <w:rPr>
          <w:rFonts w:eastAsia="Times New Roman"/>
          <w:sz w:val="24"/>
          <w:szCs w:val="24"/>
          <w:lang w:eastAsia="es-SV"/>
        </w:rPr>
        <w:t>nstituciones nacionales como Corte de Cuentas</w:t>
      </w:r>
      <w:r w:rsidRPr="001F502F">
        <w:rPr>
          <w:rFonts w:eastAsia="Times New Roman"/>
          <w:sz w:val="24"/>
          <w:szCs w:val="24"/>
          <w:lang w:eastAsia="es-SV"/>
        </w:rPr>
        <w:t xml:space="preserve"> que ha permitido mostrar el buen uso de los fondos la transparencia con los que estos son ejecutados.</w:t>
      </w:r>
    </w:p>
    <w:p w:rsidR="001707E3" w:rsidRPr="001F502F" w:rsidRDefault="007C789B" w:rsidP="00E50E50">
      <w:pPr>
        <w:pStyle w:val="Prrafodelista"/>
        <w:numPr>
          <w:ilvl w:val="0"/>
          <w:numId w:val="12"/>
        </w:numPr>
        <w:jc w:val="both"/>
        <w:rPr>
          <w:rFonts w:eastAsia="Times New Roman"/>
          <w:sz w:val="24"/>
          <w:szCs w:val="24"/>
          <w:lang w:eastAsia="es-SV"/>
        </w:rPr>
      </w:pPr>
      <w:r>
        <w:rPr>
          <w:rFonts w:eastAsia="Times New Roman"/>
          <w:sz w:val="24"/>
          <w:szCs w:val="24"/>
          <w:lang w:eastAsia="es-SV"/>
        </w:rPr>
        <w:t>El presupuesto en este modelo siendo una sola línea (Basado en Resultados)</w:t>
      </w:r>
      <w:r w:rsidR="00505249">
        <w:rPr>
          <w:rFonts w:eastAsia="Times New Roman"/>
          <w:sz w:val="24"/>
          <w:szCs w:val="24"/>
          <w:lang w:eastAsia="es-SV"/>
        </w:rPr>
        <w:t xml:space="preserve"> resulta ser más fácil su manejo</w:t>
      </w:r>
      <w:r w:rsidR="00F25DC7">
        <w:rPr>
          <w:rFonts w:eastAsia="Times New Roman"/>
          <w:sz w:val="24"/>
          <w:szCs w:val="24"/>
          <w:lang w:eastAsia="es-SV"/>
        </w:rPr>
        <w:t xml:space="preserve"> y seguimiento así como l</w:t>
      </w:r>
      <w:r w:rsidR="00061B4F">
        <w:rPr>
          <w:rFonts w:eastAsia="Times New Roman"/>
          <w:sz w:val="24"/>
          <w:szCs w:val="24"/>
          <w:lang w:eastAsia="es-SV"/>
        </w:rPr>
        <w:t>os</w:t>
      </w:r>
      <w:r w:rsidR="00E50E50" w:rsidRPr="001F502F">
        <w:rPr>
          <w:rFonts w:eastAsia="Times New Roman"/>
          <w:sz w:val="24"/>
          <w:szCs w:val="24"/>
          <w:lang w:eastAsia="es-SV"/>
        </w:rPr>
        <w:t xml:space="preserve"> </w:t>
      </w:r>
      <w:r w:rsidR="001707E3" w:rsidRPr="001F502F">
        <w:rPr>
          <w:rFonts w:eastAsia="Times New Roman"/>
          <w:sz w:val="24"/>
          <w:szCs w:val="24"/>
          <w:lang w:eastAsia="es-SV"/>
        </w:rPr>
        <w:t>informes PUDR que han sido de forma anual</w:t>
      </w:r>
      <w:r w:rsidR="00F25DC7">
        <w:rPr>
          <w:rFonts w:eastAsia="Times New Roman"/>
          <w:sz w:val="24"/>
          <w:szCs w:val="24"/>
          <w:lang w:eastAsia="es-SV"/>
        </w:rPr>
        <w:t xml:space="preserve"> </w:t>
      </w:r>
      <w:r w:rsidR="001707E3" w:rsidRPr="001F502F">
        <w:rPr>
          <w:rFonts w:eastAsia="Times New Roman"/>
          <w:sz w:val="24"/>
          <w:szCs w:val="24"/>
          <w:lang w:eastAsia="es-SV"/>
        </w:rPr>
        <w:t>para el periodo fiscal</w:t>
      </w:r>
      <w:r w:rsidR="00132C00" w:rsidRPr="001F502F">
        <w:rPr>
          <w:rFonts w:eastAsia="Times New Roman"/>
          <w:sz w:val="24"/>
          <w:szCs w:val="24"/>
          <w:lang w:eastAsia="es-SV"/>
        </w:rPr>
        <w:t xml:space="preserve">, </w:t>
      </w:r>
      <w:r w:rsidR="00F25DC7">
        <w:rPr>
          <w:rFonts w:eastAsia="Times New Roman"/>
          <w:sz w:val="24"/>
          <w:szCs w:val="24"/>
          <w:lang w:eastAsia="es-SV"/>
        </w:rPr>
        <w:t xml:space="preserve">igualmente </w:t>
      </w:r>
      <w:r w:rsidR="00132C00" w:rsidRPr="001F502F">
        <w:rPr>
          <w:rFonts w:eastAsia="Times New Roman"/>
          <w:sz w:val="24"/>
          <w:szCs w:val="24"/>
          <w:lang w:eastAsia="es-SV"/>
        </w:rPr>
        <w:t>el reporte de indicadores epidemiológicos y programáticos con base al año fiscal</w:t>
      </w:r>
      <w:r w:rsidR="001707E3" w:rsidRPr="001F502F">
        <w:rPr>
          <w:rFonts w:eastAsia="Times New Roman"/>
          <w:sz w:val="24"/>
          <w:szCs w:val="24"/>
          <w:lang w:eastAsia="es-SV"/>
        </w:rPr>
        <w:t>.</w:t>
      </w:r>
    </w:p>
    <w:p w:rsidR="001707E3" w:rsidRDefault="001707E3" w:rsidP="00A32267">
      <w:pPr>
        <w:pStyle w:val="Prrafodelista"/>
        <w:rPr>
          <w:sz w:val="28"/>
          <w:szCs w:val="28"/>
        </w:rPr>
      </w:pPr>
    </w:p>
    <w:p w:rsidR="008D403B" w:rsidRPr="005B60D8" w:rsidRDefault="008D403B" w:rsidP="008D403B">
      <w:pPr>
        <w:pStyle w:val="Prrafodelista"/>
        <w:numPr>
          <w:ilvl w:val="0"/>
          <w:numId w:val="1"/>
        </w:numPr>
        <w:rPr>
          <w:b/>
          <w:sz w:val="28"/>
          <w:szCs w:val="28"/>
        </w:rPr>
      </w:pPr>
      <w:r>
        <w:rPr>
          <w:b/>
          <w:sz w:val="28"/>
          <w:szCs w:val="28"/>
        </w:rPr>
        <w:t>Financiamiento Basado en Resultados (RBF) en El Salvador.</w:t>
      </w:r>
    </w:p>
    <w:p w:rsidR="00A32267" w:rsidRPr="00925EE0" w:rsidRDefault="00925EE0" w:rsidP="00925EE0">
      <w:pPr>
        <w:ind w:left="708"/>
        <w:rPr>
          <w:sz w:val="24"/>
          <w:szCs w:val="28"/>
        </w:rPr>
      </w:pPr>
      <w:r w:rsidRPr="00925EE0">
        <w:rPr>
          <w:sz w:val="24"/>
          <w:szCs w:val="28"/>
        </w:rPr>
        <w:t>Conclusiones:</w:t>
      </w:r>
    </w:p>
    <w:p w:rsidR="005A4329" w:rsidRDefault="005A4329" w:rsidP="00655851">
      <w:pPr>
        <w:pStyle w:val="Prrafodelista"/>
        <w:numPr>
          <w:ilvl w:val="0"/>
          <w:numId w:val="13"/>
        </w:numPr>
        <w:jc w:val="both"/>
        <w:rPr>
          <w:sz w:val="24"/>
          <w:szCs w:val="28"/>
        </w:rPr>
      </w:pPr>
      <w:r>
        <w:rPr>
          <w:sz w:val="24"/>
          <w:szCs w:val="28"/>
        </w:rPr>
        <w:t xml:space="preserve">El </w:t>
      </w:r>
      <w:r w:rsidR="00A403D6">
        <w:rPr>
          <w:sz w:val="24"/>
          <w:szCs w:val="28"/>
        </w:rPr>
        <w:t>RB</w:t>
      </w:r>
      <w:r>
        <w:rPr>
          <w:sz w:val="24"/>
          <w:szCs w:val="28"/>
        </w:rPr>
        <w:t xml:space="preserve">F tiene como principal valor agregado que permite elevar la discusión a un nivel estratégico y con una visión de mas largo plazo, a fin de obtener los resultados. </w:t>
      </w:r>
    </w:p>
    <w:p w:rsidR="005A4329" w:rsidRDefault="00CA53C1" w:rsidP="00655851">
      <w:pPr>
        <w:pStyle w:val="Prrafodelista"/>
        <w:numPr>
          <w:ilvl w:val="0"/>
          <w:numId w:val="13"/>
        </w:numPr>
        <w:jc w:val="both"/>
        <w:rPr>
          <w:sz w:val="24"/>
          <w:szCs w:val="28"/>
        </w:rPr>
      </w:pPr>
      <w:r w:rsidRPr="005A4329">
        <w:rPr>
          <w:sz w:val="24"/>
          <w:szCs w:val="28"/>
        </w:rPr>
        <w:t xml:space="preserve">Este modelo permite mejor desarrollo y capacidad instalada de los países </w:t>
      </w:r>
      <w:r w:rsidR="00E9755F" w:rsidRPr="005A4329">
        <w:rPr>
          <w:sz w:val="24"/>
          <w:szCs w:val="28"/>
        </w:rPr>
        <w:t>en el</w:t>
      </w:r>
      <w:r w:rsidRPr="005A4329">
        <w:rPr>
          <w:sz w:val="24"/>
          <w:szCs w:val="28"/>
        </w:rPr>
        <w:t xml:space="preserve"> manejo de este tipo de subvenciones puesto que compromete a los receptores </w:t>
      </w:r>
      <w:r w:rsidRPr="005A4329">
        <w:rPr>
          <w:sz w:val="24"/>
          <w:szCs w:val="28"/>
        </w:rPr>
        <w:lastRenderedPageBreak/>
        <w:t>principales a un acompañamiento permanente en la ejecución programática y financiera para que se alcance</w:t>
      </w:r>
      <w:r w:rsidR="00E94EF2">
        <w:rPr>
          <w:sz w:val="24"/>
          <w:szCs w:val="28"/>
        </w:rPr>
        <w:t>n</w:t>
      </w:r>
      <w:r w:rsidRPr="005A4329">
        <w:rPr>
          <w:sz w:val="24"/>
          <w:szCs w:val="28"/>
        </w:rPr>
        <w:t xml:space="preserve"> los resultados establecidos</w:t>
      </w:r>
      <w:r w:rsidR="005A4329">
        <w:rPr>
          <w:sz w:val="24"/>
          <w:szCs w:val="28"/>
        </w:rPr>
        <w:t>.</w:t>
      </w:r>
      <w:r w:rsidRPr="005A4329">
        <w:rPr>
          <w:sz w:val="24"/>
          <w:szCs w:val="28"/>
        </w:rPr>
        <w:t xml:space="preserve"> </w:t>
      </w:r>
    </w:p>
    <w:p w:rsidR="0006785E" w:rsidRDefault="00CA53C1" w:rsidP="00E9755F">
      <w:pPr>
        <w:pStyle w:val="Prrafodelista"/>
        <w:numPr>
          <w:ilvl w:val="0"/>
          <w:numId w:val="13"/>
        </w:numPr>
        <w:jc w:val="both"/>
        <w:rPr>
          <w:sz w:val="24"/>
          <w:szCs w:val="28"/>
        </w:rPr>
      </w:pPr>
      <w:r>
        <w:rPr>
          <w:sz w:val="24"/>
          <w:szCs w:val="28"/>
        </w:rPr>
        <w:t>Los documentos</w:t>
      </w:r>
      <w:r w:rsidR="0006785E">
        <w:rPr>
          <w:sz w:val="24"/>
          <w:szCs w:val="28"/>
        </w:rPr>
        <w:t>, herramientas e</w:t>
      </w:r>
      <w:r>
        <w:rPr>
          <w:sz w:val="24"/>
          <w:szCs w:val="28"/>
        </w:rPr>
        <w:t xml:space="preserve"> informes </w:t>
      </w:r>
      <w:r w:rsidR="0006785E">
        <w:rPr>
          <w:sz w:val="24"/>
          <w:szCs w:val="28"/>
        </w:rPr>
        <w:t>con los cuales se maneja la subvención basada en resultados son más amigables, sencillos y de fácil manejo lo que facilita la comprensión, el trabajo y genera menos errores.</w:t>
      </w:r>
    </w:p>
    <w:p w:rsidR="008841D8" w:rsidRDefault="008841D8" w:rsidP="00E9755F">
      <w:pPr>
        <w:pStyle w:val="Prrafodelista"/>
        <w:numPr>
          <w:ilvl w:val="0"/>
          <w:numId w:val="13"/>
        </w:numPr>
        <w:jc w:val="both"/>
        <w:rPr>
          <w:sz w:val="24"/>
          <w:szCs w:val="28"/>
        </w:rPr>
      </w:pPr>
      <w:r>
        <w:rPr>
          <w:sz w:val="24"/>
          <w:szCs w:val="28"/>
        </w:rPr>
        <w:t>Las decisiones estratégicas tomadas día a día sin ser consultadas de forma rutinaria al FM han permitido empoderamiento al Programa y generan mejores resultados.</w:t>
      </w:r>
    </w:p>
    <w:p w:rsidR="009778B4" w:rsidRPr="009778B4" w:rsidRDefault="009778B4" w:rsidP="009778B4">
      <w:pPr>
        <w:pStyle w:val="Prrafodelista"/>
        <w:numPr>
          <w:ilvl w:val="0"/>
          <w:numId w:val="13"/>
        </w:numPr>
        <w:jc w:val="both"/>
        <w:rPr>
          <w:sz w:val="24"/>
          <w:szCs w:val="28"/>
        </w:rPr>
      </w:pPr>
      <w:r>
        <w:rPr>
          <w:sz w:val="24"/>
          <w:szCs w:val="28"/>
        </w:rPr>
        <w:t>En resumen el ágil</w:t>
      </w:r>
      <w:r w:rsidRPr="005B60D8">
        <w:rPr>
          <w:sz w:val="24"/>
          <w:szCs w:val="28"/>
        </w:rPr>
        <w:t xml:space="preserve"> modelo de fina</w:t>
      </w:r>
      <w:r>
        <w:rPr>
          <w:sz w:val="24"/>
          <w:szCs w:val="28"/>
        </w:rPr>
        <w:t>nciamiento basado en resultados</w:t>
      </w:r>
      <w:r w:rsidRPr="005B60D8">
        <w:rPr>
          <w:sz w:val="24"/>
          <w:szCs w:val="28"/>
        </w:rPr>
        <w:t xml:space="preserve"> implementado como piloto en El Salvador ha dejado </w:t>
      </w:r>
      <w:r>
        <w:rPr>
          <w:sz w:val="24"/>
          <w:szCs w:val="28"/>
        </w:rPr>
        <w:t>al momento</w:t>
      </w:r>
      <w:r w:rsidRPr="005B60D8">
        <w:rPr>
          <w:sz w:val="24"/>
          <w:szCs w:val="28"/>
        </w:rPr>
        <w:t xml:space="preserve"> como</w:t>
      </w:r>
      <w:r>
        <w:rPr>
          <w:sz w:val="24"/>
          <w:szCs w:val="28"/>
        </w:rPr>
        <w:t xml:space="preserve"> una de las lecciones</w:t>
      </w:r>
      <w:r w:rsidRPr="005B60D8">
        <w:rPr>
          <w:sz w:val="24"/>
          <w:szCs w:val="28"/>
        </w:rPr>
        <w:t xml:space="preserve"> aprendida</w:t>
      </w:r>
      <w:r>
        <w:rPr>
          <w:sz w:val="24"/>
          <w:szCs w:val="28"/>
        </w:rPr>
        <w:t>s de más importancia</w:t>
      </w:r>
      <w:r w:rsidRPr="005B60D8">
        <w:rPr>
          <w:sz w:val="24"/>
          <w:szCs w:val="28"/>
        </w:rPr>
        <w:t xml:space="preserve"> que los resultados </w:t>
      </w:r>
      <w:r>
        <w:rPr>
          <w:sz w:val="24"/>
          <w:szCs w:val="28"/>
        </w:rPr>
        <w:t>pueden ser logrados, la eficiencia fue incrementada, la subvención se puede manejar con pocos indicadores, que las instituciones nacionales se involucran más</w:t>
      </w:r>
      <w:r w:rsidRPr="005B60D8">
        <w:rPr>
          <w:sz w:val="24"/>
          <w:szCs w:val="28"/>
        </w:rPr>
        <w:t xml:space="preserve"> y </w:t>
      </w:r>
      <w:r>
        <w:rPr>
          <w:sz w:val="24"/>
          <w:szCs w:val="28"/>
        </w:rPr>
        <w:t xml:space="preserve">se obtiene mejor </w:t>
      </w:r>
      <w:r w:rsidRPr="005B60D8">
        <w:rPr>
          <w:sz w:val="24"/>
          <w:szCs w:val="28"/>
        </w:rPr>
        <w:t>costo beneficio</w:t>
      </w:r>
      <w:r>
        <w:rPr>
          <w:sz w:val="24"/>
          <w:szCs w:val="28"/>
        </w:rPr>
        <w:t xml:space="preserve">, las </w:t>
      </w:r>
      <w:r w:rsidRPr="005B60D8">
        <w:rPr>
          <w:sz w:val="24"/>
          <w:szCs w:val="28"/>
        </w:rPr>
        <w:t>actividades y tareas, resultan</w:t>
      </w:r>
      <w:r>
        <w:rPr>
          <w:sz w:val="24"/>
          <w:szCs w:val="28"/>
        </w:rPr>
        <w:t xml:space="preserve"> ser más prácticas, objetivas y </w:t>
      </w:r>
      <w:r w:rsidRPr="005B60D8">
        <w:rPr>
          <w:sz w:val="24"/>
          <w:szCs w:val="28"/>
        </w:rPr>
        <w:t xml:space="preserve">de mayor impacto para la </w:t>
      </w:r>
      <w:r w:rsidRPr="00E9755F">
        <w:rPr>
          <w:sz w:val="24"/>
          <w:szCs w:val="28"/>
        </w:rPr>
        <w:t>población</w:t>
      </w:r>
      <w:r>
        <w:rPr>
          <w:sz w:val="24"/>
          <w:szCs w:val="28"/>
        </w:rPr>
        <w:t xml:space="preserve"> sujeta a la intervención</w:t>
      </w:r>
      <w:r w:rsidRPr="005B60D8">
        <w:rPr>
          <w:sz w:val="24"/>
          <w:szCs w:val="28"/>
        </w:rPr>
        <w:t>.</w:t>
      </w:r>
    </w:p>
    <w:sectPr w:rsidR="009778B4" w:rsidRPr="009778B4" w:rsidSect="00A32267">
      <w:pgSz w:w="11906" w:h="16838" w:code="9"/>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68F" w:rsidRDefault="0036568F" w:rsidP="001C734B">
      <w:pPr>
        <w:spacing w:after="0" w:line="240" w:lineRule="auto"/>
      </w:pPr>
      <w:r>
        <w:separator/>
      </w:r>
    </w:p>
  </w:endnote>
  <w:endnote w:type="continuationSeparator" w:id="0">
    <w:p w:rsidR="0036568F" w:rsidRDefault="0036568F" w:rsidP="001C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68F" w:rsidRDefault="0036568F" w:rsidP="001C734B">
      <w:pPr>
        <w:spacing w:after="0" w:line="240" w:lineRule="auto"/>
      </w:pPr>
      <w:r>
        <w:separator/>
      </w:r>
    </w:p>
  </w:footnote>
  <w:footnote w:type="continuationSeparator" w:id="0">
    <w:p w:rsidR="0036568F" w:rsidRDefault="0036568F" w:rsidP="001C734B">
      <w:pPr>
        <w:spacing w:after="0" w:line="240" w:lineRule="auto"/>
      </w:pPr>
      <w:r>
        <w:continuationSeparator/>
      </w:r>
    </w:p>
  </w:footnote>
  <w:footnote w:id="1">
    <w:p w:rsidR="001C734B" w:rsidRPr="001C734B" w:rsidRDefault="001C734B" w:rsidP="001C734B">
      <w:pPr>
        <w:pStyle w:val="Textonotapie"/>
        <w:rPr>
          <w:sz w:val="18"/>
          <w:lang w:val="en-GB"/>
        </w:rPr>
      </w:pPr>
      <w:r>
        <w:rPr>
          <w:rStyle w:val="Refdenotaalpie"/>
        </w:rPr>
        <w:footnoteRef/>
      </w:r>
      <w:r w:rsidR="00D85163">
        <w:rPr>
          <w:lang w:val="en-GB"/>
        </w:rPr>
        <w:t xml:space="preserve">  </w:t>
      </w:r>
      <w:r w:rsidRPr="001C734B">
        <w:rPr>
          <w:sz w:val="18"/>
          <w:szCs w:val="28"/>
          <w:lang w:val="en-GB"/>
        </w:rPr>
        <w:t>Notification_to_proceed_to_grant-making_SLV-910-G08-T_16.07.15_SP</w:t>
      </w:r>
    </w:p>
    <w:p w:rsidR="001C734B" w:rsidRPr="001C734B" w:rsidRDefault="001C734B">
      <w:pPr>
        <w:pStyle w:val="Textonotapie"/>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10BC9"/>
    <w:multiLevelType w:val="hybridMultilevel"/>
    <w:tmpl w:val="7CB6F4FA"/>
    <w:lvl w:ilvl="0" w:tplc="93DE32A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A10041A"/>
    <w:multiLevelType w:val="hybridMultilevel"/>
    <w:tmpl w:val="2AEE441A"/>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98333E6"/>
    <w:multiLevelType w:val="hybridMultilevel"/>
    <w:tmpl w:val="3F40EAD2"/>
    <w:lvl w:ilvl="0" w:tplc="577A7934">
      <w:start w:val="7"/>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A27392"/>
    <w:multiLevelType w:val="hybridMultilevel"/>
    <w:tmpl w:val="1416FB2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29D6C46"/>
    <w:multiLevelType w:val="multilevel"/>
    <w:tmpl w:val="2B3014EC"/>
    <w:lvl w:ilvl="0">
      <w:start w:val="1"/>
      <w:numFmt w:val="decimal"/>
      <w:lvlText w:val="%1."/>
      <w:lvlJc w:val="left"/>
      <w:pPr>
        <w:ind w:left="1068" w:hanging="360"/>
      </w:pPr>
      <w:rPr>
        <w:rFonts w:hint="default"/>
        <w:color w:val="auto"/>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3AFC1B13"/>
    <w:multiLevelType w:val="hybridMultilevel"/>
    <w:tmpl w:val="B1629F00"/>
    <w:lvl w:ilvl="0" w:tplc="08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F83231"/>
    <w:multiLevelType w:val="hybridMultilevel"/>
    <w:tmpl w:val="64DE224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6E74196"/>
    <w:multiLevelType w:val="hybridMultilevel"/>
    <w:tmpl w:val="D5E6665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 w15:restartNumberingAfterBreak="0">
    <w:nsid w:val="510F05DC"/>
    <w:multiLevelType w:val="hybridMultilevel"/>
    <w:tmpl w:val="E8328A0A"/>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44B5E85"/>
    <w:multiLevelType w:val="hybridMultilevel"/>
    <w:tmpl w:val="0256F98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4A445C8"/>
    <w:multiLevelType w:val="hybridMultilevel"/>
    <w:tmpl w:val="2AEE441A"/>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4CD5F44"/>
    <w:multiLevelType w:val="hybridMultilevel"/>
    <w:tmpl w:val="057A54D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BC3669F"/>
    <w:multiLevelType w:val="hybridMultilevel"/>
    <w:tmpl w:val="42F89BF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abstractNumId w:val="9"/>
  </w:num>
  <w:num w:numId="2">
    <w:abstractNumId w:val="4"/>
  </w:num>
  <w:num w:numId="3">
    <w:abstractNumId w:val="0"/>
  </w:num>
  <w:num w:numId="4">
    <w:abstractNumId w:val="5"/>
  </w:num>
  <w:num w:numId="5">
    <w:abstractNumId w:val="11"/>
  </w:num>
  <w:num w:numId="6">
    <w:abstractNumId w:val="3"/>
  </w:num>
  <w:num w:numId="7">
    <w:abstractNumId w:val="6"/>
  </w:num>
  <w:num w:numId="8">
    <w:abstractNumId w:val="8"/>
  </w:num>
  <w:num w:numId="9">
    <w:abstractNumId w:val="1"/>
  </w:num>
  <w:num w:numId="10">
    <w:abstractNumId w:val="2"/>
  </w:num>
  <w:num w:numId="11">
    <w:abstractNumId w:val="1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267"/>
    <w:rsid w:val="000004E0"/>
    <w:rsid w:val="00002C77"/>
    <w:rsid w:val="00005AAD"/>
    <w:rsid w:val="0000600B"/>
    <w:rsid w:val="00023DC3"/>
    <w:rsid w:val="00043355"/>
    <w:rsid w:val="00061B4F"/>
    <w:rsid w:val="0006785E"/>
    <w:rsid w:val="00080C65"/>
    <w:rsid w:val="000A0268"/>
    <w:rsid w:val="000D54EA"/>
    <w:rsid w:val="00101753"/>
    <w:rsid w:val="00114350"/>
    <w:rsid w:val="00114B74"/>
    <w:rsid w:val="00121350"/>
    <w:rsid w:val="00132C00"/>
    <w:rsid w:val="001707E3"/>
    <w:rsid w:val="001C734B"/>
    <w:rsid w:val="001F502F"/>
    <w:rsid w:val="00203B39"/>
    <w:rsid w:val="002120D1"/>
    <w:rsid w:val="00221DAA"/>
    <w:rsid w:val="00227BA1"/>
    <w:rsid w:val="00235135"/>
    <w:rsid w:val="00237252"/>
    <w:rsid w:val="00242B26"/>
    <w:rsid w:val="002551E2"/>
    <w:rsid w:val="002618B2"/>
    <w:rsid w:val="00272F80"/>
    <w:rsid w:val="00275AD8"/>
    <w:rsid w:val="002C47B3"/>
    <w:rsid w:val="002E4467"/>
    <w:rsid w:val="00305954"/>
    <w:rsid w:val="00315C56"/>
    <w:rsid w:val="0036056E"/>
    <w:rsid w:val="0036568F"/>
    <w:rsid w:val="003D3D50"/>
    <w:rsid w:val="003F3D0F"/>
    <w:rsid w:val="004100BD"/>
    <w:rsid w:val="004A2256"/>
    <w:rsid w:val="004B216D"/>
    <w:rsid w:val="004B4263"/>
    <w:rsid w:val="00505249"/>
    <w:rsid w:val="00520B70"/>
    <w:rsid w:val="005215FD"/>
    <w:rsid w:val="00522282"/>
    <w:rsid w:val="00532121"/>
    <w:rsid w:val="005344FA"/>
    <w:rsid w:val="0054696E"/>
    <w:rsid w:val="00591D9E"/>
    <w:rsid w:val="00596257"/>
    <w:rsid w:val="005A4329"/>
    <w:rsid w:val="005B60D8"/>
    <w:rsid w:val="005C1A42"/>
    <w:rsid w:val="005E428C"/>
    <w:rsid w:val="00600AA3"/>
    <w:rsid w:val="00617903"/>
    <w:rsid w:val="006B6915"/>
    <w:rsid w:val="00703466"/>
    <w:rsid w:val="00730262"/>
    <w:rsid w:val="007607F3"/>
    <w:rsid w:val="00780ECA"/>
    <w:rsid w:val="00787A2F"/>
    <w:rsid w:val="007C789B"/>
    <w:rsid w:val="007E2BE6"/>
    <w:rsid w:val="007E69F3"/>
    <w:rsid w:val="007F035D"/>
    <w:rsid w:val="008841D8"/>
    <w:rsid w:val="00894E6E"/>
    <w:rsid w:val="008D3FE1"/>
    <w:rsid w:val="008D403B"/>
    <w:rsid w:val="008E370E"/>
    <w:rsid w:val="008E5409"/>
    <w:rsid w:val="00921E56"/>
    <w:rsid w:val="00925EE0"/>
    <w:rsid w:val="00973268"/>
    <w:rsid w:val="009778B4"/>
    <w:rsid w:val="00995934"/>
    <w:rsid w:val="009D168E"/>
    <w:rsid w:val="009F2CA9"/>
    <w:rsid w:val="00A30DFF"/>
    <w:rsid w:val="00A30E92"/>
    <w:rsid w:val="00A32267"/>
    <w:rsid w:val="00A403D6"/>
    <w:rsid w:val="00A403F4"/>
    <w:rsid w:val="00AC7AFA"/>
    <w:rsid w:val="00B12938"/>
    <w:rsid w:val="00B162F0"/>
    <w:rsid w:val="00B479A8"/>
    <w:rsid w:val="00B5398E"/>
    <w:rsid w:val="00B62860"/>
    <w:rsid w:val="00BD2F66"/>
    <w:rsid w:val="00BF5352"/>
    <w:rsid w:val="00BF5C23"/>
    <w:rsid w:val="00C35CC3"/>
    <w:rsid w:val="00C54839"/>
    <w:rsid w:val="00C600F9"/>
    <w:rsid w:val="00C61DC3"/>
    <w:rsid w:val="00C81759"/>
    <w:rsid w:val="00CA53C1"/>
    <w:rsid w:val="00CF5045"/>
    <w:rsid w:val="00D06EB9"/>
    <w:rsid w:val="00D22D79"/>
    <w:rsid w:val="00D53C5A"/>
    <w:rsid w:val="00D65D9D"/>
    <w:rsid w:val="00D83723"/>
    <w:rsid w:val="00D85163"/>
    <w:rsid w:val="00DE3905"/>
    <w:rsid w:val="00E37FC6"/>
    <w:rsid w:val="00E50E50"/>
    <w:rsid w:val="00E525FF"/>
    <w:rsid w:val="00E77EE1"/>
    <w:rsid w:val="00E94EF2"/>
    <w:rsid w:val="00E9755F"/>
    <w:rsid w:val="00F10D3C"/>
    <w:rsid w:val="00F25DC7"/>
    <w:rsid w:val="00FD495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D694"/>
  <w15:docId w15:val="{0BB86E80-57AF-42E7-8D01-1347B4DF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F80"/>
  </w:style>
  <w:style w:type="paragraph" w:styleId="Ttulo4">
    <w:name w:val="heading 4"/>
    <w:basedOn w:val="Normal"/>
    <w:next w:val="Normal"/>
    <w:link w:val="Ttulo4Car"/>
    <w:uiPriority w:val="9"/>
    <w:unhideWhenUsed/>
    <w:qFormat/>
    <w:rsid w:val="002E4467"/>
    <w:pPr>
      <w:keepNext/>
      <w:keepLines/>
      <w:spacing w:before="200" w:after="0" w:line="276" w:lineRule="auto"/>
      <w:outlineLvl w:val="3"/>
    </w:pPr>
    <w:rPr>
      <w:rFonts w:ascii="Cambria" w:eastAsia="Times New Roman" w:hAnsi="Cambria" w:cs="Times New Roman"/>
      <w:b/>
      <w:bCs/>
      <w:i/>
      <w:iCs/>
      <w:color w:val="4F81BD"/>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32267"/>
    <w:pPr>
      <w:ind w:left="720"/>
      <w:contextualSpacing/>
    </w:pPr>
  </w:style>
  <w:style w:type="paragraph" w:customStyle="1" w:styleId="Default">
    <w:name w:val="Default"/>
    <w:rsid w:val="009F2CA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E3905"/>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notapie">
    <w:name w:val="footnote text"/>
    <w:basedOn w:val="Normal"/>
    <w:link w:val="TextonotapieCar"/>
    <w:uiPriority w:val="99"/>
    <w:unhideWhenUsed/>
    <w:rsid w:val="001C734B"/>
    <w:pPr>
      <w:spacing w:after="0" w:line="240" w:lineRule="auto"/>
    </w:pPr>
    <w:rPr>
      <w:sz w:val="20"/>
      <w:szCs w:val="20"/>
    </w:rPr>
  </w:style>
  <w:style w:type="character" w:customStyle="1" w:styleId="TextonotapieCar">
    <w:name w:val="Texto nota pie Car"/>
    <w:basedOn w:val="Fuentedeprrafopredeter"/>
    <w:link w:val="Textonotapie"/>
    <w:uiPriority w:val="99"/>
    <w:rsid w:val="001C734B"/>
    <w:rPr>
      <w:sz w:val="20"/>
      <w:szCs w:val="20"/>
    </w:rPr>
  </w:style>
  <w:style w:type="character" w:styleId="Refdenotaalpie">
    <w:name w:val="footnote reference"/>
    <w:basedOn w:val="Fuentedeprrafopredeter"/>
    <w:uiPriority w:val="99"/>
    <w:semiHidden/>
    <w:unhideWhenUsed/>
    <w:rsid w:val="001C734B"/>
    <w:rPr>
      <w:vertAlign w:val="superscript"/>
    </w:rPr>
  </w:style>
  <w:style w:type="character" w:customStyle="1" w:styleId="Ttulo4Car">
    <w:name w:val="Título 4 Car"/>
    <w:basedOn w:val="Fuentedeprrafopredeter"/>
    <w:link w:val="Ttulo4"/>
    <w:uiPriority w:val="9"/>
    <w:rsid w:val="002E4467"/>
    <w:rPr>
      <w:rFonts w:ascii="Cambria" w:eastAsia="Times New Roman" w:hAnsi="Cambria" w:cs="Times New Roman"/>
      <w:b/>
      <w:bCs/>
      <w:i/>
      <w:iCs/>
      <w:color w:val="4F81BD"/>
      <w:sz w:val="20"/>
      <w:szCs w:val="20"/>
    </w:rPr>
  </w:style>
  <w:style w:type="character" w:customStyle="1" w:styleId="PrrafodelistaCar">
    <w:name w:val="Párrafo de lista Car"/>
    <w:link w:val="Prrafodelista"/>
    <w:rsid w:val="002E4467"/>
  </w:style>
  <w:style w:type="character" w:customStyle="1" w:styleId="apple-converted-space">
    <w:name w:val="apple-converted-space"/>
    <w:basedOn w:val="Fuentedeprrafopredeter"/>
    <w:rsid w:val="002E4467"/>
  </w:style>
  <w:style w:type="paragraph" w:styleId="Textodeglobo">
    <w:name w:val="Balloon Text"/>
    <w:basedOn w:val="Normal"/>
    <w:link w:val="TextodegloboCar"/>
    <w:uiPriority w:val="99"/>
    <w:semiHidden/>
    <w:unhideWhenUsed/>
    <w:rsid w:val="002120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20D1"/>
    <w:rPr>
      <w:rFonts w:ascii="Tahoma" w:hAnsi="Tahoma" w:cs="Tahoma"/>
      <w:sz w:val="16"/>
      <w:szCs w:val="16"/>
    </w:rPr>
  </w:style>
  <w:style w:type="character" w:styleId="Hipervnculo">
    <w:name w:val="Hyperlink"/>
    <w:basedOn w:val="Fuentedeprrafopredeter"/>
    <w:uiPriority w:val="99"/>
    <w:semiHidden/>
    <w:unhideWhenUsed/>
    <w:rsid w:val="007E69F3"/>
    <w:rPr>
      <w:color w:val="0000FF"/>
      <w:u w:val="single"/>
    </w:rPr>
  </w:style>
  <w:style w:type="table" w:styleId="Tablaconcuadrcula">
    <w:name w:val="Table Grid"/>
    <w:basedOn w:val="Tablanormal"/>
    <w:uiPriority w:val="39"/>
    <w:rsid w:val="003F3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D06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SV"/>
    </w:rPr>
  </w:style>
  <w:style w:type="character" w:customStyle="1" w:styleId="HTMLconformatoprevioCar">
    <w:name w:val="HTML con formato previo Car"/>
    <w:basedOn w:val="Fuentedeprrafopredeter"/>
    <w:link w:val="HTMLconformatoprevio"/>
    <w:uiPriority w:val="99"/>
    <w:rsid w:val="00D06EB9"/>
    <w:rPr>
      <w:rFonts w:ascii="Courier New" w:eastAsia="Times New Roman" w:hAnsi="Courier New" w:cs="Courier New"/>
      <w:sz w:val="20"/>
      <w:szCs w:val="20"/>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03901">
      <w:bodyDiv w:val="1"/>
      <w:marLeft w:val="0"/>
      <w:marRight w:val="0"/>
      <w:marTop w:val="0"/>
      <w:marBottom w:val="0"/>
      <w:divBdr>
        <w:top w:val="none" w:sz="0" w:space="0" w:color="auto"/>
        <w:left w:val="none" w:sz="0" w:space="0" w:color="auto"/>
        <w:bottom w:val="none" w:sz="0" w:space="0" w:color="auto"/>
        <w:right w:val="none" w:sz="0" w:space="0" w:color="auto"/>
      </w:divBdr>
    </w:div>
    <w:div w:id="231743099">
      <w:bodyDiv w:val="1"/>
      <w:marLeft w:val="0"/>
      <w:marRight w:val="0"/>
      <w:marTop w:val="0"/>
      <w:marBottom w:val="0"/>
      <w:divBdr>
        <w:top w:val="none" w:sz="0" w:space="0" w:color="auto"/>
        <w:left w:val="none" w:sz="0" w:space="0" w:color="auto"/>
        <w:bottom w:val="none" w:sz="0" w:space="0" w:color="auto"/>
        <w:right w:val="none" w:sz="0" w:space="0" w:color="auto"/>
      </w:divBdr>
    </w:div>
    <w:div w:id="439224791">
      <w:bodyDiv w:val="1"/>
      <w:marLeft w:val="0"/>
      <w:marRight w:val="0"/>
      <w:marTop w:val="0"/>
      <w:marBottom w:val="0"/>
      <w:divBdr>
        <w:top w:val="none" w:sz="0" w:space="0" w:color="auto"/>
        <w:left w:val="none" w:sz="0" w:space="0" w:color="auto"/>
        <w:bottom w:val="none" w:sz="0" w:space="0" w:color="auto"/>
        <w:right w:val="none" w:sz="0" w:space="0" w:color="auto"/>
      </w:divBdr>
    </w:div>
    <w:div w:id="642587045">
      <w:bodyDiv w:val="1"/>
      <w:marLeft w:val="0"/>
      <w:marRight w:val="0"/>
      <w:marTop w:val="0"/>
      <w:marBottom w:val="0"/>
      <w:divBdr>
        <w:top w:val="none" w:sz="0" w:space="0" w:color="auto"/>
        <w:left w:val="none" w:sz="0" w:space="0" w:color="auto"/>
        <w:bottom w:val="none" w:sz="0" w:space="0" w:color="auto"/>
        <w:right w:val="none" w:sz="0" w:space="0" w:color="auto"/>
      </w:divBdr>
    </w:div>
    <w:div w:id="1524710226">
      <w:bodyDiv w:val="1"/>
      <w:marLeft w:val="0"/>
      <w:marRight w:val="0"/>
      <w:marTop w:val="0"/>
      <w:marBottom w:val="0"/>
      <w:divBdr>
        <w:top w:val="none" w:sz="0" w:space="0" w:color="auto"/>
        <w:left w:val="none" w:sz="0" w:space="0" w:color="auto"/>
        <w:bottom w:val="none" w:sz="0" w:space="0" w:color="auto"/>
        <w:right w:val="none" w:sz="0" w:space="0" w:color="auto"/>
      </w:divBdr>
    </w:div>
    <w:div w:id="185441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E5FC0-CEE5-40C7-9767-F069AFC0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8916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jgaray</dc:creator>
  <cp:lastModifiedBy>Sala de reuniones TB</cp:lastModifiedBy>
  <cp:revision>2</cp:revision>
  <dcterms:created xsi:type="dcterms:W3CDTF">2018-01-24T21:23:00Z</dcterms:created>
  <dcterms:modified xsi:type="dcterms:W3CDTF">2018-01-24T21:23:00Z</dcterms:modified>
</cp:coreProperties>
</file>