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681" w:tblpY="-126"/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</w:tblGrid>
      <w:tr w:rsidR="00B50053" w14:paraId="36DE5D1D" w14:textId="77777777" w:rsidTr="00F65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20CD1FF8" w14:textId="77777777" w:rsidR="00B50053" w:rsidRDefault="00B50053" w:rsidP="00F65D5A">
            <w:pPr>
              <w:pStyle w:val="Default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The</w:t>
            </w:r>
            <w:proofErr w:type="spellEnd"/>
            <w:r>
              <w:rPr>
                <w:sz w:val="15"/>
                <w:szCs w:val="15"/>
              </w:rPr>
              <w:t xml:space="preserve"> Global </w:t>
            </w:r>
            <w:proofErr w:type="spellStart"/>
            <w:r>
              <w:rPr>
                <w:sz w:val="15"/>
                <w:szCs w:val="15"/>
              </w:rPr>
              <w:t>Fund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to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Fight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  <w:p w14:paraId="78502D14" w14:textId="77777777" w:rsidR="00B50053" w:rsidRDefault="00B50053" w:rsidP="00F65D5A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AIDS, Tuberculosis and Malaria </w:t>
            </w:r>
          </w:p>
        </w:tc>
        <w:tc>
          <w:tcPr>
            <w:gridSpan w:val="0"/>
          </w:tcPr>
          <w:p w14:paraId="36DE5D1D" w14:textId="77777777" w:rsidR="00B50053" w:rsidRDefault="00B50053">
            <w:r>
              <w:rPr>
                <w:sz w:val="15"/>
                <w:szCs w:val="15"/>
              </w:rPr>
              <w:t xml:space="preserve"> </w:t>
            </w:r>
          </w:p>
        </w:tc>
      </w:tr>
      <w:tr w:rsidR="00B50053" w14:paraId="5D2FF872" w14:textId="77777777" w:rsidTr="00F65D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0BA6FD53" w14:textId="00F38F60" w:rsidR="00B50053" w:rsidRDefault="00B50053" w:rsidP="00F65D5A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Global </w:t>
            </w:r>
            <w:proofErr w:type="spellStart"/>
            <w:r>
              <w:rPr>
                <w:sz w:val="15"/>
                <w:szCs w:val="15"/>
              </w:rPr>
              <w:t>Health</w:t>
            </w:r>
            <w:proofErr w:type="spellEnd"/>
            <w:r>
              <w:rPr>
                <w:sz w:val="15"/>
                <w:szCs w:val="15"/>
              </w:rPr>
              <w:t xml:space="preserve"> Campus </w:t>
            </w:r>
          </w:p>
          <w:p w14:paraId="20512030" w14:textId="77777777" w:rsidR="00B50053" w:rsidRDefault="00B50053" w:rsidP="00F65D5A">
            <w:pPr>
              <w:pStyle w:val="Default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Chemin</w:t>
            </w:r>
            <w:proofErr w:type="spellEnd"/>
            <w:r>
              <w:rPr>
                <w:sz w:val="15"/>
                <w:szCs w:val="15"/>
              </w:rPr>
              <w:t xml:space="preserve"> du </w:t>
            </w:r>
            <w:proofErr w:type="spellStart"/>
            <w:r>
              <w:rPr>
                <w:sz w:val="15"/>
                <w:szCs w:val="15"/>
              </w:rPr>
              <w:t>Pommier</w:t>
            </w:r>
            <w:proofErr w:type="spellEnd"/>
            <w:r>
              <w:rPr>
                <w:sz w:val="15"/>
                <w:szCs w:val="15"/>
              </w:rPr>
              <w:t xml:space="preserve"> 40 </w:t>
            </w:r>
          </w:p>
          <w:p w14:paraId="634C8C67" w14:textId="77777777" w:rsidR="00B50053" w:rsidRDefault="00B50053" w:rsidP="00F65D5A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1218 Grand-</w:t>
            </w:r>
            <w:proofErr w:type="spellStart"/>
            <w:r>
              <w:rPr>
                <w:sz w:val="15"/>
                <w:szCs w:val="15"/>
              </w:rPr>
              <w:t>Saconnex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  <w:p w14:paraId="0AB349C0" w14:textId="77777777" w:rsidR="00B50053" w:rsidRDefault="00B50053" w:rsidP="00F65D5A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Geneva, </w:t>
            </w:r>
            <w:proofErr w:type="spellStart"/>
            <w:r>
              <w:rPr>
                <w:sz w:val="15"/>
                <w:szCs w:val="15"/>
              </w:rPr>
              <w:t>Switzerland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  <w:p w14:paraId="1B2107AB" w14:textId="77777777" w:rsidR="00B50053" w:rsidRDefault="00B50053" w:rsidP="00F65D5A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theglobalfund.org </w:t>
            </w:r>
          </w:p>
        </w:tc>
        <w:tc>
          <w:tcPr>
            <w:gridSpan w:val="0"/>
          </w:tcPr>
          <w:p w14:paraId="5D2FF872" w14:textId="77777777" w:rsidR="00B50053" w:rsidRDefault="00B50053">
            <w:r>
              <w:rPr>
                <w:sz w:val="15"/>
                <w:szCs w:val="15"/>
              </w:rPr>
              <w:t xml:space="preserve"> </w:t>
            </w:r>
          </w:p>
        </w:tc>
      </w:tr>
    </w:tbl>
    <w:p w14:paraId="4C941B53" w14:textId="77777777" w:rsidR="00B50053" w:rsidRDefault="00B50053" w:rsidP="00B50053">
      <w:pPr>
        <w:pStyle w:val="Default"/>
      </w:pPr>
      <w:r>
        <w:rPr>
          <w:noProof/>
        </w:rPr>
        <w:drawing>
          <wp:inline distT="0" distB="0" distL="0" distR="0" wp14:anchorId="7E8B75C9" wp14:editId="073619CB">
            <wp:extent cx="2631960" cy="532765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anish_TG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26" cy="54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14:paraId="4A4502BA" w14:textId="05CE1B71" w:rsidR="00DE1432" w:rsidRDefault="00DE1432" w:rsidP="00DE1432"/>
    <w:p w14:paraId="19465DB9" w14:textId="77777777" w:rsidR="00DE1432" w:rsidRDefault="00DE1432" w:rsidP="00DE1432"/>
    <w:p w14:paraId="0DC23749" w14:textId="6A21444E" w:rsidR="00DE1432" w:rsidRDefault="00DE1432" w:rsidP="00DE1432">
      <w:r>
        <w:t xml:space="preserve">Nuestra referencia: </w:t>
      </w:r>
      <w:r w:rsidRPr="00F65D5A">
        <w:rPr>
          <w:b/>
          <w:bCs/>
        </w:rPr>
        <w:t>C19RM_EL SALVADOR_FONDOS ADICIONALES</w:t>
      </w:r>
    </w:p>
    <w:p w14:paraId="033940A6" w14:textId="77777777" w:rsidR="00F65D5A" w:rsidRDefault="00F65D5A" w:rsidP="00DE1432"/>
    <w:p w14:paraId="6ECFAA02" w14:textId="61AF0B26" w:rsidR="00DE1432" w:rsidRDefault="00DE1432" w:rsidP="00DE1432">
      <w:r>
        <w:t>Ginebra, 17 de junio de 2020</w:t>
      </w:r>
      <w:r w:rsidR="00664EF5">
        <w:t>.</w:t>
      </w:r>
    </w:p>
    <w:p w14:paraId="2321C830" w14:textId="77777777" w:rsidR="00F65D5A" w:rsidRDefault="00F65D5A" w:rsidP="00DE1432"/>
    <w:p w14:paraId="162464DD" w14:textId="0D3E1E6C" w:rsidR="00F65D5A" w:rsidRDefault="00DE1432" w:rsidP="00F65D5A">
      <w:pPr>
        <w:spacing w:after="0" w:line="240" w:lineRule="auto"/>
      </w:pPr>
      <w:r>
        <w:t xml:space="preserve">Sra. Isabel Payés </w:t>
      </w:r>
    </w:p>
    <w:p w14:paraId="26669C8A" w14:textId="77777777" w:rsidR="00F65D5A" w:rsidRDefault="00DE1432" w:rsidP="00F65D5A">
      <w:pPr>
        <w:spacing w:after="0" w:line="240" w:lineRule="auto"/>
      </w:pPr>
      <w:r>
        <w:t>Mecanismo de Coordinación de País El Salvador</w:t>
      </w:r>
    </w:p>
    <w:p w14:paraId="59F09927" w14:textId="77777777" w:rsidR="00F65D5A" w:rsidRDefault="00DE1432" w:rsidP="00F65D5A">
      <w:pPr>
        <w:spacing w:after="0" w:line="240" w:lineRule="auto"/>
      </w:pPr>
      <w:r>
        <w:t xml:space="preserve">Edificio SG-SISCA, final Boulevard Cancillería, </w:t>
      </w:r>
    </w:p>
    <w:p w14:paraId="1C3813E0" w14:textId="77777777" w:rsidR="00F65D5A" w:rsidRDefault="00DE1432" w:rsidP="00F65D5A">
      <w:pPr>
        <w:spacing w:after="0" w:line="240" w:lineRule="auto"/>
      </w:pPr>
      <w:r>
        <w:t>Distrito El Espino, Ciudad Merliot,</w:t>
      </w:r>
    </w:p>
    <w:p w14:paraId="2FB9FB4D" w14:textId="2E5F4660" w:rsidR="00DE1432" w:rsidRDefault="00DE1432" w:rsidP="00F65D5A">
      <w:pPr>
        <w:spacing w:after="0" w:line="240" w:lineRule="auto"/>
      </w:pPr>
      <w:r>
        <w:t>La Libertad, El Salvador</w:t>
      </w:r>
    </w:p>
    <w:p w14:paraId="163FFAFF" w14:textId="77777777" w:rsidR="00F65D5A" w:rsidRDefault="00F65D5A" w:rsidP="00DE1432"/>
    <w:p w14:paraId="0CEA7418" w14:textId="7545EA72" w:rsidR="00DE1432" w:rsidRDefault="00DE1432" w:rsidP="00DE1432">
      <w:r w:rsidRPr="00F65D5A">
        <w:rPr>
          <w:b/>
          <w:bCs/>
        </w:rPr>
        <w:t>Asunto</w:t>
      </w:r>
      <w:r>
        <w:t>: Financiamiento adicional del Mecanismo de Respuesta COVID-19 para El Salvador</w:t>
      </w:r>
    </w:p>
    <w:p w14:paraId="19747C43" w14:textId="77777777" w:rsidR="00DE1432" w:rsidRDefault="00DE1432" w:rsidP="00F65D5A">
      <w:pPr>
        <w:jc w:val="both"/>
      </w:pPr>
      <w:r>
        <w:t>Querida Sra. Payés</w:t>
      </w:r>
    </w:p>
    <w:p w14:paraId="24CFCB04" w14:textId="2F8CCB8D" w:rsidR="00DE1432" w:rsidRDefault="00DE1432" w:rsidP="00F65D5A">
      <w:pPr>
        <w:jc w:val="both"/>
      </w:pPr>
      <w:r>
        <w:t xml:space="preserve">La pandemia de COVID-19 se está extendiendo rápidamente por todo el mundo y amenaza con descarrilar los programas contra el VIH, la tuberculosis y la malaria, abrumar a los sistemas comunitarios y de salud y causar una morbilidad y mortalidad significativas. Para mitigar el impacto de la pandemia en las tres enfermedades y apoyar los sistemas de salud y comunitarios en El Salvador, el Fondo Mundial ha aprobado </w:t>
      </w:r>
      <w:r w:rsidRPr="00F65D5A">
        <w:rPr>
          <w:b/>
          <w:bCs/>
        </w:rPr>
        <w:t>USD 892,860</w:t>
      </w:r>
      <w:r>
        <w:t xml:space="preserve"> de inversiones adicionales para la respuesta COVID-19 de su país, bajo el Mecanismo de Respuesta COVID-19 del Fondo Mundial (C19RM)</w:t>
      </w:r>
    </w:p>
    <w:p w14:paraId="52AC2687" w14:textId="23064A76" w:rsidR="00DE1432" w:rsidRDefault="00DE1432" w:rsidP="00F65D5A">
      <w:pPr>
        <w:jc w:val="both"/>
      </w:pPr>
      <w:r>
        <w:t>Tenga en cuenta que esta es una inversión única adicional a la asignación de 2017-2019 de su país (y, cuando sea necesario, la asignación de 2020-2022) y pasará a formar parte de la subvención SLV-H-MOH</w:t>
      </w:r>
      <w:r w:rsidR="00F65D5A">
        <w:t xml:space="preserve"> (Subvención de VIH)</w:t>
      </w:r>
      <w:r>
        <w:t>.</w:t>
      </w:r>
    </w:p>
    <w:p w14:paraId="314EED39" w14:textId="77777777" w:rsidR="00DE1432" w:rsidRDefault="00DE1432" w:rsidP="00F65D5A">
      <w:pPr>
        <w:jc w:val="both"/>
      </w:pPr>
      <w:r>
        <w:t>El Fondo Mundial ha aprobado excepcionalmente el monto total solicitado para financiar actividades bajo la Prioridad 1 y la Prioridad 2. Las intervenciones, actividades y montos de inversión aprobados por el Fondo Mundial se establecen en el Anexo 1 de esta carta.</w:t>
      </w:r>
    </w:p>
    <w:p w14:paraId="3BEF77ED" w14:textId="77777777" w:rsidR="00DE1432" w:rsidRDefault="00DE1432" w:rsidP="00F65D5A">
      <w:pPr>
        <w:jc w:val="both"/>
      </w:pPr>
      <w:r>
        <w:t>Estas intervenciones y actividades se identificaron para su adjudicación inmediata debido a la necesidad programática. Dada la urgencia de estas intervenciones y actividades, los fondos deben incorporarse a la subvención a más tardar el 5 de agosto de 2020.</w:t>
      </w:r>
    </w:p>
    <w:p w14:paraId="6CD89F3A" w14:textId="1DFE8FAA" w:rsidR="00DE1432" w:rsidRDefault="00DE1432" w:rsidP="00F65D5A">
      <w:pPr>
        <w:jc w:val="both"/>
      </w:pPr>
      <w:r>
        <w:t xml:space="preserve">A </w:t>
      </w:r>
      <w:r w:rsidR="00F65D5A">
        <w:t>continuación,</w:t>
      </w:r>
      <w:r>
        <w:t xml:space="preserve"> se detallan los siguientes pasos necesarios para permitir la implementación rápida de las intervenciones y actividades aprobadas.</w:t>
      </w:r>
    </w:p>
    <w:p w14:paraId="4D6175FF" w14:textId="77777777" w:rsidR="00DE1432" w:rsidRDefault="00DE1432" w:rsidP="00F65D5A">
      <w:pPr>
        <w:jc w:val="both"/>
      </w:pPr>
      <w:r>
        <w:t xml:space="preserve">1. Para el 24 de junio, se solicita al Receptor Principal que finalice con el Fondo Mundial, los detalles restantes del pedido (por ejemplo, dirección de entrega e incoterm) para adquirir los productos de diagnóstico COVID-19 en </w:t>
      </w:r>
      <w:proofErr w:type="spellStart"/>
      <w:r>
        <w:t>Wambo</w:t>
      </w:r>
      <w:proofErr w:type="spellEnd"/>
      <w:r>
        <w:t>;</w:t>
      </w:r>
    </w:p>
    <w:p w14:paraId="2EF89047" w14:textId="77777777" w:rsidR="00DE1432" w:rsidRDefault="00DE1432" w:rsidP="00F65D5A">
      <w:pPr>
        <w:jc w:val="both"/>
      </w:pPr>
      <w:r>
        <w:lastRenderedPageBreak/>
        <w:t>2. Para el 8 de julio de 2020, se solicita al Receptor Principal que finalice con el Fondo Mundial un Presupuesto detallado revisado que capture todas las intervenciones y actividades aprobadas de C19RM dentro del módulo COVID-19 de la plantilla de presupuesto e intervenciones para SLV-M-MOH. Se espera que las revisiones al Presupuesto detallado sigan los requisitos estándar establecidos en las Directrices del Fondo Mundial para el Presupuesto de Subvenciones (2019, enmendado de vez en cuando).</w:t>
      </w:r>
    </w:p>
    <w:p w14:paraId="346685A5" w14:textId="673247E8" w:rsidR="00DE1432" w:rsidRDefault="00DE1432" w:rsidP="00F65D5A">
      <w:pPr>
        <w:jc w:val="both"/>
      </w:pPr>
      <w:r>
        <w:t xml:space="preserve">El Equipo de País del Fondo Mundial emitirá una Carta de Implementación al recibir los artículos anteriores a satisfacción del Fondo Mundial. Para evitar demoras en la programación de los fondos adicionales, se solicita al Receptor Principal que devuelva la Carta de Implementación </w:t>
      </w:r>
      <w:r w:rsidR="00BF1E4D">
        <w:t>enm</w:t>
      </w:r>
      <w:r>
        <w:t xml:space="preserve">endada por correo electrónico </w:t>
      </w:r>
      <w:r w:rsidR="00BF1E4D">
        <w:t>tan pronto como sea</w:t>
      </w:r>
      <w:r>
        <w:t xml:space="preserve"> posible y, en cualquier caso, a más tardar 15 días después de la fecha de envío de la carta. </w:t>
      </w:r>
      <w:r w:rsidR="00BF1E4D">
        <w:t>En caso de i</w:t>
      </w:r>
      <w:r>
        <w:t>ncumplimiento</w:t>
      </w:r>
      <w:r w:rsidR="00BF1E4D">
        <w:t xml:space="preserve">, </w:t>
      </w:r>
      <w:r>
        <w:t>el Fondo Mundial podrá reinvertir los fondos en otros lugares.</w:t>
      </w:r>
    </w:p>
    <w:p w14:paraId="1B415F1B" w14:textId="5C24E14C" w:rsidR="00DE1432" w:rsidRDefault="00DE1432" w:rsidP="00F65D5A">
      <w:pPr>
        <w:jc w:val="both"/>
      </w:pPr>
      <w:r>
        <w:t xml:space="preserve">Los fondos adicionales deben utilizarse antes del </w:t>
      </w:r>
      <w:r w:rsidRPr="00BF1E4D">
        <w:rPr>
          <w:b/>
          <w:bCs/>
        </w:rPr>
        <w:t>30 de junio de 2021</w:t>
      </w:r>
      <w:r>
        <w:t xml:space="preserve"> y solo para los fines para los cuales la financiación</w:t>
      </w:r>
      <w:r w:rsidR="00BF1E4D">
        <w:t xml:space="preserve"> fue aprobada </w:t>
      </w:r>
      <w:r>
        <w:t>y de conformidad con los términos y condiciones del Acuerdo de subvención.</w:t>
      </w:r>
    </w:p>
    <w:p w14:paraId="7AA11249" w14:textId="28BBAC5F" w:rsidR="00DE1432" w:rsidRDefault="00BF1E4D" w:rsidP="00F65D5A">
      <w:pPr>
        <w:jc w:val="both"/>
      </w:pPr>
      <w:r>
        <w:t>Por favor t</w:t>
      </w:r>
      <w:r w:rsidR="00DE1432">
        <w:t>enga en cuenta que el soporte C19RM y las flexibilidades de concesión para la respuesta COVID-19 no pueden exceder</w:t>
      </w:r>
      <w:r>
        <w:t xml:space="preserve"> </w:t>
      </w:r>
      <w:r w:rsidR="00DE1432">
        <w:t>un monto equivalente al 10% de la asignación del país para el período de asignación 2020-2022.</w:t>
      </w:r>
      <w:r>
        <w:t xml:space="preserve"> </w:t>
      </w:r>
    </w:p>
    <w:p w14:paraId="104781C5" w14:textId="7CD99DBA" w:rsidR="00DE1432" w:rsidRDefault="00DE1432" w:rsidP="00F65D5A">
      <w:pPr>
        <w:jc w:val="both"/>
      </w:pPr>
      <w:r>
        <w:t>Su Gerente de Cartera del Fondo Mundial se pondrá en contacto en breve para asesorarlo sobre e</w:t>
      </w:r>
      <w:r w:rsidR="00BF1E4D">
        <w:t>ste</w:t>
      </w:r>
      <w:r>
        <w:t xml:space="preserve"> proceso</w:t>
      </w:r>
      <w:r w:rsidR="00BF1E4D">
        <w:t xml:space="preserve"> descrito</w:t>
      </w:r>
      <w:r>
        <w:t xml:space="preserve"> anterior</w:t>
      </w:r>
      <w:r w:rsidR="00BF1E4D">
        <w:t>mente</w:t>
      </w:r>
      <w:r>
        <w:t>.</w:t>
      </w:r>
    </w:p>
    <w:p w14:paraId="763A0629" w14:textId="54568F9E" w:rsidR="00DE1432" w:rsidRDefault="00DE1432" w:rsidP="00F65D5A">
      <w:pPr>
        <w:jc w:val="both"/>
      </w:pPr>
      <w:r>
        <w:t>Estamos listos para apoyar a El Salvador en la respuesta a la pandemia de COVID-19, que amenaza</w:t>
      </w:r>
      <w:r w:rsidR="00BF1E4D">
        <w:t xml:space="preserve"> con</w:t>
      </w:r>
      <w:r>
        <w:t xml:space="preserve"> destruir años de progreso contra el VIH, la tuberculosis y la malaria. Para derrotar a COVID-19, </w:t>
      </w:r>
      <w:r w:rsidR="00BF1E4D">
        <w:t xml:space="preserve">debemos </w:t>
      </w:r>
      <w:r>
        <w:t>proteger el progreso</w:t>
      </w:r>
      <w:r w:rsidR="00BF1E4D">
        <w:t xml:space="preserve"> en</w:t>
      </w:r>
      <w:r>
        <w:t xml:space="preserve"> VIH, tuberculosis y malaria, y salvar vidas, debemos unirnos para luchar.</w:t>
      </w:r>
    </w:p>
    <w:p w14:paraId="17D0810F" w14:textId="77777777" w:rsidR="00BF1E4D" w:rsidRDefault="00BF1E4D" w:rsidP="00F65D5A">
      <w:pPr>
        <w:jc w:val="both"/>
      </w:pPr>
    </w:p>
    <w:p w14:paraId="2B0B539F" w14:textId="3722FD27" w:rsidR="00DE1432" w:rsidRDefault="00BF1E4D" w:rsidP="00F65D5A">
      <w:pPr>
        <w:jc w:val="both"/>
      </w:pPr>
      <w:r>
        <w:t>S</w:t>
      </w:r>
      <w:r w:rsidR="00DE1432">
        <w:t>inceramente</w:t>
      </w:r>
      <w:r>
        <w:t xml:space="preserve"> suyo,</w:t>
      </w:r>
    </w:p>
    <w:p w14:paraId="0A4E33D3" w14:textId="77777777" w:rsidR="00BF1E4D" w:rsidRDefault="00BF1E4D" w:rsidP="00F65D5A">
      <w:pPr>
        <w:jc w:val="both"/>
      </w:pPr>
    </w:p>
    <w:p w14:paraId="6C93D6FF" w14:textId="34F3DC10" w:rsidR="00DE1432" w:rsidRDefault="00DE1432" w:rsidP="00BF1E4D">
      <w:pPr>
        <w:spacing w:after="0" w:line="240" w:lineRule="auto"/>
        <w:jc w:val="both"/>
      </w:pPr>
      <w:r>
        <w:t xml:space="preserve">Mark </w:t>
      </w:r>
      <w:proofErr w:type="spellStart"/>
      <w:r>
        <w:t>Eldon-Edington</w:t>
      </w:r>
      <w:proofErr w:type="spellEnd"/>
    </w:p>
    <w:p w14:paraId="7EABE57A" w14:textId="77777777" w:rsidR="00DE1432" w:rsidRDefault="00DE1432" w:rsidP="00BF1E4D">
      <w:pPr>
        <w:spacing w:after="0" w:line="240" w:lineRule="auto"/>
        <w:jc w:val="both"/>
      </w:pPr>
      <w:r>
        <w:t>Jefe de División</w:t>
      </w:r>
    </w:p>
    <w:p w14:paraId="64E41B28" w14:textId="238F6871" w:rsidR="00DE1432" w:rsidRDefault="00DE1432" w:rsidP="00BF1E4D">
      <w:pPr>
        <w:spacing w:after="0" w:line="240" w:lineRule="auto"/>
        <w:jc w:val="both"/>
      </w:pPr>
      <w:r>
        <w:t>Gestión de subvenciones</w:t>
      </w:r>
    </w:p>
    <w:p w14:paraId="04CEADDD" w14:textId="12653311" w:rsidR="00DE1432" w:rsidRDefault="00DE1432" w:rsidP="00F65D5A">
      <w:pPr>
        <w:jc w:val="both"/>
      </w:pPr>
    </w:p>
    <w:p w14:paraId="4F64D6B0" w14:textId="7FB33603" w:rsidR="00BF1E4D" w:rsidRPr="00BF1E4D" w:rsidRDefault="00BF1E4D" w:rsidP="00BF1E4D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BF1E4D">
        <w:rPr>
          <w:sz w:val="20"/>
          <w:szCs w:val="20"/>
        </w:rPr>
        <w:t>Cc.</w:t>
      </w:r>
      <w:proofErr w:type="spellEnd"/>
      <w:r w:rsidRPr="00BF1E4D">
        <w:rPr>
          <w:sz w:val="20"/>
          <w:szCs w:val="20"/>
        </w:rPr>
        <w:t xml:space="preserve"> Dr. Francisco José Alabi Montoya, Ministro de Salud, Ministerio de Salud</w:t>
      </w:r>
    </w:p>
    <w:p w14:paraId="192C1963" w14:textId="25C175B2" w:rsidR="00BF1E4D" w:rsidRPr="00BF1E4D" w:rsidRDefault="00BF1E4D" w:rsidP="00BF1E4D">
      <w:pPr>
        <w:spacing w:after="0" w:line="240" w:lineRule="auto"/>
        <w:jc w:val="both"/>
        <w:rPr>
          <w:sz w:val="20"/>
          <w:szCs w:val="20"/>
        </w:rPr>
      </w:pPr>
      <w:r w:rsidRPr="00BF1E4D">
        <w:rPr>
          <w:sz w:val="20"/>
          <w:szCs w:val="20"/>
        </w:rPr>
        <w:t xml:space="preserve">       Dra. Guadalupe Flores, Coordinadora Unidad de Apoyo Fondo Mundial </w:t>
      </w:r>
    </w:p>
    <w:p w14:paraId="09CD0782" w14:textId="2AACCD11" w:rsidR="00BF1E4D" w:rsidRPr="00BF1E4D" w:rsidRDefault="00BF1E4D" w:rsidP="00BF1E4D">
      <w:pPr>
        <w:spacing w:after="0" w:line="240" w:lineRule="auto"/>
        <w:jc w:val="both"/>
        <w:rPr>
          <w:sz w:val="20"/>
          <w:szCs w:val="20"/>
        </w:rPr>
      </w:pPr>
      <w:r w:rsidRPr="00BF1E4D">
        <w:rPr>
          <w:sz w:val="20"/>
          <w:szCs w:val="20"/>
        </w:rPr>
        <w:t xml:space="preserve">       Dra. Ana Isabel Nieto, Coordinadora Programa Nacional de ITS-VIH, Ministerio de Salud</w:t>
      </w:r>
    </w:p>
    <w:p w14:paraId="42238C0B" w14:textId="77777777" w:rsidR="004A162D" w:rsidRDefault="00BF1E4D" w:rsidP="004A162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F1E4D">
        <w:rPr>
          <w:sz w:val="20"/>
          <w:szCs w:val="20"/>
        </w:rPr>
        <w:t xml:space="preserve">Dr. </w:t>
      </w:r>
      <w:r>
        <w:rPr>
          <w:sz w:val="20"/>
          <w:szCs w:val="20"/>
        </w:rPr>
        <w:t>Julio Garay Ramos</w:t>
      </w:r>
      <w:r w:rsidRPr="00BF1E4D">
        <w:rPr>
          <w:sz w:val="20"/>
          <w:szCs w:val="20"/>
        </w:rPr>
        <w:t xml:space="preserve">, Coordinador Programa Nacional de </w:t>
      </w:r>
      <w:r w:rsidR="004A162D">
        <w:rPr>
          <w:sz w:val="20"/>
          <w:szCs w:val="20"/>
        </w:rPr>
        <w:t>Tuberculosis</w:t>
      </w:r>
      <w:r w:rsidRPr="00BF1E4D">
        <w:rPr>
          <w:sz w:val="20"/>
          <w:szCs w:val="20"/>
        </w:rPr>
        <w:t>, Ministerio de Salu</w:t>
      </w:r>
      <w:r w:rsidR="004A162D">
        <w:rPr>
          <w:sz w:val="20"/>
          <w:szCs w:val="20"/>
        </w:rPr>
        <w:t>d</w:t>
      </w:r>
    </w:p>
    <w:p w14:paraId="504260C3" w14:textId="3099DDF1" w:rsidR="004A162D" w:rsidRPr="00BF1E4D" w:rsidRDefault="004A162D" w:rsidP="004A162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Ing. Eduardo Romero</w:t>
      </w:r>
    </w:p>
    <w:p w14:paraId="585BB700" w14:textId="77777777" w:rsidR="00BF1E4D" w:rsidRDefault="00BF1E4D" w:rsidP="00F65D5A">
      <w:pPr>
        <w:jc w:val="both"/>
      </w:pPr>
    </w:p>
    <w:p w14:paraId="36D6AC62" w14:textId="64A000DE" w:rsidR="00DE1432" w:rsidRDefault="00DE1432" w:rsidP="00F65D5A">
      <w:pPr>
        <w:jc w:val="both"/>
      </w:pPr>
    </w:p>
    <w:p w14:paraId="64D4AA82" w14:textId="77777777" w:rsidR="004A162D" w:rsidRDefault="004A162D" w:rsidP="00F65D5A">
      <w:pPr>
        <w:jc w:val="both"/>
      </w:pPr>
    </w:p>
    <w:p w14:paraId="45691307" w14:textId="7A96291C" w:rsidR="004A162D" w:rsidRPr="009A7E02" w:rsidRDefault="004A162D" w:rsidP="004A162D">
      <w:pPr>
        <w:jc w:val="center"/>
        <w:rPr>
          <w:b/>
          <w:bCs/>
        </w:rPr>
      </w:pPr>
      <w:r w:rsidRPr="009A7E02">
        <w:rPr>
          <w:b/>
          <w:bCs/>
        </w:rPr>
        <w:lastRenderedPageBreak/>
        <w:t>ANEXO 1</w:t>
      </w:r>
    </w:p>
    <w:p w14:paraId="26A20E95" w14:textId="6B0BD34D" w:rsidR="00DE1432" w:rsidRPr="009A7E02" w:rsidRDefault="00DE1432" w:rsidP="004A162D">
      <w:pPr>
        <w:jc w:val="center"/>
        <w:rPr>
          <w:b/>
          <w:bCs/>
        </w:rPr>
      </w:pPr>
      <w:r w:rsidRPr="009A7E02">
        <w:rPr>
          <w:b/>
          <w:bCs/>
        </w:rPr>
        <w:t>Desglose de las intervenciones, actividades y montos de inversión de C19RM (así como las condiciones asociadas) aprobadas por el Fondo Mundial</w:t>
      </w:r>
    </w:p>
    <w:p w14:paraId="7DDC7B60" w14:textId="77777777" w:rsidR="009A7E02" w:rsidRDefault="009A7E02" w:rsidP="00F65D5A">
      <w:pPr>
        <w:jc w:val="both"/>
      </w:pPr>
    </w:p>
    <w:p w14:paraId="32161F41" w14:textId="0E7601D2" w:rsidR="00DE1432" w:rsidRPr="009A7E02" w:rsidRDefault="00DE1432" w:rsidP="00F65D5A">
      <w:pPr>
        <w:jc w:val="both"/>
        <w:rPr>
          <w:u w:val="single"/>
        </w:rPr>
      </w:pPr>
      <w:r w:rsidRPr="009A7E02">
        <w:rPr>
          <w:u w:val="single"/>
        </w:rPr>
        <w:t>Tabla 1: Desglose del monto de la inversión C19RM por categoría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9A7E02" w14:paraId="6225CBEC" w14:textId="77777777" w:rsidTr="009A7E02">
        <w:tc>
          <w:tcPr>
            <w:tcW w:w="1838" w:type="dxa"/>
          </w:tcPr>
          <w:p w14:paraId="61BBEC0D" w14:textId="77777777" w:rsidR="009A7E02" w:rsidRPr="009A7E02" w:rsidRDefault="009A7E02" w:rsidP="00F65D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14:paraId="015BA3EA" w14:textId="31C28CB2" w:rsidR="009A7E02" w:rsidRPr="009A7E02" w:rsidRDefault="009A7E02" w:rsidP="009A7E02">
            <w:pPr>
              <w:jc w:val="center"/>
              <w:rPr>
                <w:sz w:val="20"/>
                <w:szCs w:val="20"/>
              </w:rPr>
            </w:pPr>
            <w:r w:rsidRPr="009A7E02">
              <w:rPr>
                <w:sz w:val="20"/>
                <w:szCs w:val="20"/>
              </w:rPr>
              <w:t>Mitigar el impacto de COVID-19 en los programas de VIH, tuberculosis y malaria</w:t>
            </w:r>
          </w:p>
        </w:tc>
        <w:tc>
          <w:tcPr>
            <w:tcW w:w="2207" w:type="dxa"/>
          </w:tcPr>
          <w:p w14:paraId="64D2EEA2" w14:textId="77777777" w:rsidR="009A7E02" w:rsidRPr="009A7E02" w:rsidRDefault="009A7E02" w:rsidP="009A7E02">
            <w:pPr>
              <w:jc w:val="center"/>
              <w:rPr>
                <w:sz w:val="20"/>
                <w:szCs w:val="20"/>
              </w:rPr>
            </w:pPr>
            <w:r w:rsidRPr="009A7E02">
              <w:rPr>
                <w:sz w:val="20"/>
                <w:szCs w:val="20"/>
              </w:rPr>
              <w:t>Reforzar la respuesta nacional COVID-19</w:t>
            </w:r>
          </w:p>
          <w:p w14:paraId="33ABFEC8" w14:textId="77777777" w:rsidR="009A7E02" w:rsidRPr="009A7E02" w:rsidRDefault="009A7E02" w:rsidP="009A7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75513570" w14:textId="77777777" w:rsidR="009A7E02" w:rsidRPr="009A7E02" w:rsidRDefault="009A7E02" w:rsidP="009A7E02">
            <w:pPr>
              <w:jc w:val="center"/>
              <w:rPr>
                <w:sz w:val="20"/>
                <w:szCs w:val="20"/>
              </w:rPr>
            </w:pPr>
            <w:r w:rsidRPr="009A7E02">
              <w:rPr>
                <w:sz w:val="20"/>
                <w:szCs w:val="20"/>
              </w:rPr>
              <w:t>Mejoras urgentes en los sistemas de salud y comunitarios.</w:t>
            </w:r>
          </w:p>
          <w:p w14:paraId="685A1007" w14:textId="77777777" w:rsidR="009A7E02" w:rsidRPr="009A7E02" w:rsidRDefault="009A7E02" w:rsidP="009A7E02">
            <w:pPr>
              <w:jc w:val="center"/>
              <w:rPr>
                <w:sz w:val="20"/>
                <w:szCs w:val="20"/>
              </w:rPr>
            </w:pPr>
          </w:p>
        </w:tc>
      </w:tr>
      <w:tr w:rsidR="009A7E02" w14:paraId="16FA5505" w14:textId="77777777" w:rsidTr="009A7E02">
        <w:tc>
          <w:tcPr>
            <w:tcW w:w="1838" w:type="dxa"/>
          </w:tcPr>
          <w:p w14:paraId="5F0D0A21" w14:textId="07174873" w:rsidR="009A7E02" w:rsidRPr="009A7E02" w:rsidRDefault="009A7E02" w:rsidP="00F65D5A">
            <w:pPr>
              <w:jc w:val="both"/>
              <w:rPr>
                <w:b/>
                <w:bCs/>
                <w:sz w:val="20"/>
                <w:szCs w:val="20"/>
              </w:rPr>
            </w:pPr>
            <w:r w:rsidRPr="009A7E02">
              <w:rPr>
                <w:b/>
                <w:bCs/>
                <w:sz w:val="20"/>
                <w:szCs w:val="20"/>
              </w:rPr>
              <w:t>Premio inmediato</w:t>
            </w:r>
          </w:p>
        </w:tc>
        <w:tc>
          <w:tcPr>
            <w:tcW w:w="2576" w:type="dxa"/>
          </w:tcPr>
          <w:p w14:paraId="124A7553" w14:textId="56832F01" w:rsidR="009A7E02" w:rsidRPr="009A7E02" w:rsidRDefault="009A7E02" w:rsidP="009A7E02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02">
              <w:rPr>
                <w:b/>
                <w:bCs/>
                <w:sz w:val="20"/>
                <w:szCs w:val="20"/>
              </w:rPr>
              <w:t>USD 756,800</w:t>
            </w:r>
          </w:p>
        </w:tc>
        <w:tc>
          <w:tcPr>
            <w:tcW w:w="2207" w:type="dxa"/>
          </w:tcPr>
          <w:p w14:paraId="4D83A2C1" w14:textId="4B2FDC59" w:rsidR="009A7E02" w:rsidRPr="009A7E02" w:rsidRDefault="009A7E02" w:rsidP="009A7E02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02">
              <w:rPr>
                <w:b/>
                <w:bCs/>
                <w:sz w:val="20"/>
                <w:szCs w:val="20"/>
              </w:rPr>
              <w:t>USD 136,060</w:t>
            </w:r>
          </w:p>
        </w:tc>
        <w:tc>
          <w:tcPr>
            <w:tcW w:w="2207" w:type="dxa"/>
          </w:tcPr>
          <w:p w14:paraId="4E07A965" w14:textId="06250D7D" w:rsidR="009A7E02" w:rsidRPr="009A7E02" w:rsidRDefault="009A7E02" w:rsidP="009A7E02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02">
              <w:rPr>
                <w:b/>
                <w:bCs/>
                <w:sz w:val="20"/>
                <w:szCs w:val="20"/>
              </w:rPr>
              <w:t>N / A</w:t>
            </w:r>
          </w:p>
        </w:tc>
      </w:tr>
    </w:tbl>
    <w:p w14:paraId="021C5991" w14:textId="77777777" w:rsidR="009A7E02" w:rsidRDefault="009A7E02" w:rsidP="00F65D5A">
      <w:pPr>
        <w:jc w:val="both"/>
      </w:pPr>
    </w:p>
    <w:p w14:paraId="5528AF1E" w14:textId="77777777" w:rsidR="009A7E02" w:rsidRDefault="00DE1432" w:rsidP="009A7E02">
      <w:pPr>
        <w:spacing w:after="0" w:line="240" w:lineRule="auto"/>
        <w:jc w:val="both"/>
        <w:rPr>
          <w:u w:val="single"/>
        </w:rPr>
      </w:pPr>
      <w:r w:rsidRPr="009A7E02">
        <w:rPr>
          <w:u w:val="single"/>
        </w:rPr>
        <w:t>Tabla 2: Desglose de intervenciones y actividades para adjudicación inmediata por categoría</w:t>
      </w:r>
      <w:r w:rsidR="009A7E02">
        <w:rPr>
          <w:u w:val="single"/>
        </w:rPr>
        <w:t>.</w:t>
      </w:r>
    </w:p>
    <w:p w14:paraId="7EA4158C" w14:textId="77777777" w:rsidR="009A7E02" w:rsidRDefault="009A7E02" w:rsidP="009A7E02">
      <w:pPr>
        <w:spacing w:after="0" w:line="240" w:lineRule="auto"/>
        <w:jc w:val="both"/>
        <w:rPr>
          <w:u w:val="single"/>
        </w:rPr>
      </w:pPr>
    </w:p>
    <w:p w14:paraId="694E399C" w14:textId="77DB9A8F" w:rsidR="00DE1432" w:rsidRPr="009A7E02" w:rsidRDefault="00DE1432" w:rsidP="009A7E02">
      <w:pPr>
        <w:spacing w:after="0" w:line="240" w:lineRule="auto"/>
        <w:jc w:val="both"/>
        <w:rPr>
          <w:b/>
          <w:bCs/>
        </w:rPr>
      </w:pPr>
      <w:r w:rsidRPr="009A7E02">
        <w:rPr>
          <w:b/>
          <w:bCs/>
        </w:rPr>
        <w:t>Adjudicación inmediata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9A7E02" w14:paraId="0929AFBA" w14:textId="77777777" w:rsidTr="009A7E02">
        <w:tc>
          <w:tcPr>
            <w:tcW w:w="1838" w:type="dxa"/>
          </w:tcPr>
          <w:p w14:paraId="50585184" w14:textId="4960704C" w:rsidR="009A7E02" w:rsidRPr="009A7E02" w:rsidRDefault="009A7E02" w:rsidP="00F65D5A">
            <w:pPr>
              <w:jc w:val="both"/>
              <w:rPr>
                <w:b/>
                <w:bCs/>
              </w:rPr>
            </w:pPr>
            <w:r w:rsidRPr="009A7E02">
              <w:rPr>
                <w:b/>
                <w:bCs/>
              </w:rPr>
              <w:t>Categoría</w:t>
            </w:r>
          </w:p>
        </w:tc>
        <w:tc>
          <w:tcPr>
            <w:tcW w:w="6990" w:type="dxa"/>
          </w:tcPr>
          <w:p w14:paraId="673C2378" w14:textId="7677D7F4" w:rsidR="009A7E02" w:rsidRPr="009A7E02" w:rsidRDefault="009A7E02" w:rsidP="00F65D5A">
            <w:pPr>
              <w:jc w:val="both"/>
              <w:rPr>
                <w:b/>
                <w:bCs/>
              </w:rPr>
            </w:pPr>
            <w:r w:rsidRPr="009A7E02">
              <w:rPr>
                <w:b/>
                <w:bCs/>
              </w:rPr>
              <w:t>Intervenciones / actividades aprobadas</w:t>
            </w:r>
          </w:p>
        </w:tc>
      </w:tr>
      <w:tr w:rsidR="009A7E02" w14:paraId="7E984145" w14:textId="77777777" w:rsidTr="009A7E02">
        <w:tc>
          <w:tcPr>
            <w:tcW w:w="1838" w:type="dxa"/>
          </w:tcPr>
          <w:p w14:paraId="3C02CA6E" w14:textId="77777777" w:rsidR="009A7E02" w:rsidRPr="009A7E02" w:rsidRDefault="009A7E02" w:rsidP="009A7E02">
            <w:pPr>
              <w:jc w:val="both"/>
              <w:rPr>
                <w:sz w:val="20"/>
                <w:szCs w:val="20"/>
              </w:rPr>
            </w:pPr>
            <w:r w:rsidRPr="009A7E02">
              <w:rPr>
                <w:sz w:val="20"/>
                <w:szCs w:val="20"/>
              </w:rPr>
              <w:t>Mitigar el impacto de COVID-19 en los programas de VIH, tuberculosis y malaria</w:t>
            </w:r>
          </w:p>
          <w:p w14:paraId="1F473316" w14:textId="77777777" w:rsidR="009A7E02" w:rsidRPr="009A7E02" w:rsidRDefault="009A7E02" w:rsidP="00F65D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14:paraId="35D4D6EB" w14:textId="77777777" w:rsidR="009A7E02" w:rsidRPr="009A7E02" w:rsidRDefault="009A7E02" w:rsidP="009A7E02">
            <w:pPr>
              <w:jc w:val="both"/>
              <w:rPr>
                <w:sz w:val="20"/>
                <w:szCs w:val="20"/>
              </w:rPr>
            </w:pPr>
            <w:r w:rsidRPr="009A7E02">
              <w:rPr>
                <w:sz w:val="20"/>
                <w:szCs w:val="20"/>
              </w:rPr>
              <w:t>El Fondo Mundial ha aprobado las intervenciones y actividades establecidas en las secciones 1.2 y 1.3 (Mitigación del impacto de COVID-19 en los programas de VIH, TB, malaria) de la Solicitud de financiación de C19RM sujeto a las siguientes enmiendas:</w:t>
            </w:r>
          </w:p>
          <w:p w14:paraId="4145C71E" w14:textId="77777777" w:rsidR="009A7E02" w:rsidRPr="009A7E02" w:rsidRDefault="009A7E02" w:rsidP="009A7E02">
            <w:pPr>
              <w:jc w:val="both"/>
              <w:rPr>
                <w:sz w:val="20"/>
                <w:szCs w:val="20"/>
              </w:rPr>
            </w:pPr>
            <w:r w:rsidRPr="009A7E02">
              <w:rPr>
                <w:sz w:val="20"/>
                <w:szCs w:val="20"/>
              </w:rPr>
              <w:t>1. La confirmación por escrito firmada por el RP y el MCP de que los riesgos para los programas respaldados por el Fondo Mundial y las respuestas nacionales a las enfermedades se han abordado en otros lugares a través de la reprogramación / ahorro de costos, según sea necesario. Para finalizar durante la revisión de la subvención.</w:t>
            </w:r>
          </w:p>
          <w:p w14:paraId="2CF4AA42" w14:textId="77777777" w:rsidR="009A7E02" w:rsidRPr="009A7E02" w:rsidRDefault="009A7E02" w:rsidP="009A7E02">
            <w:pPr>
              <w:jc w:val="both"/>
              <w:rPr>
                <w:sz w:val="20"/>
                <w:szCs w:val="20"/>
              </w:rPr>
            </w:pPr>
            <w:r w:rsidRPr="009A7E02">
              <w:rPr>
                <w:sz w:val="20"/>
                <w:szCs w:val="20"/>
              </w:rPr>
              <w:t>2. Aclaración sobre el presupuesto detallado de la actividad "Estrategia de comunicación digital para los RSS que trabajan con poblaciones clave del VIH"</w:t>
            </w:r>
          </w:p>
          <w:p w14:paraId="097F9588" w14:textId="77777777" w:rsidR="009A7E02" w:rsidRPr="009A7E02" w:rsidRDefault="009A7E02" w:rsidP="00F65D5A">
            <w:pPr>
              <w:jc w:val="both"/>
              <w:rPr>
                <w:sz w:val="20"/>
                <w:szCs w:val="20"/>
              </w:rPr>
            </w:pPr>
          </w:p>
        </w:tc>
      </w:tr>
      <w:tr w:rsidR="009A7E02" w14:paraId="2FDA3794" w14:textId="77777777" w:rsidTr="009A7E02">
        <w:tc>
          <w:tcPr>
            <w:tcW w:w="1838" w:type="dxa"/>
          </w:tcPr>
          <w:p w14:paraId="13BCA1C2" w14:textId="77777777" w:rsidR="009A7E02" w:rsidRPr="009A7E02" w:rsidRDefault="009A7E02" w:rsidP="009A7E02">
            <w:pPr>
              <w:jc w:val="both"/>
              <w:rPr>
                <w:sz w:val="20"/>
                <w:szCs w:val="20"/>
              </w:rPr>
            </w:pPr>
            <w:r w:rsidRPr="009A7E02">
              <w:rPr>
                <w:sz w:val="20"/>
                <w:szCs w:val="20"/>
              </w:rPr>
              <w:t>Reforzar la respuesta nacional COVID-19</w:t>
            </w:r>
          </w:p>
          <w:p w14:paraId="320CDD1E" w14:textId="77777777" w:rsidR="009A7E02" w:rsidRPr="009A7E02" w:rsidRDefault="009A7E02" w:rsidP="00F65D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14:paraId="064D13D7" w14:textId="77777777" w:rsidR="009A7E02" w:rsidRPr="009A7E02" w:rsidRDefault="009A7E02" w:rsidP="009A7E02">
            <w:pPr>
              <w:jc w:val="both"/>
              <w:rPr>
                <w:sz w:val="20"/>
                <w:szCs w:val="20"/>
              </w:rPr>
            </w:pPr>
            <w:r w:rsidRPr="009A7E02">
              <w:rPr>
                <w:sz w:val="20"/>
                <w:szCs w:val="20"/>
              </w:rPr>
              <w:t>El Fondo Mundial ha aprobado las intervenciones y actividades establecidas en las secciones 1.2 y 1.3 (Refuerzo de la respuesta nacional COVID-19) de la Solicitud de financiamiento de C19RM sujeto a las siguientes enmiendas:</w:t>
            </w:r>
          </w:p>
          <w:p w14:paraId="55FEE324" w14:textId="65E71092" w:rsidR="009A7E02" w:rsidRPr="009A7E02" w:rsidRDefault="009A7E02" w:rsidP="009A7E02">
            <w:pPr>
              <w:jc w:val="both"/>
              <w:rPr>
                <w:sz w:val="20"/>
                <w:szCs w:val="20"/>
              </w:rPr>
            </w:pPr>
            <w:r w:rsidRPr="009A7E02">
              <w:rPr>
                <w:sz w:val="20"/>
                <w:szCs w:val="20"/>
              </w:rPr>
              <w:t xml:space="preserve">1. Se han recomendado 110.762 dólares para la adquisición de 4.858 </w:t>
            </w:r>
            <w:r>
              <w:rPr>
                <w:sz w:val="20"/>
                <w:szCs w:val="20"/>
              </w:rPr>
              <w:t>CEPHEID</w:t>
            </w:r>
            <w:r w:rsidRPr="009A7E02">
              <w:rPr>
                <w:sz w:val="20"/>
                <w:szCs w:val="20"/>
              </w:rPr>
              <w:t xml:space="preserve"> o cualquier otra prueba de SARS-CoV-2 en cumplimiento de los requisitos de garantía de calidad del Fondo Mundial, </w:t>
            </w:r>
            <w:r w:rsidRPr="009A7E02">
              <w:rPr>
                <w:b/>
                <w:bCs/>
                <w:sz w:val="20"/>
                <w:szCs w:val="20"/>
              </w:rPr>
              <w:t xml:space="preserve">con la necesidad de procesar un pedido de 1.170 pruebas de </w:t>
            </w:r>
            <w:r w:rsidRPr="009A7E02">
              <w:rPr>
                <w:b/>
                <w:bCs/>
                <w:sz w:val="20"/>
                <w:szCs w:val="20"/>
              </w:rPr>
              <w:t>CEPHEID</w:t>
            </w:r>
            <w:r w:rsidRPr="009A7E02">
              <w:rPr>
                <w:b/>
                <w:bCs/>
                <w:sz w:val="20"/>
                <w:szCs w:val="20"/>
              </w:rPr>
              <w:t xml:space="preserve"> para asegurar este volumen asignado en el plazo inmediato</w:t>
            </w:r>
            <w:r w:rsidRPr="009A7E02">
              <w:rPr>
                <w:sz w:val="20"/>
                <w:szCs w:val="20"/>
              </w:rPr>
              <w:t>, con órdenes adicionales a partir de septiembre en adelante.</w:t>
            </w:r>
          </w:p>
          <w:p w14:paraId="328B94DA" w14:textId="77777777" w:rsidR="009A7E02" w:rsidRPr="009A7E02" w:rsidRDefault="009A7E02" w:rsidP="00F65D5A">
            <w:pPr>
              <w:jc w:val="both"/>
              <w:rPr>
                <w:sz w:val="20"/>
                <w:szCs w:val="20"/>
              </w:rPr>
            </w:pPr>
          </w:p>
        </w:tc>
      </w:tr>
      <w:tr w:rsidR="009A7E02" w14:paraId="6C75B187" w14:textId="77777777" w:rsidTr="009A7E02">
        <w:tc>
          <w:tcPr>
            <w:tcW w:w="1838" w:type="dxa"/>
          </w:tcPr>
          <w:p w14:paraId="35544EB3" w14:textId="77777777" w:rsidR="009A7E02" w:rsidRPr="009A7E02" w:rsidRDefault="009A7E02" w:rsidP="009A7E02">
            <w:pPr>
              <w:jc w:val="both"/>
              <w:rPr>
                <w:sz w:val="20"/>
                <w:szCs w:val="20"/>
              </w:rPr>
            </w:pPr>
            <w:r w:rsidRPr="009A7E02">
              <w:rPr>
                <w:sz w:val="20"/>
                <w:szCs w:val="20"/>
              </w:rPr>
              <w:t>Mejoras urgentes en los sistemas de salud y comunitarios.</w:t>
            </w:r>
          </w:p>
          <w:p w14:paraId="6192EE13" w14:textId="77777777" w:rsidR="009A7E02" w:rsidRPr="009A7E02" w:rsidRDefault="009A7E02" w:rsidP="00F65D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0" w:type="dxa"/>
          </w:tcPr>
          <w:p w14:paraId="2A1219E4" w14:textId="77777777" w:rsidR="009A7E02" w:rsidRPr="009A7E02" w:rsidRDefault="009A7E02" w:rsidP="009A7E02">
            <w:pPr>
              <w:jc w:val="both"/>
              <w:rPr>
                <w:sz w:val="20"/>
                <w:szCs w:val="20"/>
              </w:rPr>
            </w:pPr>
            <w:r w:rsidRPr="009A7E02">
              <w:rPr>
                <w:sz w:val="20"/>
                <w:szCs w:val="20"/>
              </w:rPr>
              <w:t>N / A</w:t>
            </w:r>
          </w:p>
          <w:p w14:paraId="5CC4296A" w14:textId="77777777" w:rsidR="009A7E02" w:rsidRPr="009A7E02" w:rsidRDefault="009A7E02" w:rsidP="00F65D5A">
            <w:pPr>
              <w:jc w:val="both"/>
              <w:rPr>
                <w:sz w:val="20"/>
                <w:szCs w:val="20"/>
              </w:rPr>
            </w:pPr>
          </w:p>
        </w:tc>
      </w:tr>
    </w:tbl>
    <w:p w14:paraId="396E1EC0" w14:textId="77777777" w:rsidR="009A7E02" w:rsidRDefault="009A7E02" w:rsidP="00F65D5A">
      <w:pPr>
        <w:jc w:val="both"/>
      </w:pPr>
    </w:p>
    <w:p w14:paraId="6ECE9A91" w14:textId="070C9E32" w:rsidR="00DE1432" w:rsidRDefault="00DE1432" w:rsidP="00F65D5A">
      <w:pPr>
        <w:jc w:val="both"/>
      </w:pPr>
    </w:p>
    <w:p w14:paraId="0A1D9ED6" w14:textId="2D6333D6" w:rsidR="00DE1432" w:rsidRDefault="00DE1432" w:rsidP="00F65D5A">
      <w:pPr>
        <w:jc w:val="both"/>
      </w:pPr>
    </w:p>
    <w:p w14:paraId="51C86624" w14:textId="77777777" w:rsidR="00DE1432" w:rsidRDefault="00DE1432" w:rsidP="00F65D5A">
      <w:pPr>
        <w:jc w:val="both"/>
      </w:pPr>
    </w:p>
    <w:sectPr w:rsidR="00DE14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32"/>
    <w:rsid w:val="004A162D"/>
    <w:rsid w:val="00664EF5"/>
    <w:rsid w:val="009A7E02"/>
    <w:rsid w:val="00A17C4E"/>
    <w:rsid w:val="00B50053"/>
    <w:rsid w:val="00B60F2F"/>
    <w:rsid w:val="00BF1E4D"/>
    <w:rsid w:val="00DE1432"/>
    <w:rsid w:val="00F416E2"/>
    <w:rsid w:val="00F65D5A"/>
    <w:rsid w:val="00F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31B95C"/>
  <w15:chartTrackingRefBased/>
  <w15:docId w15:val="{A29EA42B-0763-41F1-9F6E-F8EA037D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1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A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Nieto</dc:creator>
  <cp:keywords/>
  <dc:description/>
  <cp:lastModifiedBy>soporte dtic</cp:lastModifiedBy>
  <cp:revision>3</cp:revision>
  <cp:lastPrinted>2020-06-23T18:01:00Z</cp:lastPrinted>
  <dcterms:created xsi:type="dcterms:W3CDTF">2020-06-23T18:15:00Z</dcterms:created>
  <dcterms:modified xsi:type="dcterms:W3CDTF">2020-06-23T18:16:00Z</dcterms:modified>
</cp:coreProperties>
</file>