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5D79E5" w14:paraId="33D35476"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TableGrid"/>
              <w:tblpPr w:leftFromText="180" w:rightFromText="180" w:vertAnchor="text" w:horzAnchor="margin" w:tblpXSpec="center" w:tblpY="2284"/>
              <w:tblOverlap w:val="never"/>
              <w:tblW w:w="9298" w:type="dxa"/>
              <w:tblBorders>
                <w:top w:val="single" w:sz="6" w:space="0" w:color="1E1E1E" w:themeColor="background2"/>
                <w:left w:val="none" w:sz="0" w:space="0" w:color="auto"/>
                <w:bottom w:val="single" w:sz="6" w:space="0" w:color="1E1E1E"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8"/>
            </w:tblGrid>
            <w:tr w:rsidR="00AF19B0" w:rsidRPr="005D79E5" w14:paraId="3F26895E" w14:textId="77777777" w:rsidTr="009A6DE4">
              <w:tc>
                <w:tcPr>
                  <w:tcW w:w="9298" w:type="dxa"/>
                  <w:vAlign w:val="center"/>
                </w:tcPr>
                <w:p w14:paraId="6908ABDC" w14:textId="77777777" w:rsidR="00B175AC" w:rsidRPr="00841157" w:rsidRDefault="009A6DE4" w:rsidP="00841157">
                  <w:pPr>
                    <w:pStyle w:val="CoverPageTitle"/>
                    <w:rPr>
                      <w:color w:val="003F72"/>
                    </w:rPr>
                  </w:pPr>
                  <w:r w:rsidRPr="00B271DB">
                    <w:rPr>
                      <w:color w:val="003F72"/>
                      <w:lang w:bidi="es-ES"/>
                    </w:rPr>
                    <w:t>Formulario de solicitud de financiamiento</w:t>
                  </w:r>
                </w:p>
                <w:p w14:paraId="0CB60D3D" w14:textId="3F435CB2" w:rsidR="00C11349" w:rsidRPr="00841157" w:rsidRDefault="00C11349" w:rsidP="000E5BFC">
                  <w:pPr>
                    <w:pStyle w:val="CoverPageTitle"/>
                    <w:rPr>
                      <w:color w:val="003F72"/>
                      <w:sz w:val="40"/>
                      <w:szCs w:val="40"/>
                    </w:rPr>
                  </w:pPr>
                  <w:r w:rsidRPr="00B271DB">
                    <w:rPr>
                      <w:color w:val="003F72"/>
                      <w:sz w:val="40"/>
                      <w:szCs w:val="40"/>
                      <w:lang w:bidi="es-ES"/>
                    </w:rPr>
                    <w:t>Período de asignación 2020-2022</w:t>
                  </w:r>
                </w:p>
              </w:tc>
            </w:tr>
          </w:tbl>
          <w:p w14:paraId="09786C6B" w14:textId="77777777" w:rsidR="00F84E3B" w:rsidRPr="00841157" w:rsidRDefault="00F84E3B" w:rsidP="00197AE7">
            <w:pPr>
              <w:pStyle w:val="NormalNoSpace"/>
              <w:jc w:val="center"/>
              <w:rPr>
                <w:caps w:val="0"/>
              </w:rPr>
            </w:pPr>
          </w:p>
          <w:p w14:paraId="4470BB6E" w14:textId="55250D34" w:rsidR="007043C7" w:rsidRPr="00841157" w:rsidRDefault="00D2069F" w:rsidP="00197AE7">
            <w:pPr>
              <w:pStyle w:val="NormalNoSpace"/>
              <w:jc w:val="center"/>
              <w:rPr>
                <w:caps w:val="0"/>
              </w:rPr>
            </w:pPr>
            <w:r w:rsidRPr="00B271DB">
              <w:rPr>
                <w:noProof/>
                <w:lang w:bidi="es-ES"/>
              </w:rPr>
              <mc:AlternateContent>
                <mc:Choice Requires="wps">
                  <w:drawing>
                    <wp:anchor distT="0" distB="0" distL="114300" distR="114300" simplePos="0" relativeHeight="251658240" behindDoc="0" locked="0" layoutInCell="1" allowOverlap="1" wp14:anchorId="18AB035E" wp14:editId="3E357E70">
                      <wp:simplePos x="0" y="0"/>
                      <wp:positionH relativeFrom="margin">
                        <wp:align>right</wp:align>
                      </wp:positionH>
                      <wp:positionV relativeFrom="margin">
                        <wp:align>center</wp:align>
                      </wp:positionV>
                      <wp:extent cx="574040" cy="10899648"/>
                      <wp:effectExtent l="0" t="0" r="0" b="0"/>
                      <wp:wrapNone/>
                      <wp:docPr id="203" name="Rectangle 203"/>
                      <wp:cNvGraphicFramePr/>
                      <a:graphic xmlns:a="http://schemas.openxmlformats.org/drawingml/2006/main">
                        <a:graphicData uri="http://schemas.microsoft.com/office/word/2010/wordprocessingShape">
                          <wps:wsp>
                            <wps:cNvSpPr/>
                            <wps:spPr>
                              <a:xfrm>
                                <a:off x="0" y="0"/>
                                <a:ext cx="574040" cy="10899648"/>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9F123" w14:textId="058D83B7" w:rsidR="00381E40" w:rsidRPr="00841157" w:rsidRDefault="00381E40" w:rsidP="0086619D">
                                  <w:pPr>
                                    <w:jc w:val="center"/>
                                    <w:rPr>
                                      <w:color w:val="FFFFFF" w:themeColor="background1"/>
                                      <w:sz w:val="48"/>
                                      <w:szCs w:val="48"/>
                                    </w:rPr>
                                  </w:pPr>
                                  <w:r>
                                    <w:rPr>
                                      <w:color w:val="FFFFFF" w:themeColor="background1"/>
                                      <w:sz w:val="48"/>
                                      <w:szCs w:val="48"/>
                                      <w:lang w:bidi="es-ES"/>
                                    </w:rPr>
                                    <w:t xml:space="preserve">Solicitud de financiamiento adaptada a los portafolios </w:t>
                                  </w:r>
                                  <w:r w:rsidRPr="00A81485">
                                    <w:rPr>
                                      <w:color w:val="FFFFFF" w:themeColor="background1"/>
                                      <w:sz w:val="48"/>
                                      <w:szCs w:val="48"/>
                                      <w:lang w:bidi="es-ES"/>
                                    </w:rPr>
                                    <w:t>Focalizados</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B035E" id="Rectangle 203" o:spid="_x0000_s1026" style="position:absolute;left:0;text-align:left;margin-left:-6pt;margin-top:0;width:45.2pt;height:858.25pt;z-index:251658240;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" fillcolor="#003f72" stroked="f" strokeweight="1pt">
                      <v:textbox style="layout-flow:vertical" inset=",14.4pt,8.64pt,18pt">
                        <w:txbxContent>
                          <w:p w14:paraId="44A9F123" w14:textId="058D83B7" w:rsidR="00381E40" w:rsidRPr="00841157" w:rsidRDefault="00381E40" w:rsidP="0086619D">
                            <w:pPr>
                              <w:jc w:val="center"/>
                              <w:rPr>
                                <w:color w:val="FFFFFF" w:themeColor="background1"/>
                                <w:sz w:val="48"/>
                                <w:szCs w:val="48"/>
                              </w:rPr>
                            </w:pPr>
                            <w:r>
                              <w:rPr>
                                <w:color w:val="FFFFFF" w:themeColor="background1"/>
                                <w:sz w:val="48"/>
                                <w:szCs w:val="48"/>
                                <w:lang w:bidi="es-ES"/>
                              </w:rPr>
                              <w:t xml:space="preserve">Solicitud de financiamiento adaptada a los portafolios </w:t>
                            </w:r>
                            <w:r w:rsidRPr="00A81485">
                              <w:rPr>
                                <w:color w:val="FFFFFF" w:themeColor="background1"/>
                                <w:sz w:val="48"/>
                                <w:szCs w:val="48"/>
                                <w:lang w:bidi="es-ES"/>
                              </w:rPr>
                              <w:t>Focalizados</w:t>
                            </w:r>
                          </w:p>
                        </w:txbxContent>
                      </v:textbox>
                      <w10:wrap anchorx="margin" anchory="margin"/>
                    </v:rect>
                  </w:pict>
                </mc:Fallback>
              </mc:AlternateContent>
            </w:r>
          </w:p>
        </w:tc>
      </w:tr>
    </w:tbl>
    <w:p w14:paraId="4D5C031D" w14:textId="77777777" w:rsidR="007043C7" w:rsidRPr="00841157" w:rsidRDefault="007043C7" w:rsidP="007043C7">
      <w:pPr>
        <w:pStyle w:val="Tiny"/>
      </w:pPr>
    </w:p>
    <w:p w14:paraId="5DF05DFA" w14:textId="77777777" w:rsidR="009A28E5" w:rsidRPr="00841157" w:rsidRDefault="009A28E5" w:rsidP="009A28E5"/>
    <w:p w14:paraId="6A4BD23C" w14:textId="77777777" w:rsidR="009F52F1" w:rsidRPr="00841157" w:rsidRDefault="009F52F1" w:rsidP="009A28E5"/>
    <w:p w14:paraId="79CD308B" w14:textId="77777777" w:rsidR="009F52F1" w:rsidRPr="00841157" w:rsidRDefault="009F52F1" w:rsidP="009A28E5"/>
    <w:p w14:paraId="4FCC4226" w14:textId="77777777" w:rsidR="009F52F1" w:rsidRPr="00841157" w:rsidRDefault="009F52F1" w:rsidP="009A28E5"/>
    <w:p w14:paraId="7FA09794" w14:textId="1E9A9C20" w:rsidR="001E4991" w:rsidRPr="00841157" w:rsidRDefault="006D1A08" w:rsidP="00F5709E">
      <w:pPr>
        <w:spacing w:after="0"/>
        <w:rPr>
          <w:rFonts w:cs="Arial"/>
          <w:i/>
          <w:iCs/>
        </w:rPr>
      </w:pPr>
      <w:r>
        <w:rPr>
          <w:rFonts w:cs="Arial"/>
          <w:i/>
          <w:lang w:bidi="es-ES"/>
        </w:rPr>
        <w:t xml:space="preserve">Consulte las instrucciones sobre solicitudes adaptadas a los portafolios </w:t>
      </w:r>
      <w:r w:rsidR="00A81485" w:rsidRPr="00A81485">
        <w:rPr>
          <w:rFonts w:cs="Arial"/>
          <w:i/>
          <w:lang w:bidi="es-ES"/>
        </w:rPr>
        <w:t>Focalizados</w:t>
      </w:r>
      <w:r>
        <w:rPr>
          <w:rFonts w:cs="Arial"/>
          <w:i/>
          <w:lang w:bidi="es-ES"/>
        </w:rPr>
        <w:t xml:space="preserve"> para </w:t>
      </w:r>
      <w:r w:rsidR="00323FC5">
        <w:rPr>
          <w:rFonts w:cs="Arial"/>
          <w:i/>
          <w:lang w:bidi="es-ES"/>
        </w:rPr>
        <w:t xml:space="preserve">llenar </w:t>
      </w:r>
      <w:r>
        <w:rPr>
          <w:rFonts w:cs="Arial"/>
          <w:i/>
          <w:lang w:bidi="es-ES"/>
        </w:rPr>
        <w:t>este formulario.</w:t>
      </w:r>
    </w:p>
    <w:p w14:paraId="636FB396" w14:textId="77777777" w:rsidR="00F5709E" w:rsidRPr="00841157" w:rsidRDefault="00F5709E" w:rsidP="00F5709E">
      <w:pPr>
        <w:spacing w:after="0"/>
        <w:rPr>
          <w:rFonts w:cs="Arial"/>
          <w:i/>
          <w:iCs/>
        </w:rPr>
      </w:pPr>
    </w:p>
    <w:p w14:paraId="67247401" w14:textId="028E9206" w:rsidR="00304EE8" w:rsidRDefault="009F52F1" w:rsidP="00F5709E">
      <w:pPr>
        <w:spacing w:after="0"/>
        <w:rPr>
          <w:rStyle w:val="Heading1Char"/>
          <w:color w:val="1E1E1E" w:themeColor="background2"/>
        </w:rPr>
      </w:pPr>
      <w:r w:rsidRPr="00B271DB">
        <w:rPr>
          <w:rStyle w:val="Heading1Char"/>
          <w:color w:val="1E1E1E" w:themeColor="background2"/>
          <w:lang w:val="es-ES" w:bidi="es-ES"/>
        </w:rPr>
        <w:t>Resumen informativo</w:t>
      </w:r>
    </w:p>
    <w:tbl>
      <w:tblPr>
        <w:tblStyle w:val="TableGrid"/>
        <w:tblW w:w="0" w:type="auto"/>
        <w:tblLook w:val="04A0" w:firstRow="1" w:lastRow="0" w:firstColumn="1" w:lastColumn="0" w:noHBand="0" w:noVBand="1"/>
      </w:tblPr>
      <w:tblGrid>
        <w:gridCol w:w="4320"/>
        <w:gridCol w:w="5472"/>
      </w:tblGrid>
      <w:tr w:rsidR="00F5709E" w:rsidRPr="00B271DB" w14:paraId="08A72EA9" w14:textId="77777777" w:rsidTr="001B10F3">
        <w:trPr>
          <w:trHeight w:val="461"/>
        </w:trPr>
        <w:tc>
          <w:tcPr>
            <w:tcW w:w="4320" w:type="dxa"/>
            <w:shd w:val="clear" w:color="auto" w:fill="F2F2F2" w:themeFill="background1" w:themeFillShade="F2"/>
            <w:vAlign w:val="center"/>
          </w:tcPr>
          <w:p w14:paraId="4AF42D59" w14:textId="77777777" w:rsidR="00F5709E" w:rsidRPr="00B271DB" w:rsidRDefault="00F5709E" w:rsidP="00815549">
            <w:pPr>
              <w:rPr>
                <w:rFonts w:cs="Arial"/>
                <w:b/>
              </w:rPr>
            </w:pPr>
            <w:bookmarkStart w:id="0" w:name="_Hlk15379458"/>
            <w:r w:rsidRPr="00B271DB">
              <w:rPr>
                <w:rFonts w:eastAsiaTheme="minorEastAsia"/>
                <w:b/>
                <w:lang w:bidi="es-ES"/>
              </w:rPr>
              <w:t>País(es)</w:t>
            </w:r>
          </w:p>
        </w:tc>
        <w:tc>
          <w:tcPr>
            <w:tcW w:w="5472" w:type="dxa"/>
            <w:vAlign w:val="center"/>
          </w:tcPr>
          <w:p w14:paraId="147C892D" w14:textId="1D07FB8A" w:rsidR="00F5709E" w:rsidRPr="00B271DB" w:rsidRDefault="00A7177A" w:rsidP="001B10F3">
            <w:pPr>
              <w:spacing w:after="0" w:line="240" w:lineRule="auto"/>
              <w:rPr>
                <w:rFonts w:cs="Arial"/>
              </w:rPr>
            </w:pPr>
            <w:r>
              <w:rPr>
                <w:rFonts w:cs="Arial"/>
              </w:rPr>
              <w:t>EL SALVADOR</w:t>
            </w:r>
          </w:p>
        </w:tc>
      </w:tr>
      <w:tr w:rsidR="00F5709E" w:rsidRPr="00B271DB" w14:paraId="50B0FF9E" w14:textId="77777777" w:rsidTr="001B10F3">
        <w:trPr>
          <w:trHeight w:val="461"/>
        </w:trPr>
        <w:tc>
          <w:tcPr>
            <w:tcW w:w="4320" w:type="dxa"/>
            <w:shd w:val="clear" w:color="auto" w:fill="F2F2F2" w:themeFill="background1" w:themeFillShade="F2"/>
            <w:vAlign w:val="center"/>
          </w:tcPr>
          <w:p w14:paraId="10B5BC6D" w14:textId="77777777" w:rsidR="00F5709E" w:rsidRPr="00B271DB" w:rsidRDefault="00F5709E" w:rsidP="00815549">
            <w:pPr>
              <w:rPr>
                <w:rFonts w:cs="Arial"/>
                <w:b/>
              </w:rPr>
            </w:pPr>
            <w:r w:rsidRPr="00B271DB">
              <w:rPr>
                <w:b/>
                <w:lang w:bidi="es-ES"/>
              </w:rPr>
              <w:t>Componente(s)</w:t>
            </w:r>
          </w:p>
        </w:tc>
        <w:tc>
          <w:tcPr>
            <w:tcW w:w="5472" w:type="dxa"/>
            <w:vAlign w:val="center"/>
          </w:tcPr>
          <w:p w14:paraId="270A4976" w14:textId="37C1891E" w:rsidR="00F5709E" w:rsidRPr="00B271DB" w:rsidRDefault="00A7177A" w:rsidP="001B10F3">
            <w:pPr>
              <w:spacing w:after="0" w:line="240" w:lineRule="auto"/>
              <w:rPr>
                <w:rFonts w:cs="Arial"/>
              </w:rPr>
            </w:pPr>
            <w:r>
              <w:rPr>
                <w:rFonts w:cs="Arial"/>
              </w:rPr>
              <w:t>VIH</w:t>
            </w:r>
          </w:p>
        </w:tc>
      </w:tr>
      <w:tr w:rsidR="00F5709E" w:rsidRPr="00A7177A" w14:paraId="187C0205" w14:textId="77777777" w:rsidTr="001B10F3">
        <w:trPr>
          <w:trHeight w:val="461"/>
        </w:trPr>
        <w:tc>
          <w:tcPr>
            <w:tcW w:w="4320" w:type="dxa"/>
            <w:shd w:val="clear" w:color="auto" w:fill="F2F2F2" w:themeFill="background1" w:themeFillShade="F2"/>
            <w:vAlign w:val="center"/>
          </w:tcPr>
          <w:p w14:paraId="314B42BD" w14:textId="77777777" w:rsidR="00F5709E" w:rsidRPr="00841157" w:rsidRDefault="00F5709E" w:rsidP="00815549">
            <w:pPr>
              <w:rPr>
                <w:rFonts w:cs="Arial"/>
                <w:b/>
              </w:rPr>
            </w:pPr>
            <w:r w:rsidRPr="00B271DB">
              <w:rPr>
                <w:b/>
                <w:lang w:bidi="es-ES"/>
              </w:rPr>
              <w:t>Fecha(s) prevista(s) de inicio de la subvención (o subvenciones)</w:t>
            </w:r>
          </w:p>
        </w:tc>
        <w:tc>
          <w:tcPr>
            <w:tcW w:w="5472" w:type="dxa"/>
            <w:vAlign w:val="center"/>
          </w:tcPr>
          <w:p w14:paraId="2F4C2D8B" w14:textId="786E9999" w:rsidR="00F5709E" w:rsidRPr="00841157" w:rsidRDefault="001B10F3" w:rsidP="001B10F3">
            <w:pPr>
              <w:spacing w:after="0" w:line="240" w:lineRule="auto"/>
              <w:rPr>
                <w:rFonts w:cs="Arial"/>
              </w:rPr>
            </w:pPr>
            <w:r>
              <w:rPr>
                <w:rFonts w:cs="Arial"/>
              </w:rPr>
              <w:t>1 de enero 2022</w:t>
            </w:r>
          </w:p>
        </w:tc>
      </w:tr>
      <w:tr w:rsidR="00F5709E" w:rsidRPr="00A7177A" w14:paraId="600C51E2" w14:textId="77777777" w:rsidTr="001B10F3">
        <w:trPr>
          <w:trHeight w:val="461"/>
        </w:trPr>
        <w:tc>
          <w:tcPr>
            <w:tcW w:w="4320" w:type="dxa"/>
            <w:shd w:val="clear" w:color="auto" w:fill="F2F2F2" w:themeFill="background1" w:themeFillShade="F2"/>
            <w:vAlign w:val="center"/>
          </w:tcPr>
          <w:p w14:paraId="68662918" w14:textId="77777777" w:rsidR="00F5709E" w:rsidRPr="00841157" w:rsidRDefault="00F5709E" w:rsidP="00815549">
            <w:pPr>
              <w:rPr>
                <w:rFonts w:cs="Arial"/>
                <w:b/>
              </w:rPr>
            </w:pPr>
            <w:r w:rsidRPr="00B271DB">
              <w:rPr>
                <w:b/>
                <w:lang w:bidi="es-ES"/>
              </w:rPr>
              <w:t>Fecha(s) prevista(s) de finalización de la subvención (o subvenciones)</w:t>
            </w:r>
          </w:p>
        </w:tc>
        <w:tc>
          <w:tcPr>
            <w:tcW w:w="5472" w:type="dxa"/>
            <w:vAlign w:val="center"/>
          </w:tcPr>
          <w:p w14:paraId="32436F29" w14:textId="78AB85F4" w:rsidR="00F5709E" w:rsidRPr="00841157" w:rsidRDefault="001B10F3" w:rsidP="001B10F3">
            <w:pPr>
              <w:spacing w:after="0" w:line="240" w:lineRule="auto"/>
              <w:rPr>
                <w:rFonts w:cs="Arial"/>
              </w:rPr>
            </w:pPr>
            <w:r>
              <w:rPr>
                <w:rFonts w:cs="Arial"/>
              </w:rPr>
              <w:t>31 de diciembre 2024</w:t>
            </w:r>
          </w:p>
        </w:tc>
      </w:tr>
      <w:tr w:rsidR="00F5709E" w:rsidRPr="005D79E5" w14:paraId="0AD254AE" w14:textId="77777777" w:rsidTr="001B10F3">
        <w:trPr>
          <w:trHeight w:val="461"/>
        </w:trPr>
        <w:tc>
          <w:tcPr>
            <w:tcW w:w="4320" w:type="dxa"/>
            <w:shd w:val="clear" w:color="auto" w:fill="F2F2F2" w:themeFill="background1" w:themeFillShade="F2"/>
            <w:vAlign w:val="center"/>
          </w:tcPr>
          <w:p w14:paraId="53AE2AB6" w14:textId="77777777" w:rsidR="00F5709E" w:rsidRPr="00B271DB" w:rsidRDefault="00F5709E" w:rsidP="00815549">
            <w:pPr>
              <w:rPr>
                <w:rFonts w:cs="Arial"/>
                <w:b/>
              </w:rPr>
            </w:pPr>
            <w:r w:rsidRPr="00B271DB">
              <w:rPr>
                <w:b/>
                <w:lang w:bidi="es-ES"/>
              </w:rPr>
              <w:t xml:space="preserve">Receptor(es) principal(es) </w:t>
            </w:r>
          </w:p>
        </w:tc>
        <w:tc>
          <w:tcPr>
            <w:tcW w:w="5472" w:type="dxa"/>
            <w:vAlign w:val="center"/>
          </w:tcPr>
          <w:p w14:paraId="5BA95943" w14:textId="5E1C5CF5" w:rsidR="00F5709E" w:rsidRPr="009278C5" w:rsidRDefault="009278C5" w:rsidP="001B10F3">
            <w:pPr>
              <w:spacing w:after="0" w:line="240" w:lineRule="auto"/>
              <w:rPr>
                <w:rFonts w:cs="Arial"/>
                <w:lang w:val="es-NI"/>
              </w:rPr>
            </w:pPr>
            <w:r w:rsidRPr="00D54297">
              <w:t>Ministerio de Salud y P</w:t>
            </w:r>
            <w:r>
              <w:t>lan International</w:t>
            </w:r>
          </w:p>
        </w:tc>
      </w:tr>
      <w:tr w:rsidR="00F5709E" w:rsidRPr="00B271DB" w14:paraId="4C4543EA" w14:textId="77777777" w:rsidTr="001B10F3">
        <w:trPr>
          <w:trHeight w:val="461"/>
        </w:trPr>
        <w:tc>
          <w:tcPr>
            <w:tcW w:w="4320" w:type="dxa"/>
            <w:shd w:val="clear" w:color="auto" w:fill="F2F2F2" w:themeFill="background1" w:themeFillShade="F2"/>
            <w:vAlign w:val="center"/>
          </w:tcPr>
          <w:p w14:paraId="42075BEC" w14:textId="77777777" w:rsidR="00F5709E" w:rsidRPr="00B271DB" w:rsidRDefault="00F5709E" w:rsidP="00815549">
            <w:pPr>
              <w:rPr>
                <w:rFonts w:cs="Arial"/>
                <w:b/>
              </w:rPr>
            </w:pPr>
            <w:r w:rsidRPr="00B271DB">
              <w:rPr>
                <w:b/>
                <w:lang w:bidi="es-ES"/>
              </w:rPr>
              <w:t>Moneda</w:t>
            </w:r>
          </w:p>
        </w:tc>
        <w:tc>
          <w:tcPr>
            <w:tcW w:w="5472" w:type="dxa"/>
            <w:vAlign w:val="center"/>
          </w:tcPr>
          <w:p w14:paraId="2F5E35DE" w14:textId="18FECA0B" w:rsidR="00F5709E" w:rsidRPr="00B271DB" w:rsidRDefault="00A7177A" w:rsidP="001B10F3">
            <w:pPr>
              <w:spacing w:after="0" w:line="240" w:lineRule="auto"/>
              <w:rPr>
                <w:rFonts w:cs="Arial"/>
              </w:rPr>
            </w:pPr>
            <w:r>
              <w:rPr>
                <w:rFonts w:cs="Arial"/>
              </w:rPr>
              <w:t>US DOLLAR</w:t>
            </w:r>
          </w:p>
        </w:tc>
      </w:tr>
      <w:tr w:rsidR="00F5709E" w:rsidRPr="00A7177A" w14:paraId="5875766C" w14:textId="77777777" w:rsidTr="001B10F3">
        <w:trPr>
          <w:trHeight w:val="461"/>
        </w:trPr>
        <w:tc>
          <w:tcPr>
            <w:tcW w:w="4320" w:type="dxa"/>
            <w:shd w:val="clear" w:color="auto" w:fill="F2F2F2" w:themeFill="background1" w:themeFillShade="F2"/>
            <w:vAlign w:val="center"/>
          </w:tcPr>
          <w:p w14:paraId="184B3FAD" w14:textId="77777777" w:rsidR="00F5709E" w:rsidRPr="00841157" w:rsidRDefault="00F5709E" w:rsidP="00815549">
            <w:pPr>
              <w:rPr>
                <w:rFonts w:cs="Arial"/>
                <w:b/>
              </w:rPr>
            </w:pPr>
            <w:r w:rsidRPr="00B271DB">
              <w:rPr>
                <w:b/>
                <w:lang w:bidi="es-ES"/>
              </w:rPr>
              <w:t>Monto de la solicitud de financiamiento</w:t>
            </w:r>
          </w:p>
        </w:tc>
        <w:tc>
          <w:tcPr>
            <w:tcW w:w="5472" w:type="dxa"/>
            <w:vAlign w:val="center"/>
          </w:tcPr>
          <w:p w14:paraId="19D69742" w14:textId="6BDA03CC" w:rsidR="00F5709E" w:rsidRPr="00841157" w:rsidRDefault="009278C5" w:rsidP="001B10F3">
            <w:pPr>
              <w:spacing w:after="0" w:line="240" w:lineRule="auto"/>
              <w:rPr>
                <w:rFonts w:cs="Arial"/>
              </w:rPr>
            </w:pPr>
            <w:r>
              <w:t>US$ 16,074,816</w:t>
            </w:r>
          </w:p>
        </w:tc>
      </w:tr>
      <w:tr w:rsidR="00F5709E" w:rsidRPr="00A56294" w14:paraId="464BB29D" w14:textId="77777777" w:rsidTr="001B10F3">
        <w:trPr>
          <w:trHeight w:val="461"/>
        </w:trPr>
        <w:tc>
          <w:tcPr>
            <w:tcW w:w="4320" w:type="dxa"/>
            <w:shd w:val="clear" w:color="auto" w:fill="F2F2F2" w:themeFill="background1" w:themeFillShade="F2"/>
            <w:vAlign w:val="center"/>
          </w:tcPr>
          <w:p w14:paraId="2D4CF6F6" w14:textId="77777777" w:rsidR="00F5709E" w:rsidRPr="00841157" w:rsidRDefault="00F5709E" w:rsidP="00815549">
            <w:pPr>
              <w:rPr>
                <w:rFonts w:cs="Arial"/>
                <w:b/>
              </w:rPr>
            </w:pPr>
            <w:r w:rsidRPr="00B271DB">
              <w:rPr>
                <w:b/>
                <w:lang w:bidi="es-ES"/>
              </w:rPr>
              <w:t>Importe de la solicitud priorizada por encima del monto asignado</w:t>
            </w:r>
            <w:r w:rsidRPr="00B271DB">
              <w:rPr>
                <w:rStyle w:val="FootnoteReference"/>
                <w:b/>
                <w:lang w:val="es-ES" w:bidi="es-ES"/>
              </w:rPr>
              <w:footnoteReference w:id="2"/>
            </w:r>
            <w:r w:rsidRPr="00B271DB">
              <w:rPr>
                <w:b/>
                <w:lang w:bidi="es-ES"/>
              </w:rPr>
              <w:t xml:space="preserve"> </w:t>
            </w:r>
          </w:p>
        </w:tc>
        <w:tc>
          <w:tcPr>
            <w:tcW w:w="5472" w:type="dxa"/>
            <w:vAlign w:val="center"/>
          </w:tcPr>
          <w:p w14:paraId="7CAAFA27" w14:textId="04861984" w:rsidR="00F5709E" w:rsidRPr="00841157" w:rsidRDefault="009708FA" w:rsidP="001B10F3">
            <w:pPr>
              <w:spacing w:after="0" w:line="240" w:lineRule="auto"/>
              <w:rPr>
                <w:rFonts w:cs="Arial"/>
              </w:rPr>
            </w:pPr>
            <w:r>
              <w:rPr>
                <w:rFonts w:cs="Arial"/>
              </w:rPr>
              <w:t>$2,831,941.00</w:t>
            </w:r>
          </w:p>
        </w:tc>
      </w:tr>
      <w:tr w:rsidR="00F5709E" w:rsidRPr="00B271DB" w14:paraId="356F7A0D" w14:textId="77777777" w:rsidTr="001B10F3">
        <w:trPr>
          <w:trHeight w:val="461"/>
        </w:trPr>
        <w:tc>
          <w:tcPr>
            <w:tcW w:w="4320" w:type="dxa"/>
            <w:shd w:val="clear" w:color="auto" w:fill="F2F2F2" w:themeFill="background1" w:themeFillShade="F2"/>
            <w:vAlign w:val="center"/>
          </w:tcPr>
          <w:p w14:paraId="61100208" w14:textId="07A93DC3" w:rsidR="00F5709E" w:rsidRPr="00841157" w:rsidRDefault="00F5709E" w:rsidP="00815549">
            <w:pPr>
              <w:spacing w:after="0"/>
              <w:rPr>
                <w:b/>
                <w:bCs/>
              </w:rPr>
            </w:pPr>
            <w:r w:rsidRPr="00B271DB">
              <w:rPr>
                <w:b/>
                <w:lang w:bidi="es-ES"/>
              </w:rPr>
              <w:t xml:space="preserve">Monto de los fondos </w:t>
            </w:r>
            <w:r w:rsidR="00323FC5">
              <w:rPr>
                <w:b/>
                <w:lang w:bidi="es-ES"/>
              </w:rPr>
              <w:t>en contrapartida</w:t>
            </w:r>
            <w:r>
              <w:rPr>
                <w:rStyle w:val="FootnoteReference"/>
                <w:b/>
                <w:lang w:val="es-ES" w:bidi="es-ES"/>
              </w:rPr>
              <w:footnoteReference w:id="3"/>
            </w:r>
            <w:r w:rsidRPr="00B271DB">
              <w:rPr>
                <w:b/>
                <w:lang w:bidi="es-ES"/>
              </w:rPr>
              <w:t xml:space="preserve"> </w:t>
            </w:r>
          </w:p>
          <w:p w14:paraId="3E2AD44F" w14:textId="77777777" w:rsidR="00F5709E" w:rsidRPr="00890D60" w:rsidRDefault="00F5709E" w:rsidP="00815549">
            <w:pPr>
              <w:rPr>
                <w:rFonts w:cs="Arial"/>
              </w:rPr>
            </w:pPr>
            <w:r w:rsidRPr="00890D60">
              <w:rPr>
                <w:lang w:bidi="es-ES"/>
              </w:rPr>
              <w:t>(si procede)</w:t>
            </w:r>
          </w:p>
        </w:tc>
        <w:tc>
          <w:tcPr>
            <w:tcW w:w="5472" w:type="dxa"/>
            <w:vAlign w:val="center"/>
          </w:tcPr>
          <w:p w14:paraId="0C1FA7A7" w14:textId="6AA12A6E" w:rsidR="00F5709E" w:rsidRPr="00B271DB" w:rsidRDefault="009278C5" w:rsidP="001B10F3">
            <w:pPr>
              <w:spacing w:after="0" w:line="240" w:lineRule="auto"/>
              <w:rPr>
                <w:rFonts w:cs="Arial"/>
              </w:rPr>
            </w:pPr>
            <w:r w:rsidRPr="008E2221">
              <w:rPr>
                <w:lang w:val="es-NI"/>
              </w:rPr>
              <w:t>No aplica</w:t>
            </w:r>
          </w:p>
        </w:tc>
      </w:tr>
      <w:bookmarkEnd w:id="0"/>
    </w:tbl>
    <w:p w14:paraId="32848ED4" w14:textId="10D69B93" w:rsidR="00F5709E" w:rsidRDefault="00F5709E" w:rsidP="00F5709E">
      <w:pPr>
        <w:spacing w:after="0"/>
        <w:rPr>
          <w:rStyle w:val="Heading1Char"/>
          <w:color w:val="1E1E1E" w:themeColor="background2"/>
        </w:rPr>
      </w:pPr>
    </w:p>
    <w:p w14:paraId="32CD72B3" w14:textId="4712F82E" w:rsidR="00F5709E" w:rsidRDefault="00F5709E" w:rsidP="00F5709E">
      <w:pPr>
        <w:spacing w:after="0"/>
        <w:rPr>
          <w:rStyle w:val="Heading1Char"/>
          <w:color w:val="1E1E1E" w:themeColor="background2"/>
        </w:rPr>
      </w:pPr>
    </w:p>
    <w:p w14:paraId="0E1ACD44" w14:textId="1CE9945B" w:rsidR="00F5709E" w:rsidRPr="00B271DB" w:rsidRDefault="00FB752A" w:rsidP="00F5709E">
      <w:pPr>
        <w:spacing w:after="0"/>
        <w:jc w:val="center"/>
        <w:rPr>
          <w:rFonts w:cs="Arial"/>
          <w:i/>
          <w:iCs/>
        </w:rPr>
      </w:pPr>
      <w:r>
        <w:rPr>
          <w:rFonts w:cs="Arial"/>
          <w:i/>
          <w:iCs/>
          <w:noProof/>
        </w:rPr>
        <w:drawing>
          <wp:inline distT="0" distB="0" distL="0" distR="0" wp14:anchorId="47ED32D0" wp14:editId="71C32189">
            <wp:extent cx="2352675" cy="48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message_dn2ldtso.54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3450" cy="496719"/>
                    </a:xfrm>
                    <a:prstGeom prst="rect">
                      <a:avLst/>
                    </a:prstGeom>
                  </pic:spPr>
                </pic:pic>
              </a:graphicData>
            </a:graphic>
          </wp:inline>
        </w:drawing>
      </w:r>
    </w:p>
    <w:p w14:paraId="7467D48D" w14:textId="77777777" w:rsidR="001D5CEF" w:rsidRDefault="001D5CEF">
      <w:pPr>
        <w:spacing w:after="160" w:line="0" w:lineRule="auto"/>
        <w:rPr>
          <w:rFonts w:eastAsiaTheme="majorEastAsia" w:cs="Arial"/>
          <w:bCs/>
          <w:noProof/>
          <w:sz w:val="36"/>
          <w:szCs w:val="30"/>
          <w:highlight w:val="lightGray"/>
        </w:rPr>
      </w:pPr>
      <w:r>
        <w:rPr>
          <w:highlight w:val="lightGray"/>
          <w:lang w:bidi="es-ES"/>
        </w:rPr>
        <w:br w:type="page"/>
      </w:r>
    </w:p>
    <w:p w14:paraId="52502048" w14:textId="0CCCBA79" w:rsidR="00854A89" w:rsidRPr="00841157" w:rsidRDefault="00824D66" w:rsidP="00824D66">
      <w:pPr>
        <w:pStyle w:val="Heading1"/>
        <w:numPr>
          <w:ilvl w:val="0"/>
          <w:numId w:val="0"/>
        </w:num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before="0" w:after="120"/>
        <w:ind w:left="567" w:hanging="567"/>
        <w:rPr>
          <w:b/>
          <w:sz w:val="30"/>
        </w:rPr>
      </w:pPr>
      <w:r>
        <w:rPr>
          <w:b/>
          <w:sz w:val="30"/>
          <w:lang w:bidi="es-ES"/>
        </w:rPr>
        <w:lastRenderedPageBreak/>
        <w:t>Sección 1: Solicitud de financiamiento y priorización</w:t>
      </w:r>
    </w:p>
    <w:p w14:paraId="7A8EB95A" w14:textId="64615154" w:rsidR="00A77418" w:rsidRPr="00841157" w:rsidRDefault="00A77418" w:rsidP="00027195">
      <w:pPr>
        <w:spacing w:after="0" w:line="240" w:lineRule="auto"/>
        <w:jc w:val="both"/>
        <w:textAlignment w:val="baseline"/>
        <w:rPr>
          <w:rFonts w:ascii="Segoe UI" w:eastAsia="Times New Roman" w:hAnsi="Segoe UI" w:cs="Segoe UI"/>
        </w:rPr>
      </w:pPr>
      <w:r w:rsidRPr="00BF4BEE">
        <w:rPr>
          <w:rFonts w:eastAsia="Times New Roman" w:cs="Arial"/>
          <w:lang w:bidi="es-ES"/>
        </w:rPr>
        <w:t xml:space="preserve">Para responder las preguntas a continuación, consulte las </w:t>
      </w:r>
      <w:r w:rsidRPr="00BF4BEE">
        <w:rPr>
          <w:rFonts w:eastAsia="Times New Roman" w:cs="Arial"/>
          <w:i/>
          <w:lang w:bidi="es-ES"/>
        </w:rPr>
        <w:t xml:space="preserve">Instrucciones </w:t>
      </w:r>
      <w:r w:rsidRPr="00BF4BEE">
        <w:rPr>
          <w:rFonts w:eastAsia="Times New Roman" w:cs="Arial"/>
          <w:lang w:bidi="es-ES"/>
        </w:rPr>
        <w:t xml:space="preserve">y los documentos de estrategia nacional, </w:t>
      </w:r>
      <w:r w:rsidRPr="00BF4BEE">
        <w:rPr>
          <w:rFonts w:eastAsia="Times New Roman" w:cs="Arial"/>
          <w:b/>
          <w:lang w:bidi="es-ES"/>
        </w:rPr>
        <w:t>la(s) tabla(s) de deficiencias programáticas</w:t>
      </w:r>
      <w:r w:rsidRPr="00BF4BEE">
        <w:rPr>
          <w:rFonts w:eastAsia="Times New Roman" w:cs="Arial"/>
          <w:lang w:bidi="es-ES"/>
        </w:rPr>
        <w:t xml:space="preserve">, </w:t>
      </w:r>
      <w:r w:rsidRPr="00BF4BEE">
        <w:rPr>
          <w:rFonts w:eastAsia="Times New Roman" w:cs="Arial"/>
          <w:b/>
          <w:lang w:bidi="es-ES"/>
        </w:rPr>
        <w:t>la(s) tabla(s) de panorama de financiamiento</w:t>
      </w:r>
      <w:r w:rsidRPr="00BF4BEE">
        <w:rPr>
          <w:rFonts w:eastAsia="Times New Roman" w:cs="Arial"/>
          <w:lang w:bidi="es-ES"/>
        </w:rPr>
        <w:t xml:space="preserve">, </w:t>
      </w:r>
      <w:r w:rsidRPr="00BF4BEE">
        <w:rPr>
          <w:rFonts w:eastAsia="Times New Roman" w:cs="Arial"/>
          <w:b/>
          <w:lang w:bidi="es-ES"/>
        </w:rPr>
        <w:t>el marco de desempeño</w:t>
      </w:r>
      <w:r w:rsidRPr="00BF4BEE">
        <w:rPr>
          <w:rFonts w:eastAsia="Times New Roman" w:cs="Arial"/>
          <w:lang w:bidi="es-ES"/>
        </w:rPr>
        <w:t xml:space="preserve">, </w:t>
      </w:r>
      <w:r w:rsidRPr="00BF4BEE">
        <w:rPr>
          <w:rFonts w:eastAsia="Times New Roman" w:cs="Arial"/>
          <w:b/>
          <w:lang w:bidi="es-ES"/>
        </w:rPr>
        <w:t>el presupuesto y la(s) tabla(s) de datos</w:t>
      </w:r>
      <w:r w:rsidR="00CF7F79">
        <w:rPr>
          <w:rFonts w:eastAsia="Times New Roman" w:cs="Arial"/>
          <w:b/>
          <w:lang w:bidi="es-ES"/>
        </w:rPr>
        <w:t xml:space="preserve"> esenciales</w:t>
      </w:r>
      <w:r w:rsidRPr="00BF4BEE">
        <w:rPr>
          <w:rFonts w:eastAsia="Times New Roman" w:cs="Arial"/>
          <w:lang w:bidi="es-ES"/>
        </w:rPr>
        <w:t>.</w:t>
      </w:r>
    </w:p>
    <w:p w14:paraId="3E738F92" w14:textId="3BEE3578" w:rsidR="00485066" w:rsidRPr="00841157" w:rsidRDefault="00854A89" w:rsidP="00485066">
      <w:pPr>
        <w:spacing w:after="0" w:line="240" w:lineRule="auto"/>
        <w:rPr>
          <w:rFonts w:cs="Arial"/>
          <w:szCs w:val="20"/>
        </w:rPr>
      </w:pPr>
      <w:r>
        <w:rPr>
          <w:rStyle w:val="eop"/>
          <w:rFonts w:cs="Arial"/>
          <w:lang w:bidi="es-ES"/>
        </w:rPr>
        <w:t> </w:t>
      </w:r>
    </w:p>
    <w:p w14:paraId="725798D2" w14:textId="4325C6E0" w:rsidR="00485066" w:rsidRPr="00841157" w:rsidRDefault="00B4096F" w:rsidP="00485066">
      <w:pPr>
        <w:pStyle w:val="Heading2"/>
        <w:numPr>
          <w:ilvl w:val="1"/>
          <w:numId w:val="18"/>
        </w:numPr>
        <w:shd w:val="clear" w:color="auto" w:fill="D9D9D9" w:themeFill="background1" w:themeFillShade="D9"/>
        <w:spacing w:before="0" w:after="0" w:line="240" w:lineRule="auto"/>
        <w:rPr>
          <w:b w:val="0"/>
          <w:szCs w:val="20"/>
        </w:rPr>
      </w:pPr>
      <w:r>
        <w:rPr>
          <w:sz w:val="20"/>
          <w:szCs w:val="20"/>
          <w:lang w:bidi="es-ES"/>
        </w:rPr>
        <w:t>Contexto general y prioridades de financiamiento</w:t>
      </w:r>
    </w:p>
    <w:p w14:paraId="258EA6C1" w14:textId="77777777" w:rsidR="00485066" w:rsidRPr="00841157" w:rsidRDefault="00485066" w:rsidP="008C21CF">
      <w:pPr>
        <w:spacing w:after="0"/>
        <w:rPr>
          <w:rFonts w:cs="Arial"/>
          <w:bCs/>
        </w:rPr>
      </w:pPr>
    </w:p>
    <w:p w14:paraId="787CA4B2" w14:textId="2E11683F" w:rsidR="00A77418" w:rsidRPr="00841157" w:rsidRDefault="001D5CEF" w:rsidP="008C21CF">
      <w:pPr>
        <w:pStyle w:val="paragraph"/>
        <w:spacing w:before="0" w:beforeAutospacing="0" w:after="0" w:afterAutospacing="0"/>
        <w:jc w:val="both"/>
        <w:textAlignment w:val="baseline"/>
        <w:rPr>
          <w:rFonts w:asciiTheme="minorHAnsi" w:hAnsiTheme="minorHAnsi" w:cstheme="minorHAnsi"/>
          <w:sz w:val="22"/>
          <w:szCs w:val="22"/>
        </w:rPr>
      </w:pPr>
      <w:r w:rsidRPr="004619FD">
        <w:rPr>
          <w:rStyle w:val="normaltextrun"/>
          <w:rFonts w:asciiTheme="minorHAnsi" w:hAnsiTheme="minorHAnsi" w:cstheme="minorHAnsi"/>
          <w:sz w:val="22"/>
          <w:szCs w:val="22"/>
          <w:lang w:bidi="es-ES"/>
        </w:rPr>
        <w:t xml:space="preserve">a) Destaque los factores cruciales del </w:t>
      </w:r>
      <w:r w:rsidRPr="004619FD">
        <w:rPr>
          <w:rStyle w:val="normaltextrun"/>
          <w:rFonts w:asciiTheme="minorHAnsi" w:hAnsiTheme="minorHAnsi" w:cstheme="minorHAnsi"/>
          <w:b/>
          <w:sz w:val="22"/>
          <w:szCs w:val="22"/>
          <w:lang w:bidi="es-ES"/>
        </w:rPr>
        <w:t>contexto nacional</w:t>
      </w:r>
      <w:r w:rsidRPr="004619FD">
        <w:rPr>
          <w:rStyle w:val="normaltextrun"/>
          <w:rFonts w:asciiTheme="minorHAnsi" w:hAnsiTheme="minorHAnsi" w:cstheme="minorHAnsi"/>
          <w:sz w:val="22"/>
          <w:szCs w:val="22"/>
          <w:lang w:bidi="es-ES"/>
        </w:rPr>
        <w:t xml:space="preserve"> que han servido de base al desarrollo de esta solicitud de financiamiento</w:t>
      </w:r>
      <w:r w:rsidR="00907DE9">
        <w:rPr>
          <w:rStyle w:val="eop"/>
          <w:rFonts w:asciiTheme="minorHAnsi" w:hAnsiTheme="minorHAnsi" w:cstheme="minorHAnsi"/>
          <w:sz w:val="22"/>
          <w:szCs w:val="22"/>
          <w:lang w:bidi="es-ES"/>
        </w:rPr>
        <w:t xml:space="preserve">, sin olvidar los aspectos relacionados con las poblaciones clave o vulnerables, los derechos humanos y el género. </w:t>
      </w:r>
    </w:p>
    <w:p w14:paraId="6C9FF455" w14:textId="6938CC81" w:rsidR="00485066" w:rsidRPr="00841157" w:rsidRDefault="00485066" w:rsidP="00633BBC">
      <w:pPr>
        <w:pStyle w:val="paragraph"/>
        <w:spacing w:before="0" w:beforeAutospacing="0" w:after="0" w:afterAutospacing="0"/>
        <w:jc w:val="both"/>
        <w:textAlignment w:val="baseline"/>
        <w:rPr>
          <w:rFonts w:eastAsia="Calibri" w:cs="Arial"/>
        </w:rPr>
      </w:pPr>
    </w:p>
    <w:tbl>
      <w:tblPr>
        <w:tblStyle w:val="TableGrid"/>
        <w:tblW w:w="10541" w:type="dxa"/>
        <w:tblCellMar>
          <w:left w:w="70" w:type="dxa"/>
          <w:right w:w="70" w:type="dxa"/>
        </w:tblCellMar>
        <w:tblLook w:val="04A0" w:firstRow="1" w:lastRow="0" w:firstColumn="1" w:lastColumn="0" w:noHBand="0" w:noVBand="1"/>
      </w:tblPr>
      <w:tblGrid>
        <w:gridCol w:w="10541"/>
      </w:tblGrid>
      <w:tr w:rsidR="009278C5" w:rsidRPr="00F06328" w14:paraId="277B5374" w14:textId="77777777" w:rsidTr="00EF31A6">
        <w:tc>
          <w:tcPr>
            <w:tcW w:w="10541" w:type="dxa"/>
          </w:tcPr>
          <w:p w14:paraId="0A8A61AC" w14:textId="77777777" w:rsidR="009278C5" w:rsidRPr="007D2C39" w:rsidRDefault="009278C5" w:rsidP="00617951">
            <w:pPr>
              <w:pStyle w:val="ListParagraph"/>
              <w:numPr>
                <w:ilvl w:val="0"/>
                <w:numId w:val="38"/>
              </w:numPr>
              <w:jc w:val="both"/>
              <w:rPr>
                <w:b/>
                <w:bCs/>
                <w:u w:val="single"/>
                <w:lang w:bidi="es-ES"/>
              </w:rPr>
            </w:pPr>
            <w:r w:rsidRPr="007D2C39">
              <w:rPr>
                <w:b/>
                <w:bCs/>
                <w:u w:val="single"/>
                <w:lang w:bidi="es-ES"/>
              </w:rPr>
              <w:t>Generalidades y COVID19</w:t>
            </w:r>
          </w:p>
          <w:p w14:paraId="79D1A9EB" w14:textId="43A19AB1" w:rsidR="009278C5" w:rsidRPr="00B17E98" w:rsidRDefault="009278C5" w:rsidP="009278C5">
            <w:pPr>
              <w:jc w:val="both"/>
              <w:rPr>
                <w:lang w:bidi="es-ES"/>
              </w:rPr>
            </w:pPr>
            <w:r w:rsidRPr="00D325A6">
              <w:rPr>
                <w:lang w:bidi="es-ES"/>
              </w:rPr>
              <w:t>El Salvador, con una extensión de 20 742 km</w:t>
            </w:r>
            <w:r w:rsidRPr="00D325A6">
              <w:rPr>
                <w:vertAlign w:val="superscript"/>
                <w:lang w:bidi="es-ES"/>
              </w:rPr>
              <w:t>2</w:t>
            </w:r>
            <w:r w:rsidRPr="00D325A6">
              <w:rPr>
                <w:lang w:bidi="es-ES"/>
              </w:rPr>
              <w:t>, es el país más pequeño de Centroamérica. Al 2019, 6,7 millones de habitantes residían en el país (se estima 1,5 millones viv</w:t>
            </w:r>
            <w:r w:rsidRPr="00B17E98">
              <w:rPr>
                <w:lang w:bidi="es-ES"/>
              </w:rPr>
              <w:t>en en el extranjero)</w:t>
            </w:r>
            <w:r w:rsidR="00A56294" w:rsidRPr="00B17E98">
              <w:rPr>
                <w:lang w:bidi="es-ES"/>
              </w:rPr>
              <w:t xml:space="preserve"> [Anexo 1.1]</w:t>
            </w:r>
            <w:r w:rsidRPr="00B17E98">
              <w:rPr>
                <w:lang w:bidi="es-ES"/>
              </w:rPr>
              <w:t>. Con una densidad de población superior a los 300 habitantes por km</w:t>
            </w:r>
            <w:r w:rsidRPr="00B17E98">
              <w:rPr>
                <w:vertAlign w:val="superscript"/>
                <w:lang w:bidi="es-ES"/>
              </w:rPr>
              <w:t>2</w:t>
            </w:r>
            <w:r w:rsidRPr="00B17E98">
              <w:rPr>
                <w:lang w:bidi="es-ES"/>
              </w:rPr>
              <w:t xml:space="preserve"> lo hace estar en el 83º percentil en el mundo en términos de densidad poblacional.</w:t>
            </w:r>
          </w:p>
          <w:p w14:paraId="7B70A38A" w14:textId="4D29C7C5" w:rsidR="009278C5" w:rsidRPr="00B17E98" w:rsidRDefault="009278C5" w:rsidP="009278C5">
            <w:pPr>
              <w:jc w:val="both"/>
              <w:rPr>
                <w:lang w:bidi="es-ES"/>
              </w:rPr>
            </w:pPr>
            <w:r w:rsidRPr="00B17E98">
              <w:rPr>
                <w:lang w:bidi="es-ES"/>
              </w:rPr>
              <w:t xml:space="preserve">Según el Banco Mundial, el país registra niveles persistentemente bajos de crecimiento económico. El crecimiento anual del PIB en el presente siglo solo en dos ocasiones ha superado el 3 </w:t>
            </w:r>
            <w:r w:rsidR="009708FA" w:rsidRPr="00B17E98">
              <w:rPr>
                <w:lang w:bidi="es-ES"/>
              </w:rPr>
              <w:t>%</w:t>
            </w:r>
            <w:r w:rsidRPr="00B17E98">
              <w:rPr>
                <w:lang w:bidi="es-ES"/>
              </w:rPr>
              <w:t xml:space="preserve"> y ha promediado un 2.3 </w:t>
            </w:r>
            <w:r w:rsidR="009708FA" w:rsidRPr="00B17E98">
              <w:rPr>
                <w:lang w:bidi="es-ES"/>
              </w:rPr>
              <w:t>%</w:t>
            </w:r>
            <w:r w:rsidRPr="00B17E98">
              <w:rPr>
                <w:lang w:bidi="es-ES"/>
              </w:rPr>
              <w:t xml:space="preserve"> en años recientes. En el 2019 el crecimiento del PIB fue de 2.3 </w:t>
            </w:r>
            <w:r w:rsidR="009708FA" w:rsidRPr="00B17E98">
              <w:rPr>
                <w:lang w:bidi="es-ES"/>
              </w:rPr>
              <w:t>%</w:t>
            </w:r>
            <w:r w:rsidRPr="00B17E98">
              <w:rPr>
                <w:lang w:bidi="es-ES"/>
              </w:rPr>
              <w:t>. La tasa de pobreza se ha reducido de 39% en el 2007 a 29% en el 2017</w:t>
            </w:r>
            <w:r w:rsidRPr="00B17E98">
              <w:rPr>
                <w:rStyle w:val="FootnoteReference"/>
                <w:lang w:val="es-ES" w:bidi="es-ES"/>
              </w:rPr>
              <w:footnoteReference w:id="4"/>
            </w:r>
            <w:r w:rsidRPr="00B17E98">
              <w:rPr>
                <w:lang w:bidi="es-ES"/>
              </w:rPr>
              <w:t>. La pobreza extrema también disminuyó del 15% al 8.5% en el mismo período.</w:t>
            </w:r>
            <w:r w:rsidR="00A56294" w:rsidRPr="00B17E98">
              <w:rPr>
                <w:lang w:bidi="es-ES"/>
              </w:rPr>
              <w:t xml:space="preserve"> [Anexo 1.2]</w:t>
            </w:r>
          </w:p>
          <w:p w14:paraId="2B3ED90C" w14:textId="33E11523" w:rsidR="009278C5" w:rsidRPr="00B17E98" w:rsidRDefault="009278C5" w:rsidP="009278C5">
            <w:pPr>
              <w:jc w:val="both"/>
              <w:rPr>
                <w:lang w:bidi="es-ES"/>
              </w:rPr>
            </w:pPr>
            <w:r w:rsidRPr="00B17E98">
              <w:rPr>
                <w:lang w:bidi="es-ES"/>
              </w:rPr>
              <w:t>En el año 2015 El Salvador suscribió acuerdos para una hoja de ruta hacia el acceso universal y la cobertura universal de la salud, en donde entre otras cosas se asume el compromiso de trabajar en la promoción y protección de la salud con el abordaje intersectorial de la determinación social de la salud, comprometiéndose además a incrementar de manera progresiva en cada una de las instituciones prestadoras de los servicios de salud, la asignación presupuestaria al primer nivel de atención.</w:t>
            </w:r>
            <w:r w:rsidR="00DF650B" w:rsidRPr="00B17E98">
              <w:rPr>
                <w:lang w:bidi="es-ES"/>
              </w:rPr>
              <w:t xml:space="preserve"> [Anexo 1.3]</w:t>
            </w:r>
            <w:r w:rsidRPr="00B17E98">
              <w:rPr>
                <w:lang w:bidi="es-ES"/>
              </w:rPr>
              <w:t xml:space="preserve"> </w:t>
            </w:r>
          </w:p>
          <w:p w14:paraId="25197B33" w14:textId="6196976D" w:rsidR="009278C5" w:rsidRPr="00D325A6" w:rsidRDefault="009278C5" w:rsidP="009278C5">
            <w:pPr>
              <w:jc w:val="both"/>
              <w:rPr>
                <w:lang w:bidi="es-ES"/>
              </w:rPr>
            </w:pPr>
            <w:r w:rsidRPr="00B17E98">
              <w:rPr>
                <w:lang w:bidi="es-ES"/>
              </w:rPr>
              <w:t>Hay notables mejoras en la reducción de la desigualdad, el coeficiente de Gini se redujo de 0,51 en 2001 a 0.38 en 2018, en América Latina solo fue superado por Uruguay en términos de igualdad. El Salvador es el país de Centroamérica que más rápido adoptó fuertes medidas de contención contra el brote y sigue siendo uno de los países menos afectados en la región, en que a pesar de contar con el 13.6</w:t>
            </w:r>
            <w:r w:rsidRPr="00D325A6">
              <w:rPr>
                <w:lang w:bidi="es-ES"/>
              </w:rPr>
              <w:t>% de la población centroamericana, al 30 de noviembre del 2020 acumulaba el 6.7% de los casos notificados.</w:t>
            </w:r>
            <w:r w:rsidR="008C6D2E" w:rsidRPr="008E2221">
              <w:rPr>
                <w:highlight w:val="yellow"/>
                <w:lang w:bidi="es-ES"/>
              </w:rPr>
              <w:t xml:space="preserve"> </w:t>
            </w:r>
          </w:p>
          <w:p w14:paraId="5D982533" w14:textId="77777777" w:rsidR="009278C5" w:rsidRDefault="009278C5" w:rsidP="009278C5">
            <w:pPr>
              <w:jc w:val="both"/>
              <w:rPr>
                <w:lang w:bidi="es-ES"/>
              </w:rPr>
            </w:pPr>
            <w:r w:rsidRPr="00D325A6">
              <w:rPr>
                <w:lang w:bidi="es-ES"/>
              </w:rPr>
              <w:t>Las medidas tomadas por el Gobierno para limitar el impacto de la pandemia en los hogares y las empresas incluyeron entre otros: transferencias de efectivo a aproximadamente el 60 por ciento de todos los hogares; distribución de alimentos a hogares de bajos ingresos; aplazamiento en el pago de servicios básicos, hipotecas y préstamos personales y otros. El Gobierno también invirtió en fortalecer las capacidades del sistema de salud pública, renovó varios centros hospitalarios y construyó un nuevo hospital especializado en el tratamiento de la COVID-19.</w:t>
            </w:r>
            <w:r>
              <w:rPr>
                <w:lang w:bidi="es-ES"/>
              </w:rPr>
              <w:t xml:space="preserve"> </w:t>
            </w:r>
          </w:p>
          <w:p w14:paraId="30D7EEEB" w14:textId="2916F7AE" w:rsidR="009278C5" w:rsidRPr="00331F10" w:rsidRDefault="009278C5" w:rsidP="009278C5">
            <w:pPr>
              <w:jc w:val="both"/>
              <w:rPr>
                <w:lang w:bidi="es-ES"/>
              </w:rPr>
            </w:pPr>
            <w:r w:rsidRPr="00D325A6">
              <w:rPr>
                <w:lang w:bidi="es-ES"/>
              </w:rPr>
              <w:t xml:space="preserve">A pesar de todo, la pandemia tendrá un impacto negativo en la reducción de la pobreza y el crecimiento económico. Según </w:t>
            </w:r>
            <w:r w:rsidRPr="00B17E98">
              <w:rPr>
                <w:lang w:bidi="es-ES"/>
              </w:rPr>
              <w:t xml:space="preserve">el Banco Mundial se espera que el PIB de El Salvador se contraiga un 8.7 </w:t>
            </w:r>
            <w:r w:rsidR="009708FA" w:rsidRPr="00B17E98">
              <w:rPr>
                <w:lang w:bidi="es-ES"/>
              </w:rPr>
              <w:t>%</w:t>
            </w:r>
            <w:r w:rsidRPr="00B17E98">
              <w:rPr>
                <w:lang w:bidi="es-ES"/>
              </w:rPr>
              <w:t xml:space="preserve"> en 2020, debido a la disminución de la actividad económica, una menor demanda agregada en los mercados internacionales. </w:t>
            </w:r>
            <w:r w:rsidR="00E26C18" w:rsidRPr="00B17E98">
              <w:rPr>
                <w:lang w:bidi="es-ES"/>
              </w:rPr>
              <w:t>[Anexo 1.2]</w:t>
            </w:r>
          </w:p>
          <w:p w14:paraId="66F57B98" w14:textId="77777777" w:rsidR="009278C5" w:rsidRPr="00D325A6" w:rsidRDefault="009278C5" w:rsidP="009278C5">
            <w:pPr>
              <w:jc w:val="both"/>
              <w:rPr>
                <w:lang w:bidi="es-ES"/>
              </w:rPr>
            </w:pPr>
            <w:r w:rsidRPr="00D325A6">
              <w:rPr>
                <w:lang w:bidi="es-ES"/>
              </w:rPr>
              <w:t>El crimen y la violencia también han sido una amenaza para el desarrollo social y el crecimiento económico del país y están entre los principales motivos para que muchos salvadoreños migren. Sin embargo, las tasas de homicidios se han reducido drásticamente desde agosto de 2019, posicionando los indicadores de violencia del país hacia el promedio regional.</w:t>
            </w:r>
          </w:p>
          <w:p w14:paraId="72936855" w14:textId="653DA0CE" w:rsidR="009278C5" w:rsidRPr="00D325A6" w:rsidRDefault="009278C5" w:rsidP="009278C5">
            <w:pPr>
              <w:jc w:val="both"/>
              <w:rPr>
                <w:lang w:bidi="es-ES"/>
              </w:rPr>
            </w:pPr>
            <w:r w:rsidRPr="00D325A6">
              <w:rPr>
                <w:lang w:bidi="es-ES"/>
              </w:rPr>
              <w:t>El país tiene alta exposición al riesgo de eventos naturales adversos, incluidos terremotos y erupciones volcánicas</w:t>
            </w:r>
            <w:r w:rsidR="009708FA">
              <w:rPr>
                <w:lang w:bidi="es-ES"/>
              </w:rPr>
              <w:t>, t</w:t>
            </w:r>
            <w:r w:rsidRPr="00D325A6">
              <w:rPr>
                <w:lang w:bidi="es-ES"/>
              </w:rPr>
              <w:t>ambién es altamente vulnerable a los impactos del cambio climático, incluido el aumento de inundaciones, sequías y tormentas tropicales.</w:t>
            </w:r>
            <w:r w:rsidR="00E26C18" w:rsidRPr="008E2221">
              <w:rPr>
                <w:highlight w:val="yellow"/>
                <w:lang w:bidi="es-ES"/>
              </w:rPr>
              <w:t xml:space="preserve"> </w:t>
            </w:r>
          </w:p>
          <w:p w14:paraId="1C167739" w14:textId="0EB50BF3" w:rsidR="009278C5" w:rsidRPr="00B17E98" w:rsidRDefault="009278C5" w:rsidP="009278C5">
            <w:pPr>
              <w:jc w:val="both"/>
              <w:rPr>
                <w:lang w:bidi="es-ES"/>
              </w:rPr>
            </w:pPr>
            <w:r w:rsidRPr="00D325A6">
              <w:rPr>
                <w:lang w:bidi="es-ES"/>
              </w:rPr>
              <w:lastRenderedPageBreak/>
              <w:t xml:space="preserve">A pesar de estos desafíos, el país tiene un gran potencial para impulsar el crecimiento económico. La privilegiada ubicación geográfica es estratégica para el acceso a muchos mercados. Una fuerza laboral en crecimiento y una base industrial sólida podría respaldar la expansión del sector comercial para lograr un crecimiento más </w:t>
            </w:r>
            <w:r w:rsidRPr="00B17E98">
              <w:rPr>
                <w:lang w:bidi="es-ES"/>
              </w:rPr>
              <w:t>fuerte e inclusivo. Los objetivos de desarrollo sostenible podrían lograrse con un compromiso a largo plazo con reformas estructurales, la creación de empleos de calidad y la inversión en capital humano.</w:t>
            </w:r>
            <w:r w:rsidR="00B628BF" w:rsidRPr="00B17E98">
              <w:rPr>
                <w:lang w:bidi="es-ES"/>
              </w:rPr>
              <w:t xml:space="preserve"> [Anexo 1.</w:t>
            </w:r>
            <w:r w:rsidR="00E26C18" w:rsidRPr="00B17E98">
              <w:rPr>
                <w:lang w:bidi="es-ES"/>
              </w:rPr>
              <w:t>2</w:t>
            </w:r>
            <w:r w:rsidR="00B628BF" w:rsidRPr="00B17E98">
              <w:rPr>
                <w:lang w:bidi="es-ES"/>
              </w:rPr>
              <w:t>]</w:t>
            </w:r>
          </w:p>
          <w:p w14:paraId="24E88061" w14:textId="6074A19D" w:rsidR="009278C5" w:rsidRPr="00D325A6" w:rsidRDefault="009278C5" w:rsidP="009278C5">
            <w:pPr>
              <w:jc w:val="both"/>
              <w:rPr>
                <w:lang w:bidi="es-ES"/>
              </w:rPr>
            </w:pPr>
            <w:r w:rsidRPr="00B17E98">
              <w:rPr>
                <w:lang w:bidi="es-ES"/>
              </w:rPr>
              <w:t>Desde mediados del 2019 el país cuenta con una nueva administración de gobierno, que ha establecido en el ‘Plan Cuscatlán 2019-2030’ las prioridades</w:t>
            </w:r>
            <w:r w:rsidR="00E26C18" w:rsidRPr="00B17E98">
              <w:rPr>
                <w:lang w:bidi="es-ES"/>
              </w:rPr>
              <w:t>,</w:t>
            </w:r>
            <w:r w:rsidRPr="00B17E98">
              <w:rPr>
                <w:lang w:bidi="es-ES"/>
              </w:rPr>
              <w:t xml:space="preserve"> ejes estratégicos </w:t>
            </w:r>
            <w:r w:rsidR="00E26C18" w:rsidRPr="00B17E98">
              <w:rPr>
                <w:lang w:bidi="es-ES"/>
              </w:rPr>
              <w:t xml:space="preserve">y equipos </w:t>
            </w:r>
            <w:r w:rsidRPr="00B17E98">
              <w:rPr>
                <w:lang w:bidi="es-ES"/>
              </w:rPr>
              <w:t>de trabajo, a manera de un plan de gobierno.</w:t>
            </w:r>
            <w:r w:rsidR="00B17E98">
              <w:rPr>
                <w:lang w:bidi="es-ES"/>
              </w:rPr>
              <w:t xml:space="preserve"> </w:t>
            </w:r>
            <w:r w:rsidRPr="00B17E98">
              <w:rPr>
                <w:lang w:bidi="es-ES"/>
              </w:rPr>
              <w:t>[</w:t>
            </w:r>
            <w:r w:rsidR="00B628BF" w:rsidRPr="00B17E98">
              <w:rPr>
                <w:lang w:bidi="es-ES"/>
              </w:rPr>
              <w:t>Anexo 1.</w:t>
            </w:r>
            <w:r w:rsidR="00E26C18" w:rsidRPr="00B17E98">
              <w:rPr>
                <w:lang w:bidi="es-ES"/>
              </w:rPr>
              <w:t>4</w:t>
            </w:r>
            <w:r w:rsidRPr="00B17E98">
              <w:rPr>
                <w:lang w:bidi="es-ES"/>
              </w:rPr>
              <w:t>]</w:t>
            </w:r>
          </w:p>
          <w:p w14:paraId="0691C556" w14:textId="77777777" w:rsidR="009278C5" w:rsidRPr="007D2C39" w:rsidRDefault="009278C5" w:rsidP="00617951">
            <w:pPr>
              <w:pStyle w:val="ListParagraph"/>
              <w:numPr>
                <w:ilvl w:val="0"/>
                <w:numId w:val="38"/>
              </w:numPr>
              <w:jc w:val="both"/>
              <w:rPr>
                <w:b/>
                <w:bCs/>
                <w:u w:val="single"/>
                <w:lang w:bidi="es-ES"/>
              </w:rPr>
            </w:pPr>
            <w:r w:rsidRPr="007D2C39">
              <w:rPr>
                <w:b/>
                <w:bCs/>
                <w:u w:val="single"/>
                <w:lang w:bidi="es-ES"/>
              </w:rPr>
              <w:t>Análisis de situación de salud</w:t>
            </w:r>
          </w:p>
          <w:p w14:paraId="214C1B48" w14:textId="77777777" w:rsidR="009278C5" w:rsidRPr="000538FF" w:rsidRDefault="009278C5" w:rsidP="009278C5">
            <w:pPr>
              <w:jc w:val="both"/>
              <w:rPr>
                <w:b/>
                <w:bCs/>
                <w:lang w:bidi="es-ES"/>
              </w:rPr>
            </w:pPr>
            <w:r w:rsidRPr="000538FF">
              <w:rPr>
                <w:b/>
                <w:bCs/>
                <w:lang w:bidi="es-ES"/>
              </w:rPr>
              <w:t>Demografía</w:t>
            </w:r>
          </w:p>
          <w:p w14:paraId="7FBF64FB" w14:textId="65A5DC10" w:rsidR="009278C5" w:rsidRPr="00D325A6" w:rsidRDefault="009278C5" w:rsidP="009278C5">
            <w:pPr>
              <w:jc w:val="both"/>
              <w:rPr>
                <w:lang w:bidi="es-ES"/>
              </w:rPr>
            </w:pPr>
            <w:r w:rsidRPr="00D325A6">
              <w:rPr>
                <w:lang w:bidi="es-ES"/>
              </w:rPr>
              <w:t>Según las estimaciones y proyecciones de población actualizadas en el 2014, al año 2019 la población del país es de 6,704,864 personas, el 52.9% son mujeres, por cada 100 mujeres hay 88.9 hombres, la edad promedio es de 31.2 años</w:t>
            </w:r>
            <w:r>
              <w:rPr>
                <w:lang w:bidi="es-ES"/>
              </w:rPr>
              <w:t>. Po</w:t>
            </w:r>
            <w:r w:rsidRPr="00D325A6">
              <w:rPr>
                <w:lang w:bidi="es-ES"/>
              </w:rPr>
              <w:t>r cada 100 personas en edad de trabajar hay 50.7 personas fuera de esa edad (</w:t>
            </w:r>
            <w:r w:rsidRPr="00B17E98">
              <w:rPr>
                <w:lang w:bidi="es-ES"/>
              </w:rPr>
              <w:t>relación de dependencia demográfica). El último censo de población y vivienda se realizó en el 2007.</w:t>
            </w:r>
            <w:r w:rsidR="00B628BF" w:rsidRPr="00B17E98">
              <w:rPr>
                <w:lang w:bidi="es-ES"/>
              </w:rPr>
              <w:t xml:space="preserve"> [Anexo 1.</w:t>
            </w:r>
            <w:r w:rsidR="00E26C18" w:rsidRPr="00B17E98">
              <w:rPr>
                <w:lang w:bidi="es-ES"/>
              </w:rPr>
              <w:t>1</w:t>
            </w:r>
            <w:r w:rsidR="00B628BF" w:rsidRPr="00B17E98">
              <w:rPr>
                <w:lang w:bidi="es-ES"/>
              </w:rPr>
              <w:t>]</w:t>
            </w:r>
          </w:p>
          <w:p w14:paraId="6C91EA7D" w14:textId="53436E9B" w:rsidR="009278C5" w:rsidRPr="00D325A6" w:rsidRDefault="009278C5" w:rsidP="009278C5">
            <w:pPr>
              <w:jc w:val="both"/>
              <w:rPr>
                <w:lang w:bidi="es-ES"/>
              </w:rPr>
            </w:pPr>
            <w:r w:rsidRPr="00D325A6">
              <w:rPr>
                <w:lang w:bidi="es-ES"/>
              </w:rPr>
              <w:t>En lo que va del siglo se observan llamativos cambios en la estructura de la población por edad. Entre el 2000 y el 2020 la población menor de 15 años se redu</w:t>
            </w:r>
            <w:r w:rsidR="00515136">
              <w:rPr>
                <w:lang w:bidi="es-ES"/>
              </w:rPr>
              <w:t>jo</w:t>
            </w:r>
            <w:r w:rsidRPr="00D325A6">
              <w:rPr>
                <w:lang w:bidi="es-ES"/>
              </w:rPr>
              <w:t xml:space="preserve"> en 12.4 puntos porcentuales (37.3% a 24.9%), la proporción de quienes tienen edad comprendida entre 15 y 64 años se incrementa en casi diez puntos (57.0% a 66.7%) y la proporción de mayores de 64 años se incrementa en casi tres puntos (5.7% a 8.4%). </w:t>
            </w:r>
          </w:p>
          <w:p w14:paraId="34DDC09C" w14:textId="5CFD1E0A" w:rsidR="009278C5" w:rsidRPr="00B17E98" w:rsidRDefault="009278C5" w:rsidP="009278C5">
            <w:pPr>
              <w:jc w:val="both"/>
              <w:rPr>
                <w:lang w:bidi="es-ES"/>
              </w:rPr>
            </w:pPr>
            <w:r w:rsidRPr="00D325A6">
              <w:rPr>
                <w:lang w:bidi="es-ES"/>
              </w:rPr>
              <w:t xml:space="preserve">El país se encuentra en etapa de transición demográfica moderada. El número promedio de hijos por mujer en edad fértil es de 1.76, la esperanza de vida al nacer es de 73.6 años (68.7 para hombres y 77.9 en mujeres), la tasa de mortalidad infantil es de 18.1 muertes infantiles por cada mil nacidos vivos, la tasa bruta de mortalidad es de 6.9 por </w:t>
            </w:r>
            <w:r w:rsidRPr="00B17E98">
              <w:rPr>
                <w:lang w:bidi="es-ES"/>
              </w:rPr>
              <w:t>mil y la tasa neta de migración es de -0.6 por mil. La tasa de crecimiento poblacional anual es de 9.0 por mil.</w:t>
            </w:r>
            <w:r w:rsidR="00C3295E" w:rsidRPr="00B17E98">
              <w:rPr>
                <w:lang w:bidi="es-ES"/>
              </w:rPr>
              <w:t xml:space="preserve"> [Anexo 1.1]</w:t>
            </w:r>
          </w:p>
          <w:p w14:paraId="3A32FC9C" w14:textId="7DBFB440" w:rsidR="009278C5" w:rsidRPr="00B17E98" w:rsidRDefault="009278C5" w:rsidP="009278C5">
            <w:pPr>
              <w:jc w:val="both"/>
              <w:rPr>
                <w:lang w:bidi="es-ES"/>
              </w:rPr>
            </w:pPr>
            <w:r w:rsidRPr="00B17E98">
              <w:rPr>
                <w:lang w:bidi="es-ES"/>
              </w:rPr>
              <w:t>Según la Encuesta de Hogares de Propósitos Múltiples del 2018 (EHPM-2018), el 61.7% de la población reside en el área urbana, en el Área Metropolitana de San Salvador (AMSS) se concentra el 27.1% de la población total.</w:t>
            </w:r>
            <w:r w:rsidR="00C3295E" w:rsidRPr="00B17E98">
              <w:rPr>
                <w:lang w:bidi="es-ES"/>
              </w:rPr>
              <w:t xml:space="preserve"> [Anexo 1.5]</w:t>
            </w:r>
          </w:p>
          <w:p w14:paraId="5111C1A4" w14:textId="625F2E17" w:rsidR="009278C5" w:rsidRPr="00D325A6" w:rsidRDefault="009278C5" w:rsidP="009278C5">
            <w:pPr>
              <w:jc w:val="both"/>
              <w:rPr>
                <w:lang w:bidi="es-ES"/>
              </w:rPr>
            </w:pPr>
            <w:r w:rsidRPr="00B17E98">
              <w:rPr>
                <w:noProof/>
              </w:rPr>
              <w:drawing>
                <wp:anchor distT="0" distB="0" distL="114300" distR="114300" simplePos="0" relativeHeight="251676672" behindDoc="0" locked="0" layoutInCell="1" allowOverlap="1" wp14:anchorId="323A1D05" wp14:editId="7A782799">
                  <wp:simplePos x="0" y="0"/>
                  <wp:positionH relativeFrom="column">
                    <wp:posOffset>2272030</wp:posOffset>
                  </wp:positionH>
                  <wp:positionV relativeFrom="paragraph">
                    <wp:posOffset>763905</wp:posOffset>
                  </wp:positionV>
                  <wp:extent cx="4278630" cy="3007995"/>
                  <wp:effectExtent l="0" t="0" r="7620" b="1905"/>
                  <wp:wrapSquare wrapText="bothSides"/>
                  <wp:docPr id="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8630" cy="3007995"/>
                          </a:xfrm>
                          <a:prstGeom prst="rect">
                            <a:avLst/>
                          </a:prstGeom>
                          <a:noFill/>
                          <a:ln>
                            <a:noFill/>
                          </a:ln>
                        </pic:spPr>
                      </pic:pic>
                    </a:graphicData>
                  </a:graphic>
                </wp:anchor>
              </w:drawing>
            </w:r>
            <w:r w:rsidRPr="00B17E98">
              <w:rPr>
                <w:lang w:bidi="es-ES"/>
              </w:rPr>
              <w:t>El 10.1% de la población de 10 y más años es analfabeta (11.8% en mujeres y 8.1% en hombres), con un rango entre 4.7% en hombres del área urbana y 17.8% en mujeres del área rural. El 87.2% de personas con edad comprendida entre 4 y 12 años asiste a la escuela y lo hace el 81.1% de los que tienen edad comprendida entre 13 y 17 años. El promedio de años de escolaridad es de 7 años (7.2 en hombres y 6.9 en mujeres).</w:t>
            </w:r>
            <w:r w:rsidR="00C3295E" w:rsidRPr="00B17E98">
              <w:rPr>
                <w:lang w:bidi="es-ES"/>
              </w:rPr>
              <w:t xml:space="preserve"> [Anexo 1.5]</w:t>
            </w:r>
          </w:p>
          <w:p w14:paraId="313E89AB" w14:textId="5B99242B" w:rsidR="009278C5" w:rsidRPr="00B17E98" w:rsidRDefault="009278C5" w:rsidP="009278C5">
            <w:pPr>
              <w:jc w:val="both"/>
              <w:rPr>
                <w:lang w:bidi="es-ES"/>
              </w:rPr>
            </w:pPr>
            <w:r w:rsidRPr="00D325A6">
              <w:rPr>
                <w:lang w:bidi="es-ES"/>
              </w:rPr>
              <w:t xml:space="preserve">La población en edad de trabajar -PET- (16 o más años) representa el 73.8% de la población, sin embargo, el 9.5% de la </w:t>
            </w:r>
            <w:r w:rsidR="00361698">
              <w:rPr>
                <w:lang w:bidi="es-ES"/>
              </w:rPr>
              <w:t xml:space="preserve">PET </w:t>
            </w:r>
            <w:r w:rsidRPr="00D325A6">
              <w:rPr>
                <w:lang w:bidi="es-ES"/>
              </w:rPr>
              <w:t xml:space="preserve">tiene 60 años o más, el 45.7% de la PET son hombres. La población económicamente activa (PEA) representa el 61.3% de la PET, el 59.2% de la PEA son hombres. El 57.1% de la PEA tiene Ocupación plena (sector formal), 33.2% está subempleado, 6.1% está desempleado y </w:t>
            </w:r>
            <w:r w:rsidRPr="00B17E98">
              <w:rPr>
                <w:lang w:bidi="es-ES"/>
              </w:rPr>
              <w:t>3.6% están en servicio doméstico.</w:t>
            </w:r>
            <w:r w:rsidR="00361698" w:rsidRPr="00B17E98">
              <w:rPr>
                <w:lang w:bidi="es-ES"/>
              </w:rPr>
              <w:t xml:space="preserve"> [Anexo 1.5]</w:t>
            </w:r>
          </w:p>
          <w:p w14:paraId="47343DD6" w14:textId="0161756E" w:rsidR="009278C5" w:rsidRPr="00D325A6" w:rsidRDefault="009278C5" w:rsidP="009278C5">
            <w:pPr>
              <w:jc w:val="both"/>
              <w:rPr>
                <w:b/>
                <w:bCs/>
                <w:lang w:bidi="es-ES"/>
              </w:rPr>
            </w:pPr>
            <w:r w:rsidRPr="00B17E98">
              <w:rPr>
                <w:noProof/>
              </w:rPr>
              <mc:AlternateContent>
                <mc:Choice Requires="wps">
                  <w:drawing>
                    <wp:anchor distT="45720" distB="45720" distL="114300" distR="114300" simplePos="0" relativeHeight="251675648" behindDoc="0" locked="0" layoutInCell="1" allowOverlap="1" wp14:anchorId="6E94102A" wp14:editId="413D1790">
                      <wp:simplePos x="0" y="0"/>
                      <wp:positionH relativeFrom="column">
                        <wp:posOffset>2262126</wp:posOffset>
                      </wp:positionH>
                      <wp:positionV relativeFrom="paragraph">
                        <wp:posOffset>524799</wp:posOffset>
                      </wp:positionV>
                      <wp:extent cx="4290505" cy="310551"/>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505" cy="310551"/>
                              </a:xfrm>
                              <a:prstGeom prst="rect">
                                <a:avLst/>
                              </a:prstGeom>
                              <a:solidFill>
                                <a:srgbClr val="FFFFFF"/>
                              </a:solidFill>
                              <a:ln w="9525">
                                <a:noFill/>
                                <a:miter lim="800000"/>
                                <a:headEnd/>
                                <a:tailEnd/>
                              </a:ln>
                            </wps:spPr>
                            <wps:txbx>
                              <w:txbxContent>
                                <w:p w14:paraId="557A80B1" w14:textId="77777777" w:rsidR="00381E40" w:rsidRPr="001E0232" w:rsidRDefault="00381E40" w:rsidP="009278C5">
                                  <w:pPr>
                                    <w:spacing w:after="0" w:line="240" w:lineRule="auto"/>
                                    <w:rPr>
                                      <w:sz w:val="12"/>
                                      <w:szCs w:val="12"/>
                                      <w:lang w:val="es-NI"/>
                                    </w:rPr>
                                  </w:pPr>
                                  <w:r w:rsidRPr="001E0232">
                                    <w:rPr>
                                      <w:sz w:val="12"/>
                                      <w:szCs w:val="12"/>
                                      <w:lang w:val="es-NI"/>
                                    </w:rPr>
                                    <w:t xml:space="preserve">Fuente: Ministerio de Economía. Dirección General de Estadísticas y Censos - </w:t>
                                  </w:r>
                                  <w:proofErr w:type="spellStart"/>
                                  <w:r w:rsidRPr="001E0232">
                                    <w:rPr>
                                      <w:sz w:val="12"/>
                                      <w:szCs w:val="12"/>
                                      <w:lang w:val="es-NI"/>
                                    </w:rPr>
                                    <w:t>Digestyc</w:t>
                                  </w:r>
                                  <w:proofErr w:type="spellEnd"/>
                                  <w:r w:rsidRPr="001E0232">
                                    <w:rPr>
                                      <w:sz w:val="12"/>
                                      <w:szCs w:val="12"/>
                                      <w:lang w:val="es-NI"/>
                                    </w:rPr>
                                    <w:t>.</w:t>
                                  </w:r>
                                  <w:r w:rsidRPr="001E0232">
                                    <w:rPr>
                                      <w:sz w:val="12"/>
                                      <w:szCs w:val="12"/>
                                      <w:lang w:bidi="es-ES"/>
                                    </w:rPr>
                                    <w:t>Estimaciones y Proyecciones de la Población. Revisión 2009 y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4102A" id="_x0000_t202" coordsize="21600,21600" o:spt="202" path="m,l,21600r21600,l21600,xe">
                      <v:stroke joinstyle="miter"/>
                      <v:path gradientshapeok="t" o:connecttype="rect"/>
                    </v:shapetype>
                    <v:shape id="_x0000_s1027" type="#_x0000_t202" style="position:absolute;left:0;text-align:left;margin-left:178.1pt;margin-top:41.3pt;width:337.85pt;height:24.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" stroked="f">
                      <v:textbox>
                        <w:txbxContent>
                          <w:p w14:paraId="557A80B1" w14:textId="77777777" w:rsidR="00381E40" w:rsidRPr="001E0232" w:rsidRDefault="00381E40" w:rsidP="009278C5">
                            <w:pPr>
                              <w:spacing w:after="0" w:line="240" w:lineRule="auto"/>
                              <w:rPr>
                                <w:sz w:val="12"/>
                                <w:szCs w:val="12"/>
                                <w:lang w:val="es-NI"/>
                              </w:rPr>
                            </w:pPr>
                            <w:r w:rsidRPr="001E0232">
                              <w:rPr>
                                <w:sz w:val="12"/>
                                <w:szCs w:val="12"/>
                                <w:lang w:val="es-NI"/>
                              </w:rPr>
                              <w:t xml:space="preserve">Fuente: Ministerio de Economía. Dirección General de Estadísticas y Censos - </w:t>
                            </w:r>
                            <w:proofErr w:type="spellStart"/>
                            <w:r w:rsidRPr="001E0232">
                              <w:rPr>
                                <w:sz w:val="12"/>
                                <w:szCs w:val="12"/>
                                <w:lang w:val="es-NI"/>
                              </w:rPr>
                              <w:t>Digestyc</w:t>
                            </w:r>
                            <w:proofErr w:type="spellEnd"/>
                            <w:r w:rsidRPr="001E0232">
                              <w:rPr>
                                <w:sz w:val="12"/>
                                <w:szCs w:val="12"/>
                                <w:lang w:val="es-NI"/>
                              </w:rPr>
                              <w:t>.</w:t>
                            </w:r>
                            <w:r w:rsidRPr="001E0232">
                              <w:rPr>
                                <w:sz w:val="12"/>
                                <w:szCs w:val="12"/>
                                <w:lang w:bidi="es-ES"/>
                              </w:rPr>
                              <w:t>Estimaciones y Proyecciones de la Población. Revisión 2009 y 2014.</w:t>
                            </w:r>
                          </w:p>
                        </w:txbxContent>
                      </v:textbox>
                    </v:shape>
                  </w:pict>
                </mc:Fallback>
              </mc:AlternateContent>
            </w:r>
            <w:r w:rsidRPr="00B17E98">
              <w:rPr>
                <w:lang w:bidi="es-ES"/>
              </w:rPr>
              <w:t>El impacto de la COVID-19 en estos indicadores de</w:t>
            </w:r>
            <w:r w:rsidRPr="00B90464">
              <w:rPr>
                <w:lang w:bidi="es-ES"/>
              </w:rPr>
              <w:t xml:space="preserve"> empleo tendrán que ser analizados y valorados, ya que al momento no </w:t>
            </w:r>
            <w:r w:rsidRPr="00B90464">
              <w:rPr>
                <w:lang w:bidi="es-ES"/>
              </w:rPr>
              <w:lastRenderedPageBreak/>
              <w:t xml:space="preserve">se cuenta </w:t>
            </w:r>
            <w:r w:rsidR="008663D0">
              <w:rPr>
                <w:lang w:bidi="es-ES"/>
              </w:rPr>
              <w:t xml:space="preserve">con </w:t>
            </w:r>
            <w:r w:rsidRPr="00B90464">
              <w:rPr>
                <w:lang w:bidi="es-ES"/>
              </w:rPr>
              <w:t>estudios que nos permitan comprender totalmente las consecuencias de la pandemia en el sector laboral.</w:t>
            </w:r>
          </w:p>
          <w:p w14:paraId="3A3516FB" w14:textId="77777777" w:rsidR="009278C5" w:rsidRPr="00D325A6" w:rsidRDefault="009278C5" w:rsidP="009278C5">
            <w:pPr>
              <w:jc w:val="both"/>
              <w:rPr>
                <w:b/>
                <w:bCs/>
                <w:lang w:bidi="es-ES"/>
              </w:rPr>
            </w:pPr>
            <w:r w:rsidRPr="00D325A6">
              <w:rPr>
                <w:b/>
                <w:bCs/>
                <w:lang w:bidi="es-ES"/>
              </w:rPr>
              <w:t>Epidemiología</w:t>
            </w:r>
          </w:p>
          <w:p w14:paraId="21BF65AA" w14:textId="5889E624" w:rsidR="009278C5" w:rsidRPr="00424489" w:rsidRDefault="009278C5" w:rsidP="009278C5">
            <w:pPr>
              <w:jc w:val="both"/>
              <w:rPr>
                <w:lang w:bidi="es-ES"/>
              </w:rPr>
            </w:pPr>
            <w:r w:rsidRPr="00D325A6">
              <w:rPr>
                <w:lang w:bidi="es-ES"/>
              </w:rPr>
              <w:t xml:space="preserve">El perfil epidemiológico del país se describe como un perfil de transición en el cual coexisten enfermedades infecciosas, entre ellas respiratorias, gastrointestinales, transmitidas por vectores como dengue, zika, chikungunya; con enfermedades crónico-degenerativas como trastornos cardiovasculares, diabetes, enfermedad renal, cáncer, y un aporte importante de eventos relacionados a lesiones de causa externa que ejercen fuerte demanda de los establecimientos de salud y repercute en el gasto en salud. El tipo de perfil epidemiológico ha determinado que en el país se haya echado a andar la Reforma del Sistema Nacional de Salud desde el 2010, la que se </w:t>
            </w:r>
            <w:r w:rsidRPr="00424489">
              <w:rPr>
                <w:lang w:bidi="es-ES"/>
              </w:rPr>
              <w:t>enfoca en los determinantes sociales de la salud retomando elementos de carácter histórico de las condiciones en las que vive, trabaja y se desarrolla la población tanto en su carácter individual como colectivo.</w:t>
            </w:r>
            <w:r w:rsidR="00096A4F" w:rsidRPr="00424489">
              <w:rPr>
                <w:lang w:bidi="es-ES"/>
              </w:rPr>
              <w:t xml:space="preserve"> [Anexos 1.5 y 1.</w:t>
            </w:r>
            <w:r w:rsidR="00B07E4C" w:rsidRPr="00424489">
              <w:rPr>
                <w:lang w:bidi="es-ES"/>
              </w:rPr>
              <w:t>7</w:t>
            </w:r>
            <w:r w:rsidR="00096A4F" w:rsidRPr="00424489">
              <w:rPr>
                <w:lang w:bidi="es-ES"/>
              </w:rPr>
              <w:t>]</w:t>
            </w:r>
          </w:p>
          <w:p w14:paraId="46ABF35D" w14:textId="77777777" w:rsidR="009278C5" w:rsidRPr="000538FF" w:rsidRDefault="009278C5" w:rsidP="009278C5">
            <w:pPr>
              <w:jc w:val="both"/>
              <w:rPr>
                <w:b/>
                <w:bCs/>
                <w:lang w:bidi="es-ES"/>
              </w:rPr>
            </w:pPr>
            <w:r w:rsidRPr="00424489">
              <w:rPr>
                <w:b/>
                <w:bCs/>
                <w:lang w:bidi="es-ES"/>
              </w:rPr>
              <w:t>Sistema de salud</w:t>
            </w:r>
          </w:p>
          <w:p w14:paraId="4DA41100" w14:textId="2AB2DAD8" w:rsidR="009278C5" w:rsidRPr="00424489" w:rsidRDefault="009278C5" w:rsidP="009278C5">
            <w:pPr>
              <w:jc w:val="both"/>
              <w:rPr>
                <w:lang w:bidi="es-ES"/>
              </w:rPr>
            </w:pPr>
            <w:r w:rsidRPr="000538FF">
              <w:rPr>
                <w:lang w:bidi="es-ES"/>
              </w:rPr>
              <w:t>S</w:t>
            </w:r>
            <w:r w:rsidRPr="00D325A6">
              <w:rPr>
                <w:lang w:bidi="es-ES"/>
              </w:rPr>
              <w:t xml:space="preserve">egún la Ley del Sistema Nacional Integrado de Salud </w:t>
            </w:r>
            <w:r w:rsidRPr="006273BE">
              <w:rPr>
                <w:lang w:bidi="es-ES"/>
              </w:rPr>
              <w:t>del 2019</w:t>
            </w:r>
            <w:r w:rsidRPr="00D325A6">
              <w:rPr>
                <w:lang w:bidi="es-ES"/>
              </w:rPr>
              <w:t xml:space="preserve">, el sistema de salud salvadoreño está integrado por la totalidad de actores del sistema público y privado cuya actividad está relacionada directamente con la salud: Ministerio de Salud (MINSAL), Instituto Salvadoreño del Seguro Social (ISSS), Fondo Solidario para la Salud (FOSALUD), Ministerio de la Defensa Nacional, en lo concerniente al Comando de Sanidad Militar (COSAM), Instituto Salvadoreño de Bienestar Magisterial (ISBM), Instituto Salvadoreño de Rehabilitación Integral (ISRI), Dirección Nacional de Medicamentos (DNM), Ministerio de Educación, Ciencia y Tecnología, por medio de la Dirección Nacional de Educación Superior, representante de los hospitales del sector privado, debidamente certificados por el Consejo Superior de Salud Pública. A la vez que establece con precisión un conjunto de </w:t>
            </w:r>
            <w:r w:rsidRPr="000538FF">
              <w:rPr>
                <w:lang w:bidi="es-ES"/>
              </w:rPr>
              <w:t xml:space="preserve">integrantes </w:t>
            </w:r>
            <w:r w:rsidRPr="00D325A6">
              <w:rPr>
                <w:lang w:bidi="es-ES"/>
              </w:rPr>
              <w:t>colaboradores</w:t>
            </w:r>
            <w:r w:rsidRPr="000538FF">
              <w:rPr>
                <w:lang w:bidi="es-ES"/>
              </w:rPr>
              <w:t>,</w:t>
            </w:r>
            <w:r w:rsidRPr="00D325A6">
              <w:rPr>
                <w:lang w:bidi="es-ES"/>
              </w:rPr>
              <w:t xml:space="preserve"> actores cuya actividad se relaciona indirectamente con la salud</w:t>
            </w:r>
            <w:r w:rsidRPr="000538FF">
              <w:rPr>
                <w:lang w:bidi="es-ES"/>
              </w:rPr>
              <w:t xml:space="preserve"> </w:t>
            </w:r>
            <w:r w:rsidRPr="00D325A6">
              <w:rPr>
                <w:lang w:bidi="es-ES"/>
              </w:rPr>
              <w:t xml:space="preserve">como el </w:t>
            </w:r>
            <w:r w:rsidRPr="00424489">
              <w:rPr>
                <w:lang w:bidi="es-ES"/>
              </w:rPr>
              <w:t>Ministerio de Medio Ambiente y Recursos Naturales, Ministerio de Trabajo y Previsión Social, Ministerio de Agricultura y Ganadería, Municipalidades, Organizaciones No Gubernamentales autorizadas, entre otras.</w:t>
            </w:r>
            <w:r w:rsidR="00096A4F" w:rsidRPr="00424489">
              <w:rPr>
                <w:lang w:bidi="es-ES"/>
              </w:rPr>
              <w:t xml:space="preserve"> [Anexo 1.</w:t>
            </w:r>
            <w:r w:rsidR="00E84730" w:rsidRPr="00424489">
              <w:rPr>
                <w:lang w:bidi="es-ES"/>
              </w:rPr>
              <w:t>8</w:t>
            </w:r>
            <w:r w:rsidR="00096A4F" w:rsidRPr="00424489">
              <w:rPr>
                <w:lang w:bidi="es-ES"/>
              </w:rPr>
              <w:t>]</w:t>
            </w:r>
          </w:p>
          <w:p w14:paraId="2A2CFB27" w14:textId="67D36EC4" w:rsidR="009278C5" w:rsidRPr="00424489" w:rsidRDefault="009278C5" w:rsidP="009278C5">
            <w:pPr>
              <w:jc w:val="both"/>
              <w:rPr>
                <w:lang w:bidi="es-ES"/>
              </w:rPr>
            </w:pPr>
            <w:r w:rsidRPr="00424489">
              <w:rPr>
                <w:lang w:bidi="es-ES"/>
              </w:rPr>
              <w:t>Se establece que el MINSAL es la entidad rectora del Sistema y en coordinación con los demás actores ejecuta las actividades establecidas en la Política y Plan Nacional de Salud. El Consejo Superior de Salud Pública es el ente contralor del Sistema, vela por la salud de la población a través de la supervisión y evaluación de manera sistemática, de la calidad de los servicios de salud, prestados por los integrantes del Sistema.</w:t>
            </w:r>
            <w:r w:rsidR="00E84730" w:rsidRPr="00424489">
              <w:rPr>
                <w:lang w:bidi="es-ES"/>
              </w:rPr>
              <w:t xml:space="preserve"> [Anexo 1.8]</w:t>
            </w:r>
          </w:p>
          <w:p w14:paraId="1AABCBF4" w14:textId="459647A6" w:rsidR="009278C5" w:rsidRPr="00424489" w:rsidRDefault="009278C5" w:rsidP="009278C5">
            <w:pPr>
              <w:jc w:val="both"/>
              <w:rPr>
                <w:lang w:bidi="es-ES"/>
              </w:rPr>
            </w:pPr>
            <w:r w:rsidRPr="00424489">
              <w:rPr>
                <w:lang w:bidi="es-ES"/>
              </w:rPr>
              <w:t>Entre los instrumentos de integración de los actores del Sistema están la Política Nacional de Salud (PNS) que la versión más reciente -período 2015-2019- tiene</w:t>
            </w:r>
            <w:r w:rsidRPr="00D325A6">
              <w:rPr>
                <w:lang w:bidi="es-ES"/>
              </w:rPr>
              <w:t xml:space="preserve"> por objetivo: ‘</w:t>
            </w:r>
            <w:r w:rsidRPr="000538FF">
              <w:rPr>
                <w:i/>
                <w:iCs/>
                <w:lang w:bidi="es-ES"/>
              </w:rPr>
              <w:t>Garantizar el derecho a la salud de todas las personas mediante un Sistema Nacional de Salud integrado, sólido, que fortalezca sostenidamente lo público y regule efectivamente lo privado, con un abordaje de determinación social de la salud y la aplicación plena de la estrategia de APS-I, sumando esfuerzos hacia la cobertura universal de salud, el acceso universal a la salud, búsqueda constante de la equidad y de un ambiente sano y seguro, a través de la promoción de la salud, prevención de la enfermedad, curación y rehabilitación</w:t>
            </w:r>
            <w:r w:rsidRPr="00D325A6">
              <w:rPr>
                <w:lang w:bidi="es-ES"/>
              </w:rPr>
              <w:t>’. El contenido de la PNS se centra en reformar el Sistema hacia la inclusión de políticas sociales y económicas armonizando el enfoque de los determinantes sociales de la salud. Entre las estrategias contenidas se incluye: ‘</w:t>
            </w:r>
            <w:r w:rsidRPr="000538FF">
              <w:rPr>
                <w:i/>
                <w:iCs/>
                <w:lang w:bidi="es-ES"/>
              </w:rPr>
              <w:t>Gestionar la eficiencia continuada del gasto público en salud y su aumento progresivo a no menos del 6 % del Producto Interno Bruto (PIB</w:t>
            </w:r>
            <w:r w:rsidRPr="00424489">
              <w:rPr>
                <w:i/>
                <w:iCs/>
                <w:lang w:bidi="es-ES"/>
              </w:rPr>
              <w:t xml:space="preserve">), a fin de alcanzar la Cobertura Universal de la Salud y el Acceso Universal a la Salud’ </w:t>
            </w:r>
            <w:r w:rsidRPr="00424489">
              <w:rPr>
                <w:lang w:bidi="es-ES"/>
              </w:rPr>
              <w:t xml:space="preserve">(estrategia 2). </w:t>
            </w:r>
            <w:r w:rsidR="00096A4F" w:rsidRPr="00424489">
              <w:rPr>
                <w:lang w:bidi="es-ES"/>
              </w:rPr>
              <w:t>[Anexo 1.</w:t>
            </w:r>
            <w:r w:rsidR="00E84730" w:rsidRPr="00424489">
              <w:rPr>
                <w:lang w:bidi="es-ES"/>
              </w:rPr>
              <w:t>7</w:t>
            </w:r>
            <w:r w:rsidR="00096A4F" w:rsidRPr="00424489">
              <w:rPr>
                <w:lang w:bidi="es-ES"/>
              </w:rPr>
              <w:t>]</w:t>
            </w:r>
          </w:p>
          <w:p w14:paraId="4BBC1FBD" w14:textId="2148C6E2" w:rsidR="009278C5" w:rsidRPr="00424489" w:rsidRDefault="009278C5" w:rsidP="009278C5">
            <w:pPr>
              <w:jc w:val="both"/>
              <w:rPr>
                <w:lang w:bidi="es-ES"/>
              </w:rPr>
            </w:pPr>
            <w:r w:rsidRPr="00424489">
              <w:rPr>
                <w:lang w:bidi="es-ES"/>
              </w:rPr>
              <w:t>La cobertura de la seguridad social se estima que es del 35% (por género están cubiertas el 36.7% de las mujeres y 34.3% de los hombres).</w:t>
            </w:r>
            <w:r w:rsidR="00BB0F58" w:rsidRPr="00424489">
              <w:rPr>
                <w:lang w:bidi="es-ES"/>
              </w:rPr>
              <w:t xml:space="preserve"> [Anexo 1.5]</w:t>
            </w:r>
            <w:r w:rsidRPr="00424489">
              <w:rPr>
                <w:lang w:bidi="es-ES"/>
              </w:rPr>
              <w:t xml:space="preserve"> En cuanto a la cobertura de los diferentes subsistemas, en el 2011 se estimó que el MINSAL ofrece servicios al 40% de la población, el ISSS al 24%, el ISBM, COSAM y otros gubernamentales al 2.3%. </w:t>
            </w:r>
            <w:r w:rsidR="00BB0F58" w:rsidRPr="00424489">
              <w:rPr>
                <w:lang w:bidi="es-ES"/>
              </w:rPr>
              <w:t xml:space="preserve"> [Anexo 1.9] </w:t>
            </w:r>
            <w:r w:rsidRPr="00424489">
              <w:rPr>
                <w:lang w:bidi="es-ES"/>
              </w:rPr>
              <w:t>Según lo encontrado en la encuesta de hogares del 2018, de las personas que se enfermaron o accidentaron en el año el 4</w:t>
            </w:r>
            <w:r w:rsidR="00BB0F58" w:rsidRPr="00424489">
              <w:rPr>
                <w:lang w:bidi="es-ES"/>
              </w:rPr>
              <w:t>4</w:t>
            </w:r>
            <w:r w:rsidRPr="00424489">
              <w:rPr>
                <w:lang w:bidi="es-ES"/>
              </w:rPr>
              <w:t>.</w:t>
            </w:r>
            <w:r w:rsidR="00BB0F58" w:rsidRPr="00424489">
              <w:rPr>
                <w:lang w:bidi="es-ES"/>
              </w:rPr>
              <w:t>1</w:t>
            </w:r>
            <w:r w:rsidRPr="00424489">
              <w:rPr>
                <w:lang w:bidi="es-ES"/>
              </w:rPr>
              <w:t xml:space="preserve">% no acudió a ningún tipo de establecimiento a buscar atención (42.5% de mujeres y 46.5% de hombres), de los que sí buscaron atención en salud, 62.5% lo hicieron en unidades del MINSAL (63.2% de mujeres y 61.4% de hombres), 13.8% en el ISSS (13.2% de mujeres y 14.6% de hombres), 21.4% en algún establecimiento privado (21.4% de mujeres y 21.5% de hombres) y 2.2% al hospital militar y otros (2.1% en mujeres y 2.4% en hombres). </w:t>
            </w:r>
            <w:r w:rsidR="00096A4F" w:rsidRPr="00424489">
              <w:rPr>
                <w:lang w:bidi="es-ES"/>
              </w:rPr>
              <w:t>[Anexo 1.</w:t>
            </w:r>
            <w:r w:rsidR="00D661C9" w:rsidRPr="00424489">
              <w:rPr>
                <w:lang w:bidi="es-ES"/>
              </w:rPr>
              <w:t>5</w:t>
            </w:r>
            <w:r w:rsidR="00096A4F" w:rsidRPr="00424489">
              <w:rPr>
                <w:lang w:bidi="es-ES"/>
              </w:rPr>
              <w:t>]</w:t>
            </w:r>
          </w:p>
          <w:p w14:paraId="0B1A762C" w14:textId="4F1BA677" w:rsidR="009278C5" w:rsidRPr="00424489" w:rsidRDefault="009278C5" w:rsidP="009278C5">
            <w:pPr>
              <w:jc w:val="both"/>
              <w:rPr>
                <w:lang w:bidi="es-ES"/>
              </w:rPr>
            </w:pPr>
            <w:r w:rsidRPr="00424489">
              <w:rPr>
                <w:lang w:bidi="es-ES"/>
              </w:rPr>
              <w:t xml:space="preserve">Hoy día se ha logrado una mínima representación de la empresa privada por medio de </w:t>
            </w:r>
            <w:r w:rsidR="00096A4F" w:rsidRPr="00424489">
              <w:rPr>
                <w:lang w:bidi="es-ES"/>
              </w:rPr>
              <w:t xml:space="preserve">la </w:t>
            </w:r>
            <w:r w:rsidRPr="00424489">
              <w:rPr>
                <w:lang w:bidi="es-ES"/>
              </w:rPr>
              <w:t>Asociación</w:t>
            </w:r>
            <w:r w:rsidRPr="00D24998">
              <w:rPr>
                <w:lang w:bidi="es-ES"/>
              </w:rPr>
              <w:t xml:space="preserve"> de</w:t>
            </w:r>
            <w:r>
              <w:rPr>
                <w:lang w:bidi="es-ES"/>
              </w:rPr>
              <w:t xml:space="preserve"> Administradores de</w:t>
            </w:r>
            <w:r w:rsidRPr="00D24998">
              <w:rPr>
                <w:lang w:bidi="es-ES"/>
              </w:rPr>
              <w:t xml:space="preserve"> Recursos Humanos de El Salvador</w:t>
            </w:r>
            <w:r w:rsidR="00096A4F">
              <w:rPr>
                <w:lang w:bidi="es-ES"/>
              </w:rPr>
              <w:t xml:space="preserve"> (</w:t>
            </w:r>
            <w:r w:rsidR="00096A4F" w:rsidRPr="00D24998">
              <w:rPr>
                <w:lang w:bidi="es-ES"/>
              </w:rPr>
              <w:t>A</w:t>
            </w:r>
            <w:r w:rsidR="00096A4F">
              <w:rPr>
                <w:lang w:bidi="es-ES"/>
              </w:rPr>
              <w:t>A</w:t>
            </w:r>
            <w:r w:rsidR="00096A4F" w:rsidRPr="00D24998">
              <w:rPr>
                <w:lang w:bidi="es-ES"/>
              </w:rPr>
              <w:t>RHES</w:t>
            </w:r>
            <w:r w:rsidR="00096A4F">
              <w:rPr>
                <w:lang w:bidi="es-ES"/>
              </w:rPr>
              <w:t>)</w:t>
            </w:r>
            <w:r w:rsidRPr="00D24998">
              <w:rPr>
                <w:lang w:bidi="es-ES"/>
              </w:rPr>
              <w:t xml:space="preserve"> en el </w:t>
            </w:r>
            <w:r w:rsidR="006D0B25">
              <w:rPr>
                <w:lang w:bidi="es-ES"/>
              </w:rPr>
              <w:t>MCP-ES</w:t>
            </w:r>
            <w:r w:rsidRPr="00D24998">
              <w:rPr>
                <w:lang w:bidi="es-ES"/>
              </w:rPr>
              <w:t xml:space="preserve">-ES; hace un par de años se tuvo participación en la elaboración de Políticas de VIH en las clínicas empresariales de la Seguridad </w:t>
            </w:r>
            <w:r w:rsidRPr="00D24998">
              <w:rPr>
                <w:lang w:bidi="es-ES"/>
              </w:rPr>
              <w:lastRenderedPageBreak/>
              <w:t>Social. Sin embargo</w:t>
            </w:r>
            <w:r w:rsidR="00D33339">
              <w:rPr>
                <w:lang w:bidi="es-ES"/>
              </w:rPr>
              <w:t>,</w:t>
            </w:r>
            <w:r w:rsidRPr="00D24998">
              <w:rPr>
                <w:lang w:bidi="es-ES"/>
              </w:rPr>
              <w:t xml:space="preserve"> a partir de la nueva ley de VIH vigente desde el 2017 (Ley de Prevención y Control de la Infección provocada por el virus de Inmunodeficiencia Humana) que ya no la </w:t>
            </w:r>
            <w:r>
              <w:rPr>
                <w:lang w:bidi="es-ES"/>
              </w:rPr>
              <w:t>incluyó</w:t>
            </w:r>
            <w:r w:rsidRPr="00D24998">
              <w:rPr>
                <w:lang w:bidi="es-ES"/>
              </w:rPr>
              <w:t xml:space="preserve"> como miembro de la Comisión Nacional de VIH (CONAVIH), por </w:t>
            </w:r>
            <w:r w:rsidRPr="00424489">
              <w:rPr>
                <w:lang w:bidi="es-ES"/>
              </w:rPr>
              <w:t>lo que la integración de la empresa privada sigue siendo un desafío para sumarse a la respuesta al VIH.</w:t>
            </w:r>
            <w:r w:rsidR="00E82108" w:rsidRPr="00424489">
              <w:rPr>
                <w:lang w:bidi="es-ES"/>
              </w:rPr>
              <w:t xml:space="preserve"> [Anexo 1.</w:t>
            </w:r>
            <w:r w:rsidR="002D7F83" w:rsidRPr="00424489">
              <w:rPr>
                <w:lang w:bidi="es-ES"/>
              </w:rPr>
              <w:t>10</w:t>
            </w:r>
            <w:r w:rsidR="00E82108" w:rsidRPr="00424489">
              <w:rPr>
                <w:lang w:bidi="es-ES"/>
              </w:rPr>
              <w:t>]</w:t>
            </w:r>
          </w:p>
          <w:p w14:paraId="113427AA" w14:textId="1EE70F75" w:rsidR="009278C5" w:rsidRPr="00424489" w:rsidRDefault="009278C5" w:rsidP="009278C5">
            <w:pPr>
              <w:jc w:val="both"/>
              <w:rPr>
                <w:lang w:bidi="es-ES"/>
              </w:rPr>
            </w:pPr>
            <w:r w:rsidRPr="00424489">
              <w:rPr>
                <w:lang w:bidi="es-ES"/>
              </w:rPr>
              <w:t xml:space="preserve">En los resultados de la medición del índice de sostenibilidad para el control de la epidemia realizado en el 2020 con el apoyo de USAID, el elemento </w:t>
            </w:r>
            <w:r w:rsidRPr="00424489">
              <w:rPr>
                <w:i/>
                <w:iCs/>
                <w:lang w:bidi="es-ES"/>
              </w:rPr>
              <w:t>'Participación del sector privado</w:t>
            </w:r>
            <w:r w:rsidRPr="00424489">
              <w:rPr>
                <w:lang w:bidi="es-ES"/>
              </w:rPr>
              <w:t xml:space="preserve">' es valorado como Insostenible, lo que implica una inversión considerable para mejorarlo. La participación del sector privado pertenece al dominio de gobernanza, liderazgo y rendición de cuentas. </w:t>
            </w:r>
            <w:r w:rsidR="00E82108" w:rsidRPr="00424489">
              <w:rPr>
                <w:lang w:bidi="es-ES"/>
              </w:rPr>
              <w:t>[Anexo 1.</w:t>
            </w:r>
            <w:r w:rsidR="0065683A" w:rsidRPr="00424489">
              <w:rPr>
                <w:lang w:bidi="es-ES"/>
              </w:rPr>
              <w:t>11</w:t>
            </w:r>
            <w:r w:rsidR="00E82108" w:rsidRPr="00424489">
              <w:rPr>
                <w:lang w:bidi="es-ES"/>
              </w:rPr>
              <w:t>]</w:t>
            </w:r>
          </w:p>
          <w:p w14:paraId="18E268A5" w14:textId="77777777" w:rsidR="009278C5" w:rsidRPr="00D24998" w:rsidRDefault="009278C5" w:rsidP="009278C5">
            <w:pPr>
              <w:jc w:val="both"/>
              <w:rPr>
                <w:lang w:bidi="es-ES"/>
              </w:rPr>
            </w:pPr>
            <w:r w:rsidRPr="00424489">
              <w:rPr>
                <w:lang w:val="es-BO"/>
              </w:rPr>
              <w:t>A pesar de la ausencia del sector privado en la CONAVIH, esto no implica que haya restricciones en el país para que prestadores de servicios de salud privados puedan ofertar</w:t>
            </w:r>
            <w:r w:rsidRPr="001E0232">
              <w:rPr>
                <w:lang w:val="es-BO"/>
              </w:rPr>
              <w:t xml:space="preserve"> y brindar atención en VIH. El</w:t>
            </w:r>
            <w:r w:rsidRPr="00792EE2">
              <w:rPr>
                <w:lang w:val="es-BO"/>
              </w:rPr>
              <w:t xml:space="preserve"> MINSAL mantiene coordinaciones con los actores</w:t>
            </w:r>
            <w:r w:rsidRPr="00D24998">
              <w:rPr>
                <w:lang w:val="es-BO"/>
              </w:rPr>
              <w:t xml:space="preserve"> más relevantes del sistema de salud, en el marco de trabajo de las RIIS (Redes integradas e integrales de salud), con el objetivo de reforzar los logros obtenidos y garantizar la sostenibilidad.</w:t>
            </w:r>
          </w:p>
          <w:p w14:paraId="40D54B26" w14:textId="77777777" w:rsidR="009278C5" w:rsidRPr="007D2C39" w:rsidRDefault="009278C5" w:rsidP="00617951">
            <w:pPr>
              <w:pStyle w:val="ListParagraph"/>
              <w:numPr>
                <w:ilvl w:val="0"/>
                <w:numId w:val="38"/>
              </w:numPr>
              <w:jc w:val="both"/>
              <w:rPr>
                <w:b/>
                <w:bCs/>
                <w:u w:val="single"/>
                <w:lang w:bidi="es-ES"/>
              </w:rPr>
            </w:pPr>
            <w:r w:rsidRPr="007D2C39">
              <w:rPr>
                <w:b/>
                <w:bCs/>
                <w:u w:val="single"/>
                <w:lang w:bidi="es-ES"/>
              </w:rPr>
              <w:t>Género, edad, derechos humanos</w:t>
            </w:r>
          </w:p>
          <w:p w14:paraId="51B0B60A" w14:textId="78FC33DC" w:rsidR="009278C5" w:rsidRPr="00424489" w:rsidRDefault="009278C5" w:rsidP="009278C5">
            <w:pPr>
              <w:jc w:val="both"/>
              <w:rPr>
                <w:lang w:bidi="es-ES"/>
              </w:rPr>
            </w:pPr>
            <w:r w:rsidRPr="00D325A6">
              <w:rPr>
                <w:lang w:bidi="es-ES"/>
              </w:rPr>
              <w:t xml:space="preserve">En lo relacionado a Juventud del Plan Cuscatlán se reconoce que la mujer joven sufre limitantes para poder llevar una vida estable. Las madres solteras ven limitadas sus opciones de desarrollo personal por dedicarse al cuido de sus hijos, la falta de oportunidad para ellas es un reflejo de desigualdad y discriminación. Se reconoce el clima generalizado de exclusión, violencia y abandono en el que vive la mujer en El Salvador, a pesar de los esfuerzos se ha logrado poco para </w:t>
            </w:r>
            <w:r w:rsidRPr="00424489">
              <w:rPr>
                <w:lang w:bidi="es-ES"/>
              </w:rPr>
              <w:t>revertir la situación por las condiciones de pobreza y falta de acceso al sistema de salud entre otras razones.</w:t>
            </w:r>
            <w:r w:rsidR="00E82108" w:rsidRPr="00424489">
              <w:rPr>
                <w:lang w:bidi="es-ES"/>
              </w:rPr>
              <w:t xml:space="preserve"> [Anexo 1.1</w:t>
            </w:r>
            <w:r w:rsidR="0065683A" w:rsidRPr="00424489">
              <w:rPr>
                <w:lang w:bidi="es-ES"/>
              </w:rPr>
              <w:t>2</w:t>
            </w:r>
            <w:r w:rsidR="00E82108" w:rsidRPr="00424489">
              <w:rPr>
                <w:lang w:bidi="es-ES"/>
              </w:rPr>
              <w:t>]</w:t>
            </w:r>
          </w:p>
          <w:p w14:paraId="0344712F" w14:textId="77777777" w:rsidR="009278C5" w:rsidRPr="001E0232" w:rsidRDefault="009278C5" w:rsidP="009278C5">
            <w:pPr>
              <w:pStyle w:val="ListParagraph"/>
              <w:ind w:left="0"/>
              <w:contextualSpacing w:val="0"/>
              <w:jc w:val="both"/>
              <w:rPr>
                <w:rStyle w:val="normaltextrun"/>
                <w:rFonts w:eastAsia="Times New Roman"/>
                <w:lang w:eastAsia="en-GB"/>
              </w:rPr>
            </w:pPr>
            <w:r w:rsidRPr="00424489">
              <w:rPr>
                <w:rStyle w:val="normaltextrun"/>
                <w:rFonts w:eastAsia="Times New Roman"/>
                <w:lang w:eastAsia="en-GB"/>
              </w:rPr>
              <w:t>En la región centroamericana se sabe de la existencia de barreras e inequidades para el acceso a servicios de salud de las poblaciones clave, la población LGBTI y las</w:t>
            </w:r>
            <w:r w:rsidRPr="001E0232">
              <w:rPr>
                <w:rStyle w:val="normaltextrun"/>
                <w:rFonts w:eastAsia="Times New Roman"/>
                <w:lang w:eastAsia="en-GB"/>
              </w:rPr>
              <w:t xml:space="preserve"> personas que viven con VIH. Esto hace que lo incluido en esta propuesta tenga una perspectiva inclusiva, en la que se prioriza las intervenciones dirigidas a estas poblaciones las cuales representan más del 50% del presupuesto solicitado en esta subvención.</w:t>
            </w:r>
          </w:p>
          <w:p w14:paraId="73B6B97D" w14:textId="3ACECE40" w:rsidR="009278C5" w:rsidRPr="00424489" w:rsidRDefault="009278C5" w:rsidP="009278C5">
            <w:pPr>
              <w:jc w:val="both"/>
              <w:rPr>
                <w:lang w:bidi="es-ES"/>
              </w:rPr>
            </w:pPr>
            <w:r w:rsidRPr="00D325A6">
              <w:rPr>
                <w:lang w:bidi="es-ES"/>
              </w:rPr>
              <w:t xml:space="preserve">Como consecuencia de las condiciones en las que crecen, las niñas deben convertirse en madres a temprana edad -víctimas de abuso- lo que profundiza la situación y las condiciona a reproducir la pobreza. </w:t>
            </w:r>
            <w:r w:rsidR="009C5A7A">
              <w:rPr>
                <w:lang w:bidi="es-ES"/>
              </w:rPr>
              <w:t xml:space="preserve">En los registros de atención prenatal del MINSAL en el 2017 había casi </w:t>
            </w:r>
            <w:r w:rsidRPr="00D325A6">
              <w:rPr>
                <w:lang w:bidi="es-ES"/>
              </w:rPr>
              <w:t xml:space="preserve">20,000 niñas </w:t>
            </w:r>
            <w:r w:rsidR="009C5A7A">
              <w:rPr>
                <w:lang w:bidi="es-ES"/>
              </w:rPr>
              <w:t xml:space="preserve">y adolescentes ingresadas a dicho programa, en los registros de inscripciones del Ministerio de Educación de ese mismo año 1,050 niñas tuvieron un embarazo, de ellas 698 tuvieron que abandonar las aulas de clase. La situación del embarazo en adolescentes </w:t>
            </w:r>
            <w:r w:rsidR="009C5A7A" w:rsidRPr="00424489">
              <w:rPr>
                <w:lang w:bidi="es-ES"/>
              </w:rPr>
              <w:t xml:space="preserve">profundiza los círculos de la pobreza al propiciar que estas niñas ingresen </w:t>
            </w:r>
            <w:r w:rsidRPr="00424489">
              <w:rPr>
                <w:lang w:bidi="es-ES"/>
              </w:rPr>
              <w:t>al sector informal de la economía, con muchas desventajas en la cobertura de seguridad social, entre otras.</w:t>
            </w:r>
            <w:r w:rsidR="00DB57FE" w:rsidRPr="00424489">
              <w:rPr>
                <w:lang w:bidi="es-ES"/>
              </w:rPr>
              <w:t xml:space="preserve"> [Anexo 1.1</w:t>
            </w:r>
            <w:r w:rsidR="0065683A" w:rsidRPr="00424489">
              <w:rPr>
                <w:lang w:bidi="es-ES"/>
              </w:rPr>
              <w:t>3</w:t>
            </w:r>
            <w:r w:rsidR="00DB57FE" w:rsidRPr="00424489">
              <w:rPr>
                <w:lang w:bidi="es-ES"/>
              </w:rPr>
              <w:t>]</w:t>
            </w:r>
          </w:p>
          <w:p w14:paraId="43F6F111" w14:textId="0589B847" w:rsidR="009278C5" w:rsidRPr="00424489" w:rsidRDefault="009278C5" w:rsidP="009278C5">
            <w:pPr>
              <w:spacing w:line="240" w:lineRule="auto"/>
              <w:jc w:val="both"/>
              <w:rPr>
                <w:lang w:bidi="es-ES"/>
              </w:rPr>
            </w:pPr>
            <w:r w:rsidRPr="00424489">
              <w:rPr>
                <w:lang w:bidi="es-ES"/>
              </w:rPr>
              <w:t xml:space="preserve">El estudio de línea de base para el proyecto ‘Servicios Integrales de Salud y Educación para adolescentes y jóvenes en El Salvador’ realizado por Plan International en el 2019, con 388 adolescentes de centros escolares, se encuentra que el 95% de adolescentes de </w:t>
            </w:r>
            <w:r w:rsidR="00907A5E" w:rsidRPr="00424489">
              <w:rPr>
                <w:lang w:bidi="es-ES"/>
              </w:rPr>
              <w:t>ambos sexos</w:t>
            </w:r>
            <w:r w:rsidRPr="00424489">
              <w:rPr>
                <w:lang w:bidi="es-ES"/>
              </w:rPr>
              <w:t xml:space="preserve"> conocen de al menos un tema relacionado a la sexualidad. A pesar de que el tema de prevención de embarazos (66%) y anticonceptivos (55%) están entre los mencionados con mayor frecuencia, solo el 24% de las mujeres y el 32% de los hombres tienen conocimiento correcto sobre métodos anticonceptivos. En ese mismo grupo de estudio el 18% ya había iniciado a tener relaciones sexuales (8% de las mujeres y 29% de los </w:t>
            </w:r>
            <w:r w:rsidR="00F14450" w:rsidRPr="00424489">
              <w:rPr>
                <w:lang w:bidi="es-ES"/>
              </w:rPr>
              <w:t>hombres</w:t>
            </w:r>
            <w:r w:rsidRPr="00424489">
              <w:rPr>
                <w:lang w:bidi="es-ES"/>
              </w:rPr>
              <w:t xml:space="preserve">), de los que el 69% ha utilizado algún método anticonceptivo (47% de las mujeres y 75% de los </w:t>
            </w:r>
            <w:r w:rsidR="00F14450" w:rsidRPr="00424489">
              <w:rPr>
                <w:lang w:bidi="es-ES"/>
              </w:rPr>
              <w:t>hombres</w:t>
            </w:r>
            <w:r w:rsidRPr="00424489">
              <w:rPr>
                <w:lang w:bidi="es-ES"/>
              </w:rPr>
              <w:t xml:space="preserve">), siendo el condón masculino el método mencionado con mayor frecuencia en </w:t>
            </w:r>
            <w:r w:rsidR="00BB2818" w:rsidRPr="00424489">
              <w:rPr>
                <w:lang w:bidi="es-ES"/>
              </w:rPr>
              <w:t>ambos sexos</w:t>
            </w:r>
            <w:r w:rsidRPr="00424489">
              <w:rPr>
                <w:lang w:bidi="es-ES"/>
              </w:rPr>
              <w:t>. [A</w:t>
            </w:r>
            <w:r w:rsidR="00DB57FE" w:rsidRPr="00424489">
              <w:rPr>
                <w:lang w:bidi="es-ES"/>
              </w:rPr>
              <w:t>nexo 1.1</w:t>
            </w:r>
            <w:r w:rsidR="0098618E" w:rsidRPr="00424489">
              <w:rPr>
                <w:lang w:bidi="es-ES"/>
              </w:rPr>
              <w:t>4</w:t>
            </w:r>
            <w:r w:rsidRPr="00424489">
              <w:rPr>
                <w:lang w:bidi="es-ES"/>
              </w:rPr>
              <w:t>]</w:t>
            </w:r>
          </w:p>
          <w:p w14:paraId="738ADEEE" w14:textId="39666DB2" w:rsidR="009278C5" w:rsidRDefault="005433A5" w:rsidP="009278C5">
            <w:pPr>
              <w:jc w:val="both"/>
              <w:rPr>
                <w:lang w:bidi="es-ES"/>
              </w:rPr>
            </w:pPr>
            <w:r w:rsidRPr="00424489">
              <w:rPr>
                <w:lang w:bidi="es-ES"/>
              </w:rPr>
              <w:t>C</w:t>
            </w:r>
            <w:r w:rsidR="009278C5" w:rsidRPr="00424489">
              <w:rPr>
                <w:lang w:bidi="es-ES"/>
              </w:rPr>
              <w:t>omo parte de los avances que el país ha tenido en materia de derechos sexuales y derechos reproductivos, los menores de edad (adolescentes) que solicit</w:t>
            </w:r>
            <w:r w:rsidRPr="00424489">
              <w:rPr>
                <w:lang w:bidi="es-ES"/>
              </w:rPr>
              <w:t>a</w:t>
            </w:r>
            <w:r w:rsidR="009278C5" w:rsidRPr="00424489">
              <w:rPr>
                <w:lang w:bidi="es-ES"/>
              </w:rPr>
              <w:t>n en los establecimientos</w:t>
            </w:r>
            <w:r w:rsidR="009278C5" w:rsidRPr="00D325A6">
              <w:rPr>
                <w:lang w:bidi="es-ES"/>
              </w:rPr>
              <w:t xml:space="preserve"> de salud realizarse la prueba de VIH</w:t>
            </w:r>
            <w:r w:rsidR="009278C5">
              <w:rPr>
                <w:lang w:bidi="es-ES"/>
              </w:rPr>
              <w:t>,</w:t>
            </w:r>
            <w:r w:rsidR="009278C5" w:rsidRPr="00D325A6">
              <w:rPr>
                <w:lang w:bidi="es-ES"/>
              </w:rPr>
              <w:t xml:space="preserve"> esta les es realizada sin que se requiera la autorización de los padres o tutores, en forma análoga esto también es así para brindarles condones.</w:t>
            </w:r>
          </w:p>
          <w:p w14:paraId="319754C9" w14:textId="77777777" w:rsidR="009278C5" w:rsidRPr="00D325A6" w:rsidRDefault="009278C5" w:rsidP="009278C5">
            <w:pPr>
              <w:jc w:val="both"/>
              <w:rPr>
                <w:lang w:bidi="es-ES"/>
              </w:rPr>
            </w:pPr>
            <w:r w:rsidRPr="00D325A6">
              <w:rPr>
                <w:lang w:bidi="es-ES"/>
              </w:rPr>
              <w:t>El Salvador ha conservado los esfuerzos de trabajo para fortalecer el respeto de los derechos de las personas que integran las poblaciones clave y de personas con VIH, promoviendo la estrategia de diálogo permanente con organizaciones de la comunidad LGBTI y con asociaciones de personas con VIH, concediendo espacios para informar de los avances, novedades y ajustes en las estrategias, así como para obtener de ellos apreciaciones y recomendaciones para una mejor efectividad de las acciones. Esta interacción suministra importantes elementos de valoración del estigma, discriminación y posibles violaciones a los derechos de estas poblaciones.</w:t>
            </w:r>
          </w:p>
          <w:p w14:paraId="159C7478" w14:textId="56EBA490" w:rsidR="009278C5" w:rsidRPr="00424489" w:rsidRDefault="009278C5" w:rsidP="009278C5">
            <w:pPr>
              <w:jc w:val="both"/>
              <w:rPr>
                <w:lang w:bidi="es-ES"/>
              </w:rPr>
            </w:pPr>
            <w:r w:rsidRPr="00D325A6">
              <w:rPr>
                <w:lang w:bidi="es-ES"/>
              </w:rPr>
              <w:lastRenderedPageBreak/>
              <w:t xml:space="preserve">En el 2018 la Secretaría de Inclusión Social realizó valoración del ‘Índice de inclusión institucional LGBTI’ para valorar -entre otros elementos del marco jurídico- el cumplimiento del Decreto Ejecutivo 56 del año 2010, alusivo a evitar toda forma de discriminación en la administración pública, por razones de identidad de género y/o de orientación sexual. Entre las categorías incluidas en la valoración estuvo: ‘Normativas de no discriminación’, ‘Institución como empleadora/patrono’, ‘Competencias organizacionales LGBT’, ‘Servicios institucionales’, ‘Estadísticas institucionales y transparencia’, ‘Relaciones con la comunidad LGBT’. El Ministerio del Trabajo y Previsión Social fue la institución con la mejor valoración, seguido del MINSAL. EL Instituto Salvadoreño de Seguridad Social estuvo entre las instituciones con valoración intermedia, y entre los que tuvieron valoración baja estuvo el Instituto de la Juventud y el Ministerio de Educación entre otros. La experiencia de valorar esa importante herramienta jurídica permitió a todas las instituciones establecer compromisos de </w:t>
            </w:r>
            <w:r w:rsidRPr="00424489">
              <w:rPr>
                <w:lang w:bidi="es-ES"/>
              </w:rPr>
              <w:t>trabajo para eliminar toda forma de discriminación y promover los derechos humanos de poblaciones vulnerables entre estas la población LGBTI, privados de libertad y de personas que viven con VIH.</w:t>
            </w:r>
            <w:r w:rsidR="00DB57FE" w:rsidRPr="00424489">
              <w:rPr>
                <w:lang w:bidi="es-ES"/>
              </w:rPr>
              <w:t xml:space="preserve"> [Anexo 1.1</w:t>
            </w:r>
            <w:r w:rsidR="005433A5" w:rsidRPr="00424489">
              <w:rPr>
                <w:lang w:bidi="es-ES"/>
              </w:rPr>
              <w:t>5</w:t>
            </w:r>
            <w:r w:rsidR="00DB57FE" w:rsidRPr="00424489">
              <w:rPr>
                <w:lang w:bidi="es-ES"/>
              </w:rPr>
              <w:t>]</w:t>
            </w:r>
          </w:p>
          <w:p w14:paraId="2E2CE414" w14:textId="288726BE" w:rsidR="009278C5" w:rsidRPr="00424489" w:rsidRDefault="009278C5" w:rsidP="009278C5">
            <w:pPr>
              <w:jc w:val="both"/>
              <w:rPr>
                <w:lang w:bidi="es-ES"/>
              </w:rPr>
            </w:pPr>
            <w:r w:rsidRPr="00424489">
              <w:rPr>
                <w:lang w:bidi="es-ES"/>
              </w:rPr>
              <w:t>En la medición del índice de estigma y discriminación hacia personas con VIH realizado en el 2019 se observó que en comparación con la medición del 2009 hay reducción de la percepción de estigma en los ámbitos social, religioso y familiar lo que es consistente con una percepción positiva de la atención en los establecimientos donde reciben atención, particularmente en los hospitales. A pesar de los avances en la reducción del estigma y discriminación y en las mejoras en el respeto de los derechos persiste una proporción importante de personas con VIH que perciben discriminación. [A</w:t>
            </w:r>
            <w:r w:rsidR="00DB57FE" w:rsidRPr="00424489">
              <w:rPr>
                <w:lang w:bidi="es-ES"/>
              </w:rPr>
              <w:t>nexo 1.1</w:t>
            </w:r>
            <w:r w:rsidR="005433A5" w:rsidRPr="00424489">
              <w:rPr>
                <w:lang w:bidi="es-ES"/>
              </w:rPr>
              <w:t>6</w:t>
            </w:r>
            <w:r w:rsidRPr="00424489">
              <w:rPr>
                <w:lang w:bidi="es-ES"/>
              </w:rPr>
              <w:t>]</w:t>
            </w:r>
          </w:p>
          <w:p w14:paraId="0B36ADDC" w14:textId="0878AE9F" w:rsidR="009278C5" w:rsidRPr="00424489" w:rsidRDefault="009278C5" w:rsidP="009278C5">
            <w:pPr>
              <w:jc w:val="both"/>
              <w:rPr>
                <w:lang w:bidi="es-ES"/>
              </w:rPr>
            </w:pPr>
            <w:r w:rsidRPr="00424489">
              <w:rPr>
                <w:lang w:bidi="es-ES"/>
              </w:rPr>
              <w:t>El Plan Cuscatlán establece que será realizado un ‘examen exhaustivo’ de todas las prácticas</w:t>
            </w:r>
            <w:r w:rsidRPr="00D325A6">
              <w:rPr>
                <w:lang w:bidi="es-ES"/>
              </w:rPr>
              <w:t xml:space="preserve"> y conductas en el sector público que tienen impacto discriminatorio contra mujeres y grupos vulnerables. Las acciones previstas están incorporadas en la ‘Plataforma de Derechos Humanos’ a cargo de la Procuraduría de Derechos Humanos en la campaña presidencial del 2019</w:t>
            </w:r>
            <w:r w:rsidRPr="00424489">
              <w:rPr>
                <w:lang w:bidi="es-ES"/>
              </w:rPr>
              <w:t>.</w:t>
            </w:r>
            <w:r w:rsidR="00713D9A" w:rsidRPr="00424489">
              <w:rPr>
                <w:lang w:bidi="es-ES"/>
              </w:rPr>
              <w:t xml:space="preserve"> [Anexo 1.15]</w:t>
            </w:r>
          </w:p>
          <w:p w14:paraId="4BB87530" w14:textId="77777777" w:rsidR="009278C5" w:rsidRPr="00424489" w:rsidRDefault="009278C5" w:rsidP="00617951">
            <w:pPr>
              <w:pStyle w:val="ListParagraph"/>
              <w:numPr>
                <w:ilvl w:val="0"/>
                <w:numId w:val="38"/>
              </w:numPr>
              <w:jc w:val="both"/>
              <w:rPr>
                <w:lang w:bidi="es-ES"/>
              </w:rPr>
            </w:pPr>
            <w:r w:rsidRPr="00424489">
              <w:rPr>
                <w:b/>
                <w:bCs/>
                <w:u w:val="single"/>
                <w:lang w:bidi="es-ES"/>
              </w:rPr>
              <w:t>Situación de VIH al finalizar el 2019</w:t>
            </w:r>
          </w:p>
          <w:p w14:paraId="7E7488FA" w14:textId="77777777" w:rsidR="009278C5" w:rsidRPr="00424489" w:rsidRDefault="009278C5" w:rsidP="009278C5">
            <w:pPr>
              <w:jc w:val="both"/>
              <w:rPr>
                <w:b/>
                <w:bCs/>
                <w:lang w:bidi="es-ES"/>
              </w:rPr>
            </w:pPr>
            <w:r w:rsidRPr="00424489">
              <w:rPr>
                <w:b/>
                <w:bCs/>
                <w:lang w:bidi="es-ES"/>
              </w:rPr>
              <w:t>Evolución de la epidemia</w:t>
            </w:r>
          </w:p>
          <w:p w14:paraId="57B7D727" w14:textId="280FA873" w:rsidR="009278C5" w:rsidRPr="00424489" w:rsidRDefault="009278C5" w:rsidP="009278C5">
            <w:pPr>
              <w:jc w:val="both"/>
              <w:rPr>
                <w:lang w:bidi="es-ES"/>
              </w:rPr>
            </w:pPr>
            <w:r w:rsidRPr="00424489">
              <w:rPr>
                <w:lang w:bidi="es-ES"/>
              </w:rPr>
              <w:t>Desde 1984 en que se diagnosticó a la primera persona, hasta finales del 2019 se ha detectado con VIH a 37,478 personas en el país. Se reconocen tres etapas de la epidemia; un inicio de incremento sostenido de casos diagnosticados -entre 1984 y el 2001-, una segunda etapa de relativa estabilización en la cantidad de nuevas personas diagnosticadas -entre 2001 y el 2010-, y la tercera en la que se observa reducción paulatina de nuevos casos desde el 2010, con un leve incremento en 2017 y 2018 que puede deberse a una mayor oferta de pruebas realizadas</w:t>
            </w:r>
            <w:r w:rsidRPr="00424489">
              <w:rPr>
                <w:rStyle w:val="FootnoteReference"/>
                <w:lang w:bidi="es-ES"/>
              </w:rPr>
              <w:footnoteReference w:id="5"/>
            </w:r>
            <w:r w:rsidRPr="00424489">
              <w:rPr>
                <w:lang w:bidi="es-ES"/>
              </w:rPr>
              <w:t xml:space="preserve"> (ver Figura I). Un elemento que refuerza el descenso en la cantidad de nuevos casos anuales es que, a pesar del incremento sostenido en la cantidad de pruebas anuales en los últimos cinco años, desde 370 mil en el 2015 hasta casi 486 mil en el 2019, la proporción de positivos se reduce de 3.1 por cada mil pruebas en el 2015 a 2.4 en el 2019. </w:t>
            </w:r>
            <w:r w:rsidR="00713D9A" w:rsidRPr="00424489">
              <w:rPr>
                <w:lang w:bidi="es-ES"/>
              </w:rPr>
              <w:t>[Anexo 1.1</w:t>
            </w:r>
            <w:r w:rsidR="00807A96" w:rsidRPr="00424489">
              <w:rPr>
                <w:lang w:bidi="es-ES"/>
              </w:rPr>
              <w:t>8]</w:t>
            </w:r>
          </w:p>
          <w:p w14:paraId="7A8D1741" w14:textId="00380341" w:rsidR="009278C5" w:rsidRDefault="009278C5" w:rsidP="009278C5">
            <w:pPr>
              <w:jc w:val="both"/>
              <w:rPr>
                <w:lang w:bidi="es-ES"/>
              </w:rPr>
            </w:pPr>
            <w:r w:rsidRPr="00424489">
              <w:rPr>
                <w:noProof/>
              </w:rPr>
              <w:drawing>
                <wp:anchor distT="0" distB="0" distL="114300" distR="114300" simplePos="0" relativeHeight="251677696" behindDoc="0" locked="0" layoutInCell="1" allowOverlap="1" wp14:anchorId="5FBDD656" wp14:editId="45D0F51E">
                  <wp:simplePos x="0" y="0"/>
                  <wp:positionH relativeFrom="column">
                    <wp:posOffset>5715</wp:posOffset>
                  </wp:positionH>
                  <wp:positionV relativeFrom="paragraph">
                    <wp:posOffset>-5715</wp:posOffset>
                  </wp:positionV>
                  <wp:extent cx="3698875" cy="2719070"/>
                  <wp:effectExtent l="0" t="0" r="15875" b="5080"/>
                  <wp:wrapSquare wrapText="bothSides"/>
                  <wp:docPr id="4"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424489">
              <w:rPr>
                <w:lang w:bidi="es-ES"/>
              </w:rPr>
              <w:t>Este comportamiento de reducción de nuevos casos es</w:t>
            </w:r>
            <w:r w:rsidRPr="00D325A6">
              <w:rPr>
                <w:lang w:bidi="es-ES"/>
              </w:rPr>
              <w:t xml:space="preserve"> debido a la evolución que se ha tenido en la comprensión de la epidemia, la disponibilidad de mejores alternativas para la prevención, el diagnóstico y el tratamiento, la adopción de estrategias de mayor efectividad enfocadas a los grupos de mayor vulnerabilidad y de mayor carga de enfermedad, así como el involucramiento de organizaciones de la sociedad civil, particularmente de poblaciones clave que implementando estrategia de pares y seguimiento cara a cara permite conservar ligados a los</w:t>
            </w:r>
            <w:r>
              <w:rPr>
                <w:lang w:bidi="es-ES"/>
              </w:rPr>
              <w:t xml:space="preserve"> </w:t>
            </w:r>
            <w:r w:rsidRPr="00D325A6">
              <w:rPr>
                <w:lang w:bidi="es-ES"/>
              </w:rPr>
              <w:t>servicios de salud a personas de gran vulnerabilidad.</w:t>
            </w:r>
          </w:p>
          <w:p w14:paraId="15CC9749" w14:textId="171154F7" w:rsidR="009278C5" w:rsidRDefault="009278C5" w:rsidP="006F29C8">
            <w:pPr>
              <w:spacing w:after="0"/>
              <w:jc w:val="both"/>
              <w:rPr>
                <w:lang w:bidi="es-ES"/>
              </w:rPr>
            </w:pPr>
          </w:p>
          <w:p w14:paraId="0EF54985" w14:textId="77777777" w:rsidR="007416CD" w:rsidRDefault="007416CD" w:rsidP="006F29C8">
            <w:pPr>
              <w:spacing w:after="0"/>
              <w:jc w:val="both"/>
              <w:rPr>
                <w:lang w:bidi="es-ES"/>
              </w:rPr>
            </w:pPr>
          </w:p>
          <w:p w14:paraId="4AB664AA" w14:textId="003E4267" w:rsidR="009278C5" w:rsidRPr="00D07A16" w:rsidRDefault="009278C5" w:rsidP="006F29C8">
            <w:pPr>
              <w:spacing w:after="240"/>
              <w:jc w:val="both"/>
              <w:rPr>
                <w:i/>
                <w:iCs/>
                <w:sz w:val="18"/>
                <w:szCs w:val="18"/>
                <w:lang w:bidi="es-ES"/>
              </w:rPr>
            </w:pPr>
            <w:r w:rsidRPr="00D07A16">
              <w:rPr>
                <w:i/>
                <w:iCs/>
                <w:sz w:val="18"/>
                <w:szCs w:val="18"/>
                <w:lang w:bidi="es-ES"/>
              </w:rPr>
              <w:t xml:space="preserve">Fuente: Informe Nacional Situación de </w:t>
            </w:r>
            <w:r w:rsidR="006F29C8" w:rsidRPr="00D07A16">
              <w:rPr>
                <w:i/>
                <w:iCs/>
                <w:sz w:val="18"/>
                <w:szCs w:val="18"/>
                <w:lang w:bidi="es-ES"/>
              </w:rPr>
              <w:t>VIH – El Salvador 2019.</w:t>
            </w:r>
          </w:p>
          <w:p w14:paraId="11C21320" w14:textId="0C6AB24C" w:rsidR="009278C5" w:rsidRPr="00143EDE" w:rsidRDefault="009278C5" w:rsidP="009278C5">
            <w:pPr>
              <w:jc w:val="both"/>
              <w:rPr>
                <w:b/>
                <w:bCs/>
                <w:lang w:val="es-NI"/>
              </w:rPr>
            </w:pPr>
            <w:r w:rsidRPr="00143EDE">
              <w:rPr>
                <w:b/>
                <w:bCs/>
                <w:lang w:val="es-NI"/>
              </w:rPr>
              <w:lastRenderedPageBreak/>
              <w:t xml:space="preserve">Distribución por edad y sexo. </w:t>
            </w:r>
          </w:p>
          <w:p w14:paraId="5D646580" w14:textId="6BD49B34" w:rsidR="009278C5" w:rsidRPr="00424489" w:rsidRDefault="00623ABF" w:rsidP="009278C5">
            <w:pPr>
              <w:jc w:val="both"/>
              <w:rPr>
                <w:lang w:val="es-NI"/>
              </w:rPr>
            </w:pPr>
            <w:r>
              <w:rPr>
                <w:lang w:val="es-NI"/>
              </w:rPr>
              <w:t>Según el Informe Nacional Situación del VIH del 2019, d</w:t>
            </w:r>
            <w:r w:rsidR="000C0BE6">
              <w:rPr>
                <w:lang w:val="es-NI"/>
              </w:rPr>
              <w:t xml:space="preserve">e todos los casos notificados entre </w:t>
            </w:r>
            <w:r w:rsidR="009278C5" w:rsidRPr="00D325A6">
              <w:rPr>
                <w:lang w:val="es-NI"/>
              </w:rPr>
              <w:t xml:space="preserve">2015 y 2019 </w:t>
            </w:r>
            <w:r w:rsidR="00433FBF">
              <w:rPr>
                <w:lang w:val="es-NI"/>
              </w:rPr>
              <w:t>l</w:t>
            </w:r>
            <w:r w:rsidR="009278C5" w:rsidRPr="00D325A6">
              <w:rPr>
                <w:lang w:val="es-NI"/>
              </w:rPr>
              <w:t>a mayor proporción tienen edad comprendida entre 20 y 39 años, seguido de quienes tienen entre 40 y 59 años acumul</w:t>
            </w:r>
            <w:r w:rsidR="00433FBF">
              <w:rPr>
                <w:lang w:val="es-NI"/>
              </w:rPr>
              <w:t>á</w:t>
            </w:r>
            <w:r w:rsidR="009278C5" w:rsidRPr="00D325A6">
              <w:rPr>
                <w:lang w:val="es-NI"/>
              </w:rPr>
              <w:t>ndo</w:t>
            </w:r>
            <w:r w:rsidR="00433FBF">
              <w:rPr>
                <w:lang w:val="es-NI"/>
              </w:rPr>
              <w:t>se</w:t>
            </w:r>
            <w:r w:rsidR="009278C5" w:rsidRPr="00D325A6">
              <w:rPr>
                <w:lang w:val="es-NI"/>
              </w:rPr>
              <w:t xml:space="preserve"> en ambos grupos casi el 90</w:t>
            </w:r>
            <w:r w:rsidR="009278C5" w:rsidRPr="00424489">
              <w:rPr>
                <w:lang w:val="es-NI"/>
              </w:rPr>
              <w:t xml:space="preserve">% de todas las nuevas infecciones. </w:t>
            </w:r>
            <w:r w:rsidR="00433FBF" w:rsidRPr="00424489">
              <w:rPr>
                <w:lang w:val="es-NI"/>
              </w:rPr>
              <w:t>[Anexo 1.18] Según los reportes del Sistema Único de Monitoreo y Evaluación y Vigilancia Epidemiológica del VIH (SUMEVE), e</w:t>
            </w:r>
            <w:r w:rsidR="009278C5" w:rsidRPr="00424489">
              <w:rPr>
                <w:lang w:val="es-NI"/>
              </w:rPr>
              <w:t>l 27% de todos los casos del período son mujeres y el 74% son hombres, por año el porcentaje de mujeres oscila entre 23% (2019) y 28% (2016), el de hombres entre 72% (2016) y 77% (2019).</w:t>
            </w:r>
            <w:r w:rsidR="00433FBF" w:rsidRPr="00424489">
              <w:rPr>
                <w:lang w:val="es-NI"/>
              </w:rPr>
              <w:t xml:space="preserve"> </w:t>
            </w:r>
          </w:p>
          <w:p w14:paraId="6F96C626" w14:textId="65A8A17F" w:rsidR="009278C5" w:rsidRPr="00424489" w:rsidRDefault="009278C5" w:rsidP="009278C5">
            <w:pPr>
              <w:jc w:val="both"/>
              <w:rPr>
                <w:lang w:bidi="es-ES"/>
              </w:rPr>
            </w:pPr>
            <w:r w:rsidRPr="00424489">
              <w:rPr>
                <w:lang w:val="es-NI"/>
              </w:rPr>
              <w:t xml:space="preserve">En el año 2019, las tasas de notificación más elevadas se observan entre hombres de 20 a 49 años, siendo el grupo más notable el de hombres de 25 a 39 años que muestra la tasa más alta con 57 casos por 100,000. En mujeres, el grupo de las que tienen entre 35 y 49 años es donde se observan las tasa más elevadas, destacando el grupo de las que tienen de 45 a 49 años con una tasa de 16 por 100,000, la más elevada entre los grupos de edad de mujeres. Esta tasa de notificación en mujeres más alta en el grupo de 35 a 49 años puede deberse a factores como la desventaja educativa que tienen frente a los hombres, además que se ha </w:t>
            </w:r>
            <w:r w:rsidRPr="00424489">
              <w:rPr>
                <w:lang w:bidi="es-ES"/>
              </w:rPr>
              <w:t>reconocido el clima generalizado de exclusión, violencia y abandono de la mujer en El Salvador sumado a las condiciones de pobreza y falta de acceso al sistema de salud entre otras razones.</w:t>
            </w:r>
            <w:r w:rsidR="0086556E" w:rsidRPr="00424489">
              <w:rPr>
                <w:lang w:bidi="es-ES"/>
              </w:rPr>
              <w:t xml:space="preserve"> </w:t>
            </w:r>
            <w:r w:rsidR="0086556E" w:rsidRPr="00424489">
              <w:rPr>
                <w:lang w:val="es-NI"/>
              </w:rPr>
              <w:t>[Anexo 1.18]</w:t>
            </w:r>
          </w:p>
          <w:p w14:paraId="063C9A2B" w14:textId="606CFA12" w:rsidR="009278C5" w:rsidRPr="00D325A6" w:rsidRDefault="009278C5" w:rsidP="009278C5">
            <w:pPr>
              <w:jc w:val="both"/>
              <w:rPr>
                <w:lang w:val="es-NI"/>
              </w:rPr>
            </w:pPr>
            <w:r w:rsidRPr="00424489">
              <w:rPr>
                <w:lang w:val="es-NI"/>
              </w:rPr>
              <w:t xml:space="preserve">Según la estimación de </w:t>
            </w:r>
            <w:r w:rsidR="00623ABF" w:rsidRPr="00424489">
              <w:rPr>
                <w:lang w:val="es-NI"/>
              </w:rPr>
              <w:t>O</w:t>
            </w:r>
            <w:r w:rsidR="00501A95" w:rsidRPr="00424489">
              <w:rPr>
                <w:lang w:val="es-NI"/>
              </w:rPr>
              <w:t>NUSIDA</w:t>
            </w:r>
            <w:r w:rsidR="00623ABF" w:rsidRPr="00424489">
              <w:rPr>
                <w:lang w:val="es-NI"/>
              </w:rPr>
              <w:t xml:space="preserve"> </w:t>
            </w:r>
            <w:r w:rsidRPr="00424489">
              <w:rPr>
                <w:lang w:val="es-NI"/>
              </w:rPr>
              <w:t>la prevalencia en la población de 15 a 49 años es de 0.5% (0.4% en mujeres y 0.6% en hombres)</w:t>
            </w:r>
            <w:r w:rsidR="00623ABF" w:rsidRPr="00424489">
              <w:rPr>
                <w:lang w:val="es-NI"/>
              </w:rPr>
              <w:t xml:space="preserve"> y la incidencia en el mismo segmento de población es de 0.23 por mil habitantes</w:t>
            </w:r>
            <w:r w:rsidRPr="00424489">
              <w:rPr>
                <w:lang w:val="es-NI"/>
              </w:rPr>
              <w:t>.</w:t>
            </w:r>
            <w:r w:rsidR="00623ABF" w:rsidRPr="00424489">
              <w:rPr>
                <w:lang w:val="es-NI"/>
              </w:rPr>
              <w:t xml:space="preserve"> [Anexo 1.19]</w:t>
            </w:r>
          </w:p>
          <w:p w14:paraId="5DF3088F" w14:textId="7D39B0BF" w:rsidR="009278C5" w:rsidRPr="00D325A6" w:rsidRDefault="009278C5" w:rsidP="00623ABF">
            <w:pPr>
              <w:spacing w:after="0"/>
              <w:jc w:val="both"/>
            </w:pPr>
            <w:r w:rsidRPr="00266C9D">
              <w:rPr>
                <w:noProof/>
              </w:rPr>
              <w:drawing>
                <wp:inline distT="0" distB="0" distL="0" distR="0" wp14:anchorId="6C52783C" wp14:editId="293E98E2">
                  <wp:extent cx="6556375" cy="2150745"/>
                  <wp:effectExtent l="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6375" cy="2150745"/>
                          </a:xfrm>
                          <a:prstGeom prst="rect">
                            <a:avLst/>
                          </a:prstGeom>
                          <a:noFill/>
                          <a:ln>
                            <a:noFill/>
                          </a:ln>
                        </pic:spPr>
                      </pic:pic>
                    </a:graphicData>
                  </a:graphic>
                </wp:inline>
              </w:drawing>
            </w:r>
          </w:p>
          <w:p w14:paraId="4F9C44D8" w14:textId="5C278F9D" w:rsidR="009278C5" w:rsidRPr="006F29C8" w:rsidRDefault="006F29C8" w:rsidP="006F29C8">
            <w:pPr>
              <w:spacing w:after="240"/>
              <w:jc w:val="both"/>
              <w:rPr>
                <w:sz w:val="20"/>
                <w:szCs w:val="20"/>
                <w:lang w:val="es-NI"/>
              </w:rPr>
            </w:pPr>
            <w:r w:rsidRPr="006F29C8">
              <w:rPr>
                <w:i/>
                <w:iCs/>
                <w:sz w:val="18"/>
                <w:szCs w:val="18"/>
                <w:lang w:bidi="es-ES"/>
              </w:rPr>
              <w:t xml:space="preserve">Fuente: </w:t>
            </w:r>
            <w:r w:rsidR="0086556E">
              <w:rPr>
                <w:i/>
                <w:iCs/>
                <w:sz w:val="18"/>
                <w:szCs w:val="18"/>
                <w:lang w:bidi="es-ES"/>
              </w:rPr>
              <w:t>Sistema Único de Monitoreo y Evaluación y Vigilancia Epidemiológica del VIH (SUMEVE)</w:t>
            </w:r>
            <w:r w:rsidRPr="006F29C8">
              <w:rPr>
                <w:i/>
                <w:iCs/>
                <w:sz w:val="18"/>
                <w:szCs w:val="18"/>
                <w:lang w:bidi="es-ES"/>
              </w:rPr>
              <w:t>.</w:t>
            </w:r>
          </w:p>
          <w:p w14:paraId="3909E5B7" w14:textId="77777777" w:rsidR="009278C5" w:rsidRPr="00143EDE" w:rsidRDefault="009278C5" w:rsidP="009278C5">
            <w:pPr>
              <w:jc w:val="both"/>
              <w:rPr>
                <w:b/>
                <w:bCs/>
                <w:lang w:val="es-NI"/>
              </w:rPr>
            </w:pPr>
            <w:r w:rsidRPr="00143EDE">
              <w:rPr>
                <w:b/>
                <w:bCs/>
                <w:lang w:val="es-NI"/>
              </w:rPr>
              <w:t>Distribución geográfica de los casos notificados</w:t>
            </w:r>
          </w:p>
          <w:p w14:paraId="4BBE6FC0" w14:textId="2BFD8DFC" w:rsidR="009278C5" w:rsidRPr="00D325A6" w:rsidRDefault="009278C5" w:rsidP="009278C5">
            <w:pPr>
              <w:jc w:val="both"/>
              <w:rPr>
                <w:lang w:val="es-NI"/>
              </w:rPr>
            </w:pPr>
            <w:r>
              <w:rPr>
                <w:noProof/>
              </w:rPr>
              <w:drawing>
                <wp:anchor distT="0" distB="0" distL="114300" distR="114300" simplePos="0" relativeHeight="251672576" behindDoc="0" locked="0" layoutInCell="1" allowOverlap="1" wp14:anchorId="2D8C2A5F" wp14:editId="75424863">
                  <wp:simplePos x="0" y="0"/>
                  <wp:positionH relativeFrom="column">
                    <wp:posOffset>-6350</wp:posOffset>
                  </wp:positionH>
                  <wp:positionV relativeFrom="paragraph">
                    <wp:posOffset>78740</wp:posOffset>
                  </wp:positionV>
                  <wp:extent cx="3585845" cy="2787650"/>
                  <wp:effectExtent l="0" t="0" r="0" b="0"/>
                  <wp:wrapSquare wrapText="bothSides"/>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5845" cy="278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5A6">
              <w:rPr>
                <w:lang w:val="es-NI"/>
              </w:rPr>
              <w:t>Entre el 2015 y el 2019 la tasa de notificación promedio es de 90 nuevas infecciones por cada 100,000 habitantes. Están por encima de esa tasa promedio los departamentos de San Salvador con 134 por 100,000; Sonsonate con 104 por 100,000 y La Libertad con 101 por 100,000. Los departamentos con más baja tasa son Morazán con 29 por 100,000, Chalatenango con 40 por 100,000 y Usulután con 41 por 100,000. La tasa de incidencia anual por VIH observada en el período 2015-2019 oscila entre 17 y 19 por 100,000 habitantes, siendo más elevada en el 2017 y más baja en el 2018 y 2016. Por sexo hay notables diferencias</w:t>
            </w:r>
            <w:r w:rsidRPr="00424489">
              <w:rPr>
                <w:lang w:val="es-NI"/>
              </w:rPr>
              <w:t xml:space="preserve">, oscilando en mujeres entre 7 y 10 por 100,000 y en hombres entre 26 y 29 por 100,000. </w:t>
            </w:r>
            <w:r w:rsidR="009F79A5" w:rsidRPr="00424489">
              <w:rPr>
                <w:lang w:val="es-NI"/>
              </w:rPr>
              <w:t xml:space="preserve">[Anexo 1.18] </w:t>
            </w:r>
            <w:r w:rsidRPr="00424489">
              <w:rPr>
                <w:lang w:val="es-NI"/>
              </w:rPr>
              <w:t>La respuesta nacional integra la información de los</w:t>
            </w:r>
            <w:r>
              <w:rPr>
                <w:lang w:val="es-NI"/>
              </w:rPr>
              <w:t xml:space="preserve"> departamentos y municipios con mayor carga de enfermedad al análisis de situación que realiza el </w:t>
            </w:r>
            <w:r w:rsidRPr="00DA4BC8">
              <w:rPr>
                <w:lang w:val="es-NI"/>
              </w:rPr>
              <w:t xml:space="preserve">Área de Planificación, </w:t>
            </w:r>
            <w:r w:rsidRPr="00DA4BC8">
              <w:rPr>
                <w:lang w:val="es-NI"/>
              </w:rPr>
              <w:lastRenderedPageBreak/>
              <w:t>Monitoreo y Evaluación de la Unidad del Programa de ITS/VIH</w:t>
            </w:r>
            <w:r>
              <w:rPr>
                <w:lang w:val="es-NI"/>
              </w:rPr>
              <w:t xml:space="preserve"> contribuyendo al ajuste de las acciones según donde más son </w:t>
            </w:r>
            <w:r w:rsidRPr="00F3745F">
              <w:rPr>
                <w:lang w:val="es-NI"/>
              </w:rPr>
              <w:t>requeridas</w:t>
            </w:r>
            <w:r w:rsidRPr="00300CFF">
              <w:rPr>
                <w:color w:val="6D6F72" w:themeColor="accent2" w:themeShade="BF"/>
                <w:lang w:val="es-NI"/>
              </w:rPr>
              <w:t>.</w:t>
            </w:r>
          </w:p>
          <w:p w14:paraId="63D20385" w14:textId="77777777" w:rsidR="009278C5" w:rsidRPr="00143EDE" w:rsidRDefault="009278C5" w:rsidP="009278C5">
            <w:pPr>
              <w:jc w:val="both"/>
              <w:rPr>
                <w:b/>
                <w:bCs/>
                <w:lang w:val="es-NI"/>
              </w:rPr>
            </w:pPr>
            <w:r w:rsidRPr="00143EDE">
              <w:rPr>
                <w:b/>
                <w:bCs/>
                <w:lang w:val="es-NI"/>
              </w:rPr>
              <w:t>Poblaciones claves y vulnerables</w:t>
            </w:r>
          </w:p>
          <w:p w14:paraId="0ADDFF4E" w14:textId="77777777" w:rsidR="009278C5" w:rsidRPr="00D325A6" w:rsidRDefault="009278C5" w:rsidP="009278C5">
            <w:pPr>
              <w:jc w:val="both"/>
              <w:rPr>
                <w:lang w:bidi="es-ES"/>
              </w:rPr>
            </w:pPr>
            <w:r w:rsidRPr="00D325A6">
              <w:rPr>
                <w:lang w:bidi="es-ES"/>
              </w:rPr>
              <w:t>Los resultados observados en los estudios de prevalencia que se han realizado en el país determinan que la epidemia tiene mayor intensidad en ciertos segmentos de la población. Los actores de la respuesta nacional han establecido que las poblaciones de mayor vulnerabilidad son las llamadas poblaciones clave: hombres que tienen sexo con hombres (HSH), mujeres trans (MTrans) y trabajadoras</w:t>
            </w:r>
            <w:r>
              <w:rPr>
                <w:lang w:bidi="es-ES"/>
              </w:rPr>
              <w:t xml:space="preserve"> sexuales</w:t>
            </w:r>
            <w:r w:rsidRPr="00D325A6">
              <w:rPr>
                <w:lang w:bidi="es-ES"/>
              </w:rPr>
              <w:t xml:space="preserve"> (TS).</w:t>
            </w:r>
          </w:p>
          <w:p w14:paraId="0197FBBA" w14:textId="011B290D" w:rsidR="009278C5" w:rsidRPr="00D325A6" w:rsidRDefault="009278C5" w:rsidP="009278C5">
            <w:pPr>
              <w:spacing w:line="240" w:lineRule="auto"/>
              <w:jc w:val="both"/>
              <w:rPr>
                <w:lang w:bidi="es-ES"/>
              </w:rPr>
            </w:pPr>
            <w:r w:rsidRPr="00D325A6">
              <w:rPr>
                <w:lang w:bidi="es-ES"/>
              </w:rPr>
              <w:t>La información estratégica disponible obtenida de estudios realizados entre el 2002 y el 2016, que entre sus objetivos ha sido estimar el tamaño y la prevalencia de VIH en poblaciones clave, ha sido un importante insumo para categorizar el tipo de epidemia que tiene el país, una epidemia concentrada en las poblaciones clave, dada las grandes diferencias en las tasas de prevalencia de estas poblaciones con las de la población general. Por otro lado, estos resultados son parte de los insumos requeridos para la actualización de las estimaciones y proyecciones de la epidemia con la herramienta Spectrum de la que se define el primer pilar de las cascadas del continuo de la atención</w:t>
            </w:r>
            <w:r>
              <w:rPr>
                <w:lang w:bidi="es-ES"/>
              </w:rPr>
              <w:t>;</w:t>
            </w:r>
            <w:r w:rsidRPr="00D325A6">
              <w:rPr>
                <w:lang w:bidi="es-ES"/>
              </w:rPr>
              <w:t xml:space="preserve"> una herramienta de suma importancia para la planificación de acciones estratég</w:t>
            </w:r>
            <w:r w:rsidRPr="00F21DEC">
              <w:rPr>
                <w:lang w:bidi="es-ES"/>
              </w:rPr>
              <w:t xml:space="preserve">icas. </w:t>
            </w:r>
            <w:r w:rsidRPr="001E0232">
              <w:rPr>
                <w:lang w:bidi="es-ES"/>
              </w:rPr>
              <w:t>En la siguiente tabla se observan los datos del 2019 obtenidos de los reportes del SIAP</w:t>
            </w:r>
            <w:r w:rsidR="00AC6B85">
              <w:rPr>
                <w:lang w:bidi="es-ES"/>
              </w:rPr>
              <w:t>/</w:t>
            </w:r>
            <w:r w:rsidRPr="001E0232">
              <w:rPr>
                <w:lang w:bidi="es-ES"/>
              </w:rPr>
              <w:t>VICITS sobre la prevalencia de VIH y del SUMEVE sobre la realización de la prueba</w:t>
            </w:r>
            <w:r>
              <w:rPr>
                <w:lang w:bidi="es-ES"/>
              </w:rPr>
              <w:t xml:space="preserve"> y su resultado</w:t>
            </w:r>
            <w:r w:rsidRPr="001E0232">
              <w:rPr>
                <w:lang w:bidi="es-ES"/>
              </w:rPr>
              <w:t xml:space="preserve"> </w:t>
            </w:r>
            <w:r>
              <w:rPr>
                <w:lang w:bidi="es-ES"/>
              </w:rPr>
              <w:t xml:space="preserve">(información del MINSAL) </w:t>
            </w:r>
            <w:r w:rsidRPr="001E0232">
              <w:rPr>
                <w:lang w:bidi="es-ES"/>
              </w:rPr>
              <w:t xml:space="preserve">con los que se origina los porcentajes de positividad en función de las personas: </w:t>
            </w:r>
          </w:p>
          <w:p w14:paraId="3EA0BE60" w14:textId="6A940C59" w:rsidR="009278C5" w:rsidRPr="006F29C8" w:rsidRDefault="009278C5" w:rsidP="009278C5">
            <w:pPr>
              <w:spacing w:after="60" w:line="240" w:lineRule="auto"/>
              <w:jc w:val="center"/>
              <w:rPr>
                <w:lang w:bidi="es-ES"/>
              </w:rPr>
            </w:pPr>
            <w:r w:rsidRPr="006F29C8">
              <w:rPr>
                <w:b/>
                <w:bCs/>
                <w:sz w:val="20"/>
                <w:szCs w:val="20"/>
                <w:lang w:bidi="es-ES"/>
              </w:rPr>
              <w:t>Tabla 1. Tamaño de población, prevalencia e Índice de positiv</w:t>
            </w:r>
            <w:r w:rsidR="008D7EAC">
              <w:rPr>
                <w:b/>
                <w:bCs/>
                <w:sz w:val="20"/>
                <w:szCs w:val="20"/>
                <w:lang w:bidi="es-ES"/>
              </w:rPr>
              <w:t>id</w:t>
            </w:r>
            <w:r w:rsidRPr="006F29C8">
              <w:rPr>
                <w:b/>
                <w:bCs/>
                <w:sz w:val="20"/>
                <w:szCs w:val="20"/>
                <w:lang w:bidi="es-ES"/>
              </w:rPr>
              <w:t>ad de VIH en Poblaciones clave.</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60"/>
              <w:gridCol w:w="1007"/>
              <w:gridCol w:w="1317"/>
              <w:gridCol w:w="1187"/>
              <w:gridCol w:w="1048"/>
              <w:gridCol w:w="1080"/>
            </w:tblGrid>
            <w:tr w:rsidR="009278C5" w:rsidRPr="006F29C8" w14:paraId="0F295236" w14:textId="77777777" w:rsidTr="009278C5">
              <w:trPr>
                <w:jc w:val="center"/>
              </w:trPr>
              <w:tc>
                <w:tcPr>
                  <w:tcW w:w="2560" w:type="dxa"/>
                  <w:shd w:val="clear" w:color="auto" w:fill="auto"/>
                  <w:vAlign w:val="center"/>
                </w:tcPr>
                <w:p w14:paraId="37B43E5F" w14:textId="77777777" w:rsidR="009278C5" w:rsidRPr="006F29C8" w:rsidRDefault="009278C5" w:rsidP="009278C5">
                  <w:pPr>
                    <w:spacing w:after="0" w:line="240" w:lineRule="auto"/>
                    <w:jc w:val="both"/>
                    <w:rPr>
                      <w:b/>
                      <w:bCs/>
                      <w:sz w:val="18"/>
                      <w:szCs w:val="18"/>
                      <w:lang w:bidi="es-ES"/>
                    </w:rPr>
                  </w:pPr>
                  <w:r w:rsidRPr="006F29C8">
                    <w:rPr>
                      <w:b/>
                      <w:bCs/>
                      <w:sz w:val="18"/>
                      <w:szCs w:val="18"/>
                      <w:lang w:bidi="es-ES"/>
                    </w:rPr>
                    <w:t>Tipo de población</w:t>
                  </w:r>
                </w:p>
              </w:tc>
              <w:tc>
                <w:tcPr>
                  <w:tcW w:w="1007" w:type="dxa"/>
                  <w:shd w:val="clear" w:color="auto" w:fill="auto"/>
                  <w:vAlign w:val="center"/>
                </w:tcPr>
                <w:p w14:paraId="18C98B1F" w14:textId="77777777" w:rsidR="009278C5" w:rsidRPr="006F29C8" w:rsidRDefault="009278C5" w:rsidP="009278C5">
                  <w:pPr>
                    <w:spacing w:after="0" w:line="240" w:lineRule="auto"/>
                    <w:jc w:val="center"/>
                    <w:rPr>
                      <w:b/>
                      <w:bCs/>
                      <w:sz w:val="18"/>
                      <w:szCs w:val="18"/>
                      <w:lang w:bidi="es-ES"/>
                    </w:rPr>
                  </w:pPr>
                  <w:r w:rsidRPr="006F29C8">
                    <w:rPr>
                      <w:b/>
                      <w:bCs/>
                      <w:sz w:val="18"/>
                      <w:szCs w:val="18"/>
                      <w:lang w:bidi="es-ES"/>
                    </w:rPr>
                    <w:t>Tamaño</w:t>
                  </w:r>
                </w:p>
              </w:tc>
              <w:tc>
                <w:tcPr>
                  <w:tcW w:w="1317" w:type="dxa"/>
                  <w:shd w:val="clear" w:color="auto" w:fill="auto"/>
                  <w:vAlign w:val="center"/>
                </w:tcPr>
                <w:p w14:paraId="06EAD81E" w14:textId="77777777" w:rsidR="009278C5" w:rsidRPr="006F29C8" w:rsidRDefault="009278C5" w:rsidP="009278C5">
                  <w:pPr>
                    <w:spacing w:after="0" w:line="240" w:lineRule="auto"/>
                    <w:jc w:val="center"/>
                    <w:rPr>
                      <w:b/>
                      <w:bCs/>
                      <w:sz w:val="18"/>
                      <w:szCs w:val="18"/>
                      <w:lang w:bidi="es-ES"/>
                    </w:rPr>
                  </w:pPr>
                  <w:r w:rsidRPr="006F29C8">
                    <w:rPr>
                      <w:b/>
                      <w:bCs/>
                      <w:sz w:val="18"/>
                      <w:szCs w:val="18"/>
                      <w:lang w:bidi="es-ES"/>
                    </w:rPr>
                    <w:t>Prevalencia</w:t>
                  </w:r>
                </w:p>
              </w:tc>
              <w:tc>
                <w:tcPr>
                  <w:tcW w:w="1187" w:type="dxa"/>
                  <w:shd w:val="clear" w:color="auto" w:fill="auto"/>
                  <w:vAlign w:val="center"/>
                </w:tcPr>
                <w:p w14:paraId="7A719EAF" w14:textId="77777777" w:rsidR="009278C5" w:rsidRPr="006F29C8" w:rsidRDefault="009278C5" w:rsidP="009278C5">
                  <w:pPr>
                    <w:spacing w:after="0" w:line="240" w:lineRule="auto"/>
                    <w:jc w:val="center"/>
                    <w:rPr>
                      <w:b/>
                      <w:bCs/>
                      <w:sz w:val="18"/>
                      <w:szCs w:val="18"/>
                      <w:lang w:bidi="es-ES"/>
                    </w:rPr>
                  </w:pPr>
                  <w:r w:rsidRPr="006F29C8">
                    <w:rPr>
                      <w:b/>
                      <w:bCs/>
                      <w:sz w:val="18"/>
                      <w:szCs w:val="18"/>
                      <w:lang w:bidi="es-ES"/>
                    </w:rPr>
                    <w:t>Se realizaron prueba (2019)</w:t>
                  </w:r>
                </w:p>
              </w:tc>
              <w:tc>
                <w:tcPr>
                  <w:tcW w:w="1048" w:type="dxa"/>
                  <w:shd w:val="clear" w:color="auto" w:fill="auto"/>
                  <w:vAlign w:val="center"/>
                </w:tcPr>
                <w:p w14:paraId="73E18AB8" w14:textId="77777777" w:rsidR="009278C5" w:rsidRPr="006F29C8" w:rsidRDefault="009278C5" w:rsidP="009278C5">
                  <w:pPr>
                    <w:spacing w:after="0" w:line="240" w:lineRule="auto"/>
                    <w:jc w:val="center"/>
                    <w:rPr>
                      <w:b/>
                      <w:bCs/>
                      <w:sz w:val="18"/>
                      <w:szCs w:val="18"/>
                      <w:lang w:bidi="es-ES"/>
                    </w:rPr>
                  </w:pPr>
                  <w:r w:rsidRPr="006F29C8">
                    <w:rPr>
                      <w:b/>
                      <w:bCs/>
                      <w:sz w:val="18"/>
                      <w:szCs w:val="18"/>
                      <w:lang w:bidi="es-ES"/>
                    </w:rPr>
                    <w:t>Nuevas</w:t>
                  </w:r>
                </w:p>
                <w:p w14:paraId="2E93AB75" w14:textId="77777777" w:rsidR="009278C5" w:rsidRPr="006F29C8" w:rsidRDefault="009278C5" w:rsidP="009278C5">
                  <w:pPr>
                    <w:spacing w:after="0" w:line="240" w:lineRule="auto"/>
                    <w:jc w:val="center"/>
                    <w:rPr>
                      <w:b/>
                      <w:bCs/>
                      <w:sz w:val="18"/>
                      <w:szCs w:val="18"/>
                      <w:lang w:bidi="es-ES"/>
                    </w:rPr>
                  </w:pPr>
                  <w:r w:rsidRPr="006F29C8">
                    <w:rPr>
                      <w:b/>
                      <w:bCs/>
                      <w:sz w:val="18"/>
                      <w:szCs w:val="18"/>
                      <w:lang w:bidi="es-ES"/>
                    </w:rPr>
                    <w:t>Notifica-</w:t>
                  </w:r>
                </w:p>
                <w:p w14:paraId="72256FA8" w14:textId="77777777" w:rsidR="009278C5" w:rsidRPr="006F29C8" w:rsidRDefault="009278C5" w:rsidP="009278C5">
                  <w:pPr>
                    <w:spacing w:after="40" w:line="240" w:lineRule="auto"/>
                    <w:jc w:val="center"/>
                    <w:rPr>
                      <w:b/>
                      <w:bCs/>
                      <w:sz w:val="18"/>
                      <w:szCs w:val="18"/>
                      <w:lang w:bidi="es-ES"/>
                    </w:rPr>
                  </w:pPr>
                  <w:r w:rsidRPr="006F29C8">
                    <w:rPr>
                      <w:b/>
                      <w:bCs/>
                      <w:sz w:val="18"/>
                      <w:szCs w:val="18"/>
                      <w:lang w:bidi="es-ES"/>
                    </w:rPr>
                    <w:t>ciones</w:t>
                  </w:r>
                </w:p>
              </w:tc>
              <w:tc>
                <w:tcPr>
                  <w:tcW w:w="1080" w:type="dxa"/>
                  <w:shd w:val="clear" w:color="auto" w:fill="auto"/>
                  <w:vAlign w:val="center"/>
                </w:tcPr>
                <w:p w14:paraId="21397D2A" w14:textId="77777777" w:rsidR="009278C5" w:rsidRPr="006F29C8" w:rsidRDefault="009278C5" w:rsidP="009278C5">
                  <w:pPr>
                    <w:spacing w:after="0" w:line="240" w:lineRule="auto"/>
                    <w:jc w:val="center"/>
                    <w:rPr>
                      <w:b/>
                      <w:bCs/>
                      <w:sz w:val="18"/>
                      <w:szCs w:val="18"/>
                      <w:lang w:bidi="es-ES"/>
                    </w:rPr>
                  </w:pPr>
                  <w:r w:rsidRPr="006F29C8">
                    <w:rPr>
                      <w:b/>
                      <w:bCs/>
                      <w:sz w:val="18"/>
                      <w:szCs w:val="18"/>
                      <w:lang w:bidi="es-ES"/>
                    </w:rPr>
                    <w:t>%Positi-</w:t>
                  </w:r>
                </w:p>
                <w:p w14:paraId="358374EC" w14:textId="77777777" w:rsidR="009278C5" w:rsidRPr="006F29C8" w:rsidRDefault="009278C5" w:rsidP="009278C5">
                  <w:pPr>
                    <w:spacing w:after="0" w:line="240" w:lineRule="auto"/>
                    <w:jc w:val="center"/>
                    <w:rPr>
                      <w:b/>
                      <w:bCs/>
                      <w:sz w:val="18"/>
                      <w:szCs w:val="18"/>
                      <w:lang w:bidi="es-ES"/>
                    </w:rPr>
                  </w:pPr>
                  <w:r w:rsidRPr="006F29C8">
                    <w:rPr>
                      <w:b/>
                      <w:bCs/>
                      <w:sz w:val="18"/>
                      <w:szCs w:val="18"/>
                      <w:lang w:bidi="es-ES"/>
                    </w:rPr>
                    <w:t>vidad</w:t>
                  </w:r>
                </w:p>
              </w:tc>
            </w:tr>
            <w:tr w:rsidR="009278C5" w:rsidRPr="006F29C8" w14:paraId="09727E07" w14:textId="77777777" w:rsidTr="009278C5">
              <w:trPr>
                <w:jc w:val="center"/>
              </w:trPr>
              <w:tc>
                <w:tcPr>
                  <w:tcW w:w="2560" w:type="dxa"/>
                  <w:shd w:val="clear" w:color="auto" w:fill="F2F2F2"/>
                  <w:vAlign w:val="center"/>
                </w:tcPr>
                <w:p w14:paraId="3F43983E" w14:textId="77777777" w:rsidR="009278C5" w:rsidRPr="006F29C8" w:rsidRDefault="009278C5" w:rsidP="009278C5">
                  <w:pPr>
                    <w:spacing w:after="0" w:line="240" w:lineRule="auto"/>
                    <w:ind w:left="375" w:hanging="375"/>
                    <w:jc w:val="both"/>
                    <w:rPr>
                      <w:b/>
                      <w:bCs/>
                      <w:sz w:val="18"/>
                      <w:szCs w:val="18"/>
                      <w:lang w:bidi="es-ES"/>
                    </w:rPr>
                  </w:pPr>
                  <w:r w:rsidRPr="006F29C8">
                    <w:rPr>
                      <w:b/>
                      <w:bCs/>
                      <w:sz w:val="18"/>
                      <w:szCs w:val="18"/>
                      <w:lang w:bidi="es-ES"/>
                    </w:rPr>
                    <w:t>Trabajadoras sexuales (TS)</w:t>
                  </w:r>
                </w:p>
              </w:tc>
              <w:tc>
                <w:tcPr>
                  <w:tcW w:w="1007" w:type="dxa"/>
                  <w:shd w:val="clear" w:color="auto" w:fill="F2F2F2"/>
                  <w:vAlign w:val="center"/>
                </w:tcPr>
                <w:p w14:paraId="1F3445F6" w14:textId="77777777" w:rsidR="009278C5" w:rsidRPr="006F29C8" w:rsidRDefault="009278C5" w:rsidP="009278C5">
                  <w:pPr>
                    <w:spacing w:after="40" w:line="240" w:lineRule="auto"/>
                    <w:jc w:val="center"/>
                    <w:rPr>
                      <w:sz w:val="18"/>
                      <w:szCs w:val="18"/>
                      <w:lang w:bidi="es-ES"/>
                    </w:rPr>
                  </w:pPr>
                  <w:r w:rsidRPr="006F29C8">
                    <w:rPr>
                      <w:sz w:val="18"/>
                      <w:szCs w:val="18"/>
                      <w:lang w:bidi="es-ES"/>
                    </w:rPr>
                    <w:t>44,972</w:t>
                  </w:r>
                  <w:r w:rsidRPr="006F29C8">
                    <w:rPr>
                      <w:sz w:val="18"/>
                      <w:szCs w:val="18"/>
                      <w:vertAlign w:val="superscript"/>
                      <w:lang w:bidi="es-ES"/>
                    </w:rPr>
                    <w:t>a)</w:t>
                  </w:r>
                </w:p>
              </w:tc>
              <w:tc>
                <w:tcPr>
                  <w:tcW w:w="1317" w:type="dxa"/>
                  <w:shd w:val="clear" w:color="auto" w:fill="F2F2F2"/>
                  <w:vAlign w:val="center"/>
                </w:tcPr>
                <w:p w14:paraId="336CB420" w14:textId="77777777" w:rsidR="009278C5" w:rsidRPr="006F29C8" w:rsidRDefault="009278C5" w:rsidP="009278C5">
                  <w:pPr>
                    <w:spacing w:after="0" w:line="240" w:lineRule="auto"/>
                    <w:jc w:val="center"/>
                    <w:rPr>
                      <w:sz w:val="18"/>
                      <w:szCs w:val="18"/>
                      <w:lang w:bidi="es-ES"/>
                    </w:rPr>
                  </w:pPr>
                  <w:r w:rsidRPr="006F29C8">
                    <w:rPr>
                      <w:sz w:val="18"/>
                      <w:szCs w:val="18"/>
                      <w:lang w:bidi="es-ES"/>
                    </w:rPr>
                    <w:t>2.75</w:t>
                  </w:r>
                  <w:r w:rsidRPr="006F29C8">
                    <w:rPr>
                      <w:sz w:val="18"/>
                      <w:szCs w:val="18"/>
                      <w:vertAlign w:val="superscript"/>
                      <w:lang w:bidi="es-ES"/>
                    </w:rPr>
                    <w:t>d)</w:t>
                  </w:r>
                </w:p>
              </w:tc>
              <w:tc>
                <w:tcPr>
                  <w:tcW w:w="1187" w:type="dxa"/>
                  <w:shd w:val="clear" w:color="auto" w:fill="F2F2F2"/>
                  <w:vAlign w:val="center"/>
                </w:tcPr>
                <w:p w14:paraId="6C470D95" w14:textId="77777777" w:rsidR="009278C5" w:rsidRPr="006F29C8" w:rsidRDefault="009278C5" w:rsidP="009278C5">
                  <w:pPr>
                    <w:spacing w:after="0" w:line="240" w:lineRule="auto"/>
                    <w:jc w:val="center"/>
                    <w:rPr>
                      <w:sz w:val="18"/>
                      <w:szCs w:val="18"/>
                      <w:lang w:bidi="es-ES"/>
                    </w:rPr>
                  </w:pPr>
                  <w:r w:rsidRPr="006F29C8">
                    <w:rPr>
                      <w:sz w:val="18"/>
                      <w:szCs w:val="18"/>
                      <w:lang w:bidi="es-ES"/>
                    </w:rPr>
                    <w:t>7,118</w:t>
                  </w:r>
                  <w:r w:rsidRPr="006F29C8">
                    <w:rPr>
                      <w:sz w:val="18"/>
                      <w:szCs w:val="18"/>
                      <w:vertAlign w:val="superscript"/>
                      <w:lang w:bidi="es-ES"/>
                    </w:rPr>
                    <w:t>e)</w:t>
                  </w:r>
                </w:p>
              </w:tc>
              <w:tc>
                <w:tcPr>
                  <w:tcW w:w="1048" w:type="dxa"/>
                  <w:shd w:val="clear" w:color="auto" w:fill="F2F2F2"/>
                  <w:vAlign w:val="center"/>
                </w:tcPr>
                <w:p w14:paraId="7CE104C9" w14:textId="77777777" w:rsidR="009278C5" w:rsidRPr="006F29C8" w:rsidRDefault="009278C5" w:rsidP="009278C5">
                  <w:pPr>
                    <w:spacing w:after="0" w:line="240" w:lineRule="auto"/>
                    <w:jc w:val="center"/>
                    <w:rPr>
                      <w:sz w:val="18"/>
                      <w:szCs w:val="18"/>
                      <w:lang w:bidi="es-ES"/>
                    </w:rPr>
                  </w:pPr>
                  <w:r w:rsidRPr="006F29C8">
                    <w:rPr>
                      <w:sz w:val="18"/>
                      <w:szCs w:val="18"/>
                      <w:lang w:bidi="es-ES"/>
                    </w:rPr>
                    <w:t>17</w:t>
                  </w:r>
                  <w:r w:rsidRPr="006F29C8">
                    <w:rPr>
                      <w:sz w:val="18"/>
                      <w:szCs w:val="18"/>
                      <w:vertAlign w:val="superscript"/>
                      <w:lang w:bidi="es-ES"/>
                    </w:rPr>
                    <w:t>e)</w:t>
                  </w:r>
                </w:p>
              </w:tc>
              <w:tc>
                <w:tcPr>
                  <w:tcW w:w="1080" w:type="dxa"/>
                  <w:shd w:val="clear" w:color="auto" w:fill="F2F2F2"/>
                  <w:vAlign w:val="center"/>
                </w:tcPr>
                <w:p w14:paraId="5F81965E" w14:textId="77777777" w:rsidR="009278C5" w:rsidRPr="006F29C8" w:rsidRDefault="009278C5" w:rsidP="009278C5">
                  <w:pPr>
                    <w:spacing w:after="0" w:line="240" w:lineRule="auto"/>
                    <w:jc w:val="center"/>
                    <w:rPr>
                      <w:sz w:val="18"/>
                      <w:szCs w:val="18"/>
                      <w:lang w:bidi="es-ES"/>
                    </w:rPr>
                  </w:pPr>
                  <w:r w:rsidRPr="006F29C8">
                    <w:rPr>
                      <w:sz w:val="18"/>
                      <w:szCs w:val="18"/>
                      <w:lang w:bidi="es-ES"/>
                    </w:rPr>
                    <w:t>0.24</w:t>
                  </w:r>
                  <w:r w:rsidRPr="006F29C8">
                    <w:rPr>
                      <w:sz w:val="18"/>
                      <w:szCs w:val="18"/>
                      <w:vertAlign w:val="superscript"/>
                      <w:lang w:bidi="es-ES"/>
                    </w:rPr>
                    <w:t>e)</w:t>
                  </w:r>
                </w:p>
              </w:tc>
            </w:tr>
            <w:tr w:rsidR="009278C5" w:rsidRPr="005D79E5" w14:paraId="3977741C" w14:textId="77777777" w:rsidTr="009278C5">
              <w:trPr>
                <w:jc w:val="center"/>
              </w:trPr>
              <w:tc>
                <w:tcPr>
                  <w:tcW w:w="2560" w:type="dxa"/>
                  <w:shd w:val="clear" w:color="auto" w:fill="auto"/>
                  <w:vAlign w:val="center"/>
                </w:tcPr>
                <w:p w14:paraId="085978E9" w14:textId="77777777" w:rsidR="009278C5" w:rsidRPr="006F29C8" w:rsidRDefault="009278C5" w:rsidP="009278C5">
                  <w:pPr>
                    <w:spacing w:after="0" w:line="240" w:lineRule="auto"/>
                    <w:ind w:left="375" w:hanging="375"/>
                    <w:jc w:val="both"/>
                    <w:rPr>
                      <w:b/>
                      <w:bCs/>
                      <w:sz w:val="18"/>
                      <w:szCs w:val="18"/>
                      <w:lang w:bidi="es-ES"/>
                    </w:rPr>
                  </w:pPr>
                  <w:r w:rsidRPr="006F29C8">
                    <w:rPr>
                      <w:b/>
                      <w:bCs/>
                      <w:sz w:val="18"/>
                      <w:szCs w:val="18"/>
                      <w:lang w:bidi="es-ES"/>
                    </w:rPr>
                    <w:t>Hombres que tienen sexo con hombres (HSH)</w:t>
                  </w:r>
                </w:p>
              </w:tc>
              <w:tc>
                <w:tcPr>
                  <w:tcW w:w="1007" w:type="dxa"/>
                  <w:shd w:val="clear" w:color="auto" w:fill="auto"/>
                  <w:vAlign w:val="center"/>
                </w:tcPr>
                <w:p w14:paraId="6B80361E" w14:textId="77777777" w:rsidR="009278C5" w:rsidRPr="006F29C8" w:rsidRDefault="009278C5" w:rsidP="009278C5">
                  <w:pPr>
                    <w:spacing w:after="40" w:line="240" w:lineRule="auto"/>
                    <w:jc w:val="center"/>
                    <w:rPr>
                      <w:sz w:val="18"/>
                      <w:szCs w:val="18"/>
                      <w:lang w:bidi="es-ES"/>
                    </w:rPr>
                  </w:pPr>
                  <w:r w:rsidRPr="006F29C8">
                    <w:rPr>
                      <w:sz w:val="18"/>
                      <w:szCs w:val="18"/>
                      <w:lang w:bidi="es-ES"/>
                    </w:rPr>
                    <w:t>54,140</w:t>
                  </w:r>
                  <w:r w:rsidRPr="006F29C8">
                    <w:rPr>
                      <w:sz w:val="18"/>
                      <w:szCs w:val="18"/>
                      <w:vertAlign w:val="superscript"/>
                      <w:lang w:bidi="es-ES"/>
                    </w:rPr>
                    <w:t>b)</w:t>
                  </w:r>
                </w:p>
              </w:tc>
              <w:tc>
                <w:tcPr>
                  <w:tcW w:w="1317" w:type="dxa"/>
                  <w:shd w:val="clear" w:color="auto" w:fill="auto"/>
                  <w:vAlign w:val="center"/>
                </w:tcPr>
                <w:p w14:paraId="30A914EF" w14:textId="77777777" w:rsidR="009278C5" w:rsidRPr="006F29C8" w:rsidRDefault="009278C5" w:rsidP="009278C5">
                  <w:pPr>
                    <w:spacing w:after="0" w:line="240" w:lineRule="auto"/>
                    <w:jc w:val="center"/>
                    <w:rPr>
                      <w:sz w:val="18"/>
                      <w:szCs w:val="18"/>
                      <w:lang w:bidi="es-ES"/>
                    </w:rPr>
                  </w:pPr>
                  <w:r w:rsidRPr="006F29C8">
                    <w:rPr>
                      <w:sz w:val="18"/>
                      <w:szCs w:val="18"/>
                      <w:lang w:bidi="es-ES"/>
                    </w:rPr>
                    <w:t>20.54</w:t>
                  </w:r>
                  <w:r w:rsidRPr="006F29C8">
                    <w:rPr>
                      <w:sz w:val="18"/>
                      <w:szCs w:val="18"/>
                      <w:vertAlign w:val="superscript"/>
                      <w:lang w:bidi="es-ES"/>
                    </w:rPr>
                    <w:t>d)</w:t>
                  </w:r>
                </w:p>
              </w:tc>
              <w:tc>
                <w:tcPr>
                  <w:tcW w:w="1187" w:type="dxa"/>
                  <w:shd w:val="clear" w:color="auto" w:fill="auto"/>
                  <w:vAlign w:val="center"/>
                </w:tcPr>
                <w:p w14:paraId="6194EE5D" w14:textId="77777777" w:rsidR="009278C5" w:rsidRPr="006F29C8" w:rsidRDefault="009278C5" w:rsidP="009278C5">
                  <w:pPr>
                    <w:spacing w:after="0" w:line="240" w:lineRule="auto"/>
                    <w:jc w:val="center"/>
                    <w:rPr>
                      <w:sz w:val="18"/>
                      <w:szCs w:val="18"/>
                      <w:lang w:bidi="es-ES"/>
                    </w:rPr>
                  </w:pPr>
                  <w:r w:rsidRPr="006F29C8">
                    <w:rPr>
                      <w:sz w:val="18"/>
                      <w:szCs w:val="18"/>
                      <w:lang w:bidi="es-ES"/>
                    </w:rPr>
                    <w:t>18,835</w:t>
                  </w:r>
                  <w:r w:rsidRPr="006F29C8">
                    <w:rPr>
                      <w:sz w:val="18"/>
                      <w:szCs w:val="18"/>
                      <w:vertAlign w:val="superscript"/>
                      <w:lang w:bidi="es-ES"/>
                    </w:rPr>
                    <w:t>e)</w:t>
                  </w:r>
                </w:p>
              </w:tc>
              <w:tc>
                <w:tcPr>
                  <w:tcW w:w="1048" w:type="dxa"/>
                  <w:shd w:val="clear" w:color="auto" w:fill="auto"/>
                  <w:vAlign w:val="center"/>
                </w:tcPr>
                <w:p w14:paraId="298941F3" w14:textId="77777777" w:rsidR="009278C5" w:rsidRPr="006F29C8" w:rsidRDefault="009278C5" w:rsidP="009278C5">
                  <w:pPr>
                    <w:spacing w:after="0" w:line="240" w:lineRule="auto"/>
                    <w:jc w:val="center"/>
                    <w:rPr>
                      <w:sz w:val="18"/>
                      <w:szCs w:val="18"/>
                      <w:lang w:bidi="es-ES"/>
                    </w:rPr>
                  </w:pPr>
                  <w:r w:rsidRPr="006F29C8">
                    <w:rPr>
                      <w:sz w:val="18"/>
                      <w:szCs w:val="18"/>
                      <w:lang w:bidi="es-ES"/>
                    </w:rPr>
                    <w:t>321</w:t>
                  </w:r>
                  <w:r w:rsidRPr="006F29C8">
                    <w:rPr>
                      <w:sz w:val="18"/>
                      <w:szCs w:val="18"/>
                      <w:vertAlign w:val="superscript"/>
                      <w:lang w:bidi="es-ES"/>
                    </w:rPr>
                    <w:t>e)</w:t>
                  </w:r>
                </w:p>
              </w:tc>
              <w:tc>
                <w:tcPr>
                  <w:tcW w:w="1080" w:type="dxa"/>
                  <w:shd w:val="clear" w:color="auto" w:fill="auto"/>
                  <w:vAlign w:val="center"/>
                </w:tcPr>
                <w:p w14:paraId="11B3CACA" w14:textId="77777777" w:rsidR="009278C5" w:rsidRPr="006F29C8" w:rsidRDefault="009278C5" w:rsidP="009278C5">
                  <w:pPr>
                    <w:spacing w:after="0" w:line="240" w:lineRule="auto"/>
                    <w:jc w:val="center"/>
                    <w:rPr>
                      <w:sz w:val="18"/>
                      <w:szCs w:val="18"/>
                      <w:lang w:bidi="es-ES"/>
                    </w:rPr>
                  </w:pPr>
                  <w:r w:rsidRPr="006F29C8">
                    <w:rPr>
                      <w:sz w:val="18"/>
                      <w:szCs w:val="18"/>
                      <w:lang w:bidi="es-ES"/>
                    </w:rPr>
                    <w:t>1.70</w:t>
                  </w:r>
                  <w:r w:rsidRPr="006F29C8">
                    <w:rPr>
                      <w:sz w:val="18"/>
                      <w:szCs w:val="18"/>
                      <w:vertAlign w:val="superscript"/>
                      <w:lang w:bidi="es-ES"/>
                    </w:rPr>
                    <w:t>e)</w:t>
                  </w:r>
                </w:p>
              </w:tc>
            </w:tr>
            <w:tr w:rsidR="009278C5" w:rsidRPr="005D79E5" w14:paraId="5F672889" w14:textId="77777777" w:rsidTr="009278C5">
              <w:trPr>
                <w:jc w:val="center"/>
              </w:trPr>
              <w:tc>
                <w:tcPr>
                  <w:tcW w:w="2560" w:type="dxa"/>
                  <w:shd w:val="clear" w:color="auto" w:fill="F2F2F2"/>
                  <w:vAlign w:val="center"/>
                </w:tcPr>
                <w:p w14:paraId="36AE3003" w14:textId="77777777" w:rsidR="009278C5" w:rsidRPr="006F29C8" w:rsidRDefault="009278C5" w:rsidP="009278C5">
                  <w:pPr>
                    <w:spacing w:after="0" w:line="240" w:lineRule="auto"/>
                    <w:ind w:left="375" w:hanging="375"/>
                    <w:jc w:val="both"/>
                    <w:rPr>
                      <w:b/>
                      <w:bCs/>
                      <w:sz w:val="18"/>
                      <w:szCs w:val="18"/>
                      <w:lang w:bidi="es-ES"/>
                    </w:rPr>
                  </w:pPr>
                  <w:r w:rsidRPr="006F29C8">
                    <w:rPr>
                      <w:b/>
                      <w:bCs/>
                      <w:sz w:val="18"/>
                      <w:szCs w:val="18"/>
                      <w:lang w:bidi="es-ES"/>
                    </w:rPr>
                    <w:t>Mujeres Trans (MTrans)</w:t>
                  </w:r>
                </w:p>
              </w:tc>
              <w:tc>
                <w:tcPr>
                  <w:tcW w:w="1007" w:type="dxa"/>
                  <w:shd w:val="clear" w:color="auto" w:fill="F2F2F2"/>
                  <w:vAlign w:val="center"/>
                </w:tcPr>
                <w:p w14:paraId="5374B4C3" w14:textId="77777777" w:rsidR="009278C5" w:rsidRPr="006F29C8" w:rsidRDefault="009278C5" w:rsidP="009278C5">
                  <w:pPr>
                    <w:spacing w:after="40" w:line="240" w:lineRule="auto"/>
                    <w:jc w:val="center"/>
                    <w:rPr>
                      <w:sz w:val="18"/>
                      <w:szCs w:val="18"/>
                      <w:lang w:bidi="es-ES"/>
                    </w:rPr>
                  </w:pPr>
                  <w:r w:rsidRPr="006F29C8">
                    <w:rPr>
                      <w:sz w:val="18"/>
                      <w:szCs w:val="18"/>
                      <w:lang w:bidi="es-ES"/>
                    </w:rPr>
                    <w:t>2,011</w:t>
                  </w:r>
                  <w:r w:rsidRPr="006F29C8">
                    <w:rPr>
                      <w:sz w:val="18"/>
                      <w:szCs w:val="18"/>
                      <w:vertAlign w:val="superscript"/>
                      <w:lang w:bidi="es-ES"/>
                    </w:rPr>
                    <w:t>c)</w:t>
                  </w:r>
                </w:p>
              </w:tc>
              <w:tc>
                <w:tcPr>
                  <w:tcW w:w="1317" w:type="dxa"/>
                  <w:shd w:val="clear" w:color="auto" w:fill="F2F2F2"/>
                  <w:vAlign w:val="center"/>
                </w:tcPr>
                <w:p w14:paraId="3F47763B" w14:textId="77777777" w:rsidR="009278C5" w:rsidRPr="006F29C8" w:rsidRDefault="009278C5" w:rsidP="009278C5">
                  <w:pPr>
                    <w:spacing w:after="0" w:line="240" w:lineRule="auto"/>
                    <w:jc w:val="center"/>
                    <w:rPr>
                      <w:sz w:val="18"/>
                      <w:szCs w:val="18"/>
                      <w:lang w:bidi="es-ES"/>
                    </w:rPr>
                  </w:pPr>
                  <w:r w:rsidRPr="006F29C8">
                    <w:rPr>
                      <w:sz w:val="18"/>
                      <w:szCs w:val="18"/>
                      <w:lang w:bidi="es-ES"/>
                    </w:rPr>
                    <w:t>27.19</w:t>
                  </w:r>
                  <w:r w:rsidRPr="006F29C8">
                    <w:rPr>
                      <w:sz w:val="18"/>
                      <w:szCs w:val="18"/>
                      <w:vertAlign w:val="superscript"/>
                      <w:lang w:bidi="es-ES"/>
                    </w:rPr>
                    <w:t>d)</w:t>
                  </w:r>
                </w:p>
              </w:tc>
              <w:tc>
                <w:tcPr>
                  <w:tcW w:w="1187" w:type="dxa"/>
                  <w:shd w:val="clear" w:color="auto" w:fill="F2F2F2"/>
                  <w:vAlign w:val="center"/>
                </w:tcPr>
                <w:p w14:paraId="338F83A9" w14:textId="77777777" w:rsidR="009278C5" w:rsidRPr="006F29C8" w:rsidRDefault="009278C5" w:rsidP="009278C5">
                  <w:pPr>
                    <w:spacing w:after="0" w:line="240" w:lineRule="auto"/>
                    <w:jc w:val="center"/>
                    <w:rPr>
                      <w:sz w:val="18"/>
                      <w:szCs w:val="18"/>
                      <w:lang w:bidi="es-ES"/>
                    </w:rPr>
                  </w:pPr>
                  <w:r w:rsidRPr="006F29C8">
                    <w:rPr>
                      <w:sz w:val="18"/>
                      <w:szCs w:val="18"/>
                      <w:lang w:bidi="es-ES"/>
                    </w:rPr>
                    <w:t>914</w:t>
                  </w:r>
                  <w:r w:rsidRPr="006F29C8">
                    <w:rPr>
                      <w:sz w:val="18"/>
                      <w:szCs w:val="18"/>
                      <w:vertAlign w:val="superscript"/>
                      <w:lang w:bidi="es-ES"/>
                    </w:rPr>
                    <w:t>e)</w:t>
                  </w:r>
                </w:p>
              </w:tc>
              <w:tc>
                <w:tcPr>
                  <w:tcW w:w="1048" w:type="dxa"/>
                  <w:shd w:val="clear" w:color="auto" w:fill="F2F2F2"/>
                  <w:vAlign w:val="center"/>
                </w:tcPr>
                <w:p w14:paraId="23BAB626" w14:textId="77777777" w:rsidR="009278C5" w:rsidRPr="006F29C8" w:rsidRDefault="009278C5" w:rsidP="009278C5">
                  <w:pPr>
                    <w:spacing w:after="0" w:line="240" w:lineRule="auto"/>
                    <w:jc w:val="center"/>
                    <w:rPr>
                      <w:sz w:val="18"/>
                      <w:szCs w:val="18"/>
                      <w:lang w:bidi="es-ES"/>
                    </w:rPr>
                  </w:pPr>
                  <w:r w:rsidRPr="006F29C8">
                    <w:rPr>
                      <w:sz w:val="18"/>
                      <w:szCs w:val="18"/>
                      <w:lang w:bidi="es-ES"/>
                    </w:rPr>
                    <w:t>19</w:t>
                  </w:r>
                  <w:r w:rsidRPr="006F29C8">
                    <w:rPr>
                      <w:sz w:val="18"/>
                      <w:szCs w:val="18"/>
                      <w:vertAlign w:val="superscript"/>
                      <w:lang w:bidi="es-ES"/>
                    </w:rPr>
                    <w:t>e)</w:t>
                  </w:r>
                </w:p>
              </w:tc>
              <w:tc>
                <w:tcPr>
                  <w:tcW w:w="1080" w:type="dxa"/>
                  <w:shd w:val="clear" w:color="auto" w:fill="F2F2F2"/>
                  <w:vAlign w:val="center"/>
                </w:tcPr>
                <w:p w14:paraId="4CEA9BC8" w14:textId="77777777" w:rsidR="009278C5" w:rsidRPr="006F29C8" w:rsidRDefault="009278C5" w:rsidP="009278C5">
                  <w:pPr>
                    <w:spacing w:after="0" w:line="240" w:lineRule="auto"/>
                    <w:jc w:val="center"/>
                    <w:rPr>
                      <w:sz w:val="18"/>
                      <w:szCs w:val="18"/>
                      <w:lang w:bidi="es-ES"/>
                    </w:rPr>
                  </w:pPr>
                  <w:r w:rsidRPr="006F29C8">
                    <w:rPr>
                      <w:sz w:val="18"/>
                      <w:szCs w:val="18"/>
                      <w:lang w:bidi="es-ES"/>
                    </w:rPr>
                    <w:t>2.08</w:t>
                  </w:r>
                  <w:r w:rsidRPr="006F29C8">
                    <w:rPr>
                      <w:sz w:val="18"/>
                      <w:szCs w:val="18"/>
                      <w:vertAlign w:val="superscript"/>
                      <w:lang w:bidi="es-ES"/>
                    </w:rPr>
                    <w:t>e)</w:t>
                  </w:r>
                </w:p>
              </w:tc>
            </w:tr>
          </w:tbl>
          <w:p w14:paraId="138B0AA8" w14:textId="300B6646" w:rsidR="009278C5" w:rsidRPr="00424489" w:rsidRDefault="009278C5" w:rsidP="009278C5">
            <w:pPr>
              <w:spacing w:after="0" w:line="160" w:lineRule="atLeast"/>
              <w:ind w:left="1056"/>
              <w:jc w:val="both"/>
              <w:rPr>
                <w:sz w:val="18"/>
                <w:szCs w:val="18"/>
                <w:vertAlign w:val="superscript"/>
                <w:lang w:bidi="es-ES"/>
              </w:rPr>
            </w:pPr>
            <w:r w:rsidRPr="00CA6957">
              <w:rPr>
                <w:sz w:val="18"/>
                <w:szCs w:val="18"/>
                <w:lang w:bidi="es-ES"/>
              </w:rPr>
              <w:t xml:space="preserve">Fuente:  </w:t>
            </w:r>
            <w:r w:rsidRPr="00CA6957">
              <w:rPr>
                <w:sz w:val="18"/>
                <w:szCs w:val="18"/>
                <w:vertAlign w:val="superscript"/>
                <w:lang w:bidi="es-ES"/>
              </w:rPr>
              <w:t xml:space="preserve">a) Talla poblacional, comportamiento sexual y prevalencia de VIH MTS, </w:t>
            </w:r>
            <w:r w:rsidRPr="00424489">
              <w:rPr>
                <w:sz w:val="18"/>
                <w:szCs w:val="18"/>
                <w:vertAlign w:val="superscript"/>
                <w:lang w:bidi="es-ES"/>
              </w:rPr>
              <w:t>2016</w:t>
            </w:r>
            <w:r w:rsidR="00FA7686" w:rsidRPr="00424489">
              <w:rPr>
                <w:sz w:val="18"/>
                <w:szCs w:val="18"/>
                <w:vertAlign w:val="superscript"/>
                <w:lang w:bidi="es-ES"/>
              </w:rPr>
              <w:t xml:space="preserve"> [Anexo 1.20]</w:t>
            </w:r>
          </w:p>
          <w:p w14:paraId="58247E4F" w14:textId="268D0F94" w:rsidR="009278C5" w:rsidRPr="00424489" w:rsidRDefault="009278C5" w:rsidP="00CA6957">
            <w:pPr>
              <w:spacing w:after="0" w:line="160" w:lineRule="atLeast"/>
              <w:ind w:left="1723"/>
              <w:jc w:val="both"/>
              <w:rPr>
                <w:sz w:val="18"/>
                <w:szCs w:val="18"/>
                <w:vertAlign w:val="superscript"/>
                <w:lang w:bidi="es-ES"/>
              </w:rPr>
            </w:pPr>
            <w:r w:rsidRPr="00424489">
              <w:rPr>
                <w:sz w:val="18"/>
                <w:szCs w:val="18"/>
                <w:vertAlign w:val="superscript"/>
                <w:lang w:bidi="es-ES"/>
              </w:rPr>
              <w:t>b) Talla poblacional, comportamiento sexual y prevalencia de VIH HSH, 2016</w:t>
            </w:r>
            <w:r w:rsidR="00B80D54" w:rsidRPr="00424489">
              <w:rPr>
                <w:sz w:val="18"/>
                <w:szCs w:val="18"/>
                <w:vertAlign w:val="superscript"/>
                <w:lang w:bidi="es-ES"/>
              </w:rPr>
              <w:t xml:space="preserve"> [Anexo 1.21]</w:t>
            </w:r>
          </w:p>
          <w:p w14:paraId="0B0E8E25" w14:textId="37836786" w:rsidR="009278C5" w:rsidRPr="00424489" w:rsidRDefault="009278C5" w:rsidP="00CA6957">
            <w:pPr>
              <w:spacing w:after="0" w:line="160" w:lineRule="atLeast"/>
              <w:ind w:left="1723"/>
              <w:jc w:val="both"/>
              <w:rPr>
                <w:sz w:val="18"/>
                <w:szCs w:val="18"/>
                <w:vertAlign w:val="superscript"/>
                <w:lang w:bidi="es-ES"/>
              </w:rPr>
            </w:pPr>
            <w:r w:rsidRPr="00424489">
              <w:rPr>
                <w:sz w:val="18"/>
                <w:szCs w:val="18"/>
                <w:vertAlign w:val="superscript"/>
                <w:lang w:bidi="es-ES"/>
              </w:rPr>
              <w:t>c) Talla poblacional, comportamiento sexual y prevalencia de VIH TRANS, 2014</w:t>
            </w:r>
            <w:r w:rsidR="00B80D54" w:rsidRPr="00424489">
              <w:rPr>
                <w:sz w:val="18"/>
                <w:szCs w:val="18"/>
                <w:vertAlign w:val="superscript"/>
                <w:lang w:bidi="es-ES"/>
              </w:rPr>
              <w:t xml:space="preserve"> [Anexo 1.22]</w:t>
            </w:r>
          </w:p>
          <w:p w14:paraId="486FD511" w14:textId="77777777" w:rsidR="009278C5" w:rsidRPr="00CA6957" w:rsidRDefault="009278C5" w:rsidP="00CA6957">
            <w:pPr>
              <w:spacing w:after="0" w:line="160" w:lineRule="atLeast"/>
              <w:ind w:left="1723"/>
              <w:jc w:val="both"/>
              <w:rPr>
                <w:sz w:val="18"/>
                <w:szCs w:val="18"/>
                <w:vertAlign w:val="superscript"/>
                <w:lang w:val="pt-PT" w:bidi="es-ES"/>
              </w:rPr>
            </w:pPr>
            <w:r w:rsidRPr="00424489">
              <w:rPr>
                <w:sz w:val="18"/>
                <w:szCs w:val="18"/>
                <w:vertAlign w:val="superscript"/>
                <w:lang w:val="pt-PT" w:bidi="es-ES"/>
              </w:rPr>
              <w:t>d) Reporte SIAP | |VICITS.2019</w:t>
            </w:r>
          </w:p>
          <w:p w14:paraId="054DCCCA" w14:textId="77777777" w:rsidR="009278C5" w:rsidRPr="00CA6957" w:rsidRDefault="009278C5" w:rsidP="00CA6957">
            <w:pPr>
              <w:tabs>
                <w:tab w:val="left" w:pos="1765"/>
              </w:tabs>
              <w:spacing w:line="240" w:lineRule="auto"/>
              <w:ind w:left="1723"/>
              <w:rPr>
                <w:sz w:val="18"/>
                <w:szCs w:val="18"/>
                <w:vertAlign w:val="superscript"/>
                <w:lang w:val="pt-PT" w:bidi="es-ES"/>
              </w:rPr>
            </w:pPr>
            <w:r w:rsidRPr="00CA6957">
              <w:rPr>
                <w:sz w:val="18"/>
                <w:szCs w:val="18"/>
                <w:vertAlign w:val="superscript"/>
                <w:lang w:val="pt-PT" w:bidi="es-ES"/>
              </w:rPr>
              <w:t>e) Reporte SUMEVE  2019</w:t>
            </w:r>
          </w:p>
          <w:p w14:paraId="14B60C2B" w14:textId="1A8F972A" w:rsidR="009278C5" w:rsidRPr="006F29C8" w:rsidRDefault="006C5497" w:rsidP="009278C5">
            <w:pPr>
              <w:spacing w:after="60" w:line="240" w:lineRule="auto"/>
              <w:jc w:val="center"/>
              <w:rPr>
                <w:b/>
                <w:bCs/>
                <w:sz w:val="20"/>
                <w:szCs w:val="20"/>
                <w:lang w:bidi="es-ES"/>
              </w:rPr>
            </w:pPr>
            <w:r>
              <w:rPr>
                <w:b/>
                <w:bCs/>
                <w:sz w:val="20"/>
                <w:szCs w:val="20"/>
                <w:lang w:bidi="es-ES"/>
              </w:rPr>
              <w:t xml:space="preserve">Tabla 2. </w:t>
            </w:r>
            <w:r w:rsidR="009278C5" w:rsidRPr="006F29C8">
              <w:rPr>
                <w:b/>
                <w:bCs/>
                <w:sz w:val="20"/>
                <w:szCs w:val="20"/>
                <w:lang w:bidi="es-ES"/>
              </w:rPr>
              <w:t>El Salvador 2019. Datos de la Población de Privados de Libertad.</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60"/>
              <w:gridCol w:w="1007"/>
              <w:gridCol w:w="1317"/>
              <w:gridCol w:w="1187"/>
              <w:gridCol w:w="1048"/>
              <w:gridCol w:w="1080"/>
            </w:tblGrid>
            <w:tr w:rsidR="009278C5" w:rsidRPr="005D79E5" w14:paraId="18732612" w14:textId="77777777" w:rsidTr="009278C5">
              <w:trPr>
                <w:jc w:val="center"/>
              </w:trPr>
              <w:tc>
                <w:tcPr>
                  <w:tcW w:w="2560" w:type="dxa"/>
                  <w:shd w:val="clear" w:color="auto" w:fill="auto"/>
                  <w:vAlign w:val="center"/>
                </w:tcPr>
                <w:p w14:paraId="26FD9C99" w14:textId="77777777" w:rsidR="009278C5" w:rsidRPr="006F29C8" w:rsidRDefault="009278C5" w:rsidP="009278C5">
                  <w:pPr>
                    <w:spacing w:after="0" w:line="240" w:lineRule="auto"/>
                    <w:jc w:val="both"/>
                    <w:rPr>
                      <w:b/>
                      <w:bCs/>
                      <w:sz w:val="18"/>
                      <w:szCs w:val="18"/>
                      <w:lang w:bidi="es-ES"/>
                    </w:rPr>
                  </w:pPr>
                  <w:r w:rsidRPr="006F29C8">
                    <w:rPr>
                      <w:b/>
                      <w:bCs/>
                      <w:sz w:val="18"/>
                      <w:szCs w:val="18"/>
                      <w:lang w:bidi="es-ES"/>
                    </w:rPr>
                    <w:t>Tipo de población</w:t>
                  </w:r>
                </w:p>
              </w:tc>
              <w:tc>
                <w:tcPr>
                  <w:tcW w:w="1007" w:type="dxa"/>
                  <w:shd w:val="clear" w:color="auto" w:fill="auto"/>
                  <w:vAlign w:val="center"/>
                </w:tcPr>
                <w:p w14:paraId="6A6D5E4A" w14:textId="77777777" w:rsidR="009278C5" w:rsidRPr="006F29C8" w:rsidRDefault="009278C5" w:rsidP="009278C5">
                  <w:pPr>
                    <w:spacing w:after="0" w:line="240" w:lineRule="auto"/>
                    <w:jc w:val="center"/>
                    <w:rPr>
                      <w:b/>
                      <w:bCs/>
                      <w:sz w:val="18"/>
                      <w:szCs w:val="18"/>
                      <w:lang w:bidi="es-ES"/>
                    </w:rPr>
                  </w:pPr>
                  <w:r w:rsidRPr="006F29C8">
                    <w:rPr>
                      <w:b/>
                      <w:bCs/>
                      <w:sz w:val="18"/>
                      <w:szCs w:val="18"/>
                      <w:lang w:bidi="es-ES"/>
                    </w:rPr>
                    <w:t>Tamaño</w:t>
                  </w:r>
                </w:p>
              </w:tc>
              <w:tc>
                <w:tcPr>
                  <w:tcW w:w="1317" w:type="dxa"/>
                  <w:shd w:val="clear" w:color="auto" w:fill="auto"/>
                  <w:vAlign w:val="center"/>
                </w:tcPr>
                <w:p w14:paraId="00C72C61" w14:textId="77777777" w:rsidR="009278C5" w:rsidRPr="006F29C8" w:rsidRDefault="009278C5" w:rsidP="009278C5">
                  <w:pPr>
                    <w:spacing w:after="0" w:line="240" w:lineRule="auto"/>
                    <w:jc w:val="center"/>
                    <w:rPr>
                      <w:b/>
                      <w:bCs/>
                      <w:sz w:val="18"/>
                      <w:szCs w:val="18"/>
                      <w:lang w:bidi="es-ES"/>
                    </w:rPr>
                  </w:pPr>
                  <w:r w:rsidRPr="006F29C8">
                    <w:rPr>
                      <w:b/>
                      <w:bCs/>
                      <w:sz w:val="18"/>
                      <w:szCs w:val="18"/>
                      <w:lang w:bidi="es-ES"/>
                    </w:rPr>
                    <w:t>Prevalencia</w:t>
                  </w:r>
                </w:p>
              </w:tc>
              <w:tc>
                <w:tcPr>
                  <w:tcW w:w="1187" w:type="dxa"/>
                  <w:shd w:val="clear" w:color="auto" w:fill="auto"/>
                  <w:vAlign w:val="center"/>
                </w:tcPr>
                <w:p w14:paraId="73FE4380" w14:textId="77777777" w:rsidR="009278C5" w:rsidRPr="006F29C8" w:rsidRDefault="009278C5" w:rsidP="009278C5">
                  <w:pPr>
                    <w:spacing w:after="0" w:line="240" w:lineRule="auto"/>
                    <w:jc w:val="center"/>
                    <w:rPr>
                      <w:b/>
                      <w:bCs/>
                      <w:sz w:val="18"/>
                      <w:szCs w:val="18"/>
                      <w:lang w:bidi="es-ES"/>
                    </w:rPr>
                  </w:pPr>
                  <w:r w:rsidRPr="006F29C8">
                    <w:rPr>
                      <w:b/>
                      <w:bCs/>
                      <w:sz w:val="18"/>
                      <w:szCs w:val="18"/>
                      <w:lang w:bidi="es-ES"/>
                    </w:rPr>
                    <w:t>Pruebas realizadas (2019)</w:t>
                  </w:r>
                </w:p>
              </w:tc>
              <w:tc>
                <w:tcPr>
                  <w:tcW w:w="1048" w:type="dxa"/>
                  <w:shd w:val="clear" w:color="auto" w:fill="auto"/>
                  <w:vAlign w:val="center"/>
                </w:tcPr>
                <w:p w14:paraId="7C708387" w14:textId="77777777" w:rsidR="009278C5" w:rsidRPr="006F29C8" w:rsidRDefault="009278C5" w:rsidP="009278C5">
                  <w:pPr>
                    <w:spacing w:after="0" w:line="240" w:lineRule="auto"/>
                    <w:jc w:val="center"/>
                    <w:rPr>
                      <w:b/>
                      <w:bCs/>
                      <w:sz w:val="18"/>
                      <w:szCs w:val="18"/>
                      <w:lang w:bidi="es-ES"/>
                    </w:rPr>
                  </w:pPr>
                  <w:r w:rsidRPr="006F29C8">
                    <w:rPr>
                      <w:b/>
                      <w:bCs/>
                      <w:sz w:val="18"/>
                      <w:szCs w:val="18"/>
                      <w:lang w:bidi="es-ES"/>
                    </w:rPr>
                    <w:t>Nuevas</w:t>
                  </w:r>
                </w:p>
                <w:p w14:paraId="0372CB5B" w14:textId="77777777" w:rsidR="009278C5" w:rsidRPr="006F29C8" w:rsidRDefault="009278C5" w:rsidP="009278C5">
                  <w:pPr>
                    <w:spacing w:after="0" w:line="240" w:lineRule="auto"/>
                    <w:jc w:val="center"/>
                    <w:rPr>
                      <w:b/>
                      <w:bCs/>
                      <w:sz w:val="18"/>
                      <w:szCs w:val="18"/>
                      <w:lang w:bidi="es-ES"/>
                    </w:rPr>
                  </w:pPr>
                  <w:r w:rsidRPr="006F29C8">
                    <w:rPr>
                      <w:b/>
                      <w:bCs/>
                      <w:sz w:val="18"/>
                      <w:szCs w:val="18"/>
                      <w:lang w:bidi="es-ES"/>
                    </w:rPr>
                    <w:t>Notifica-</w:t>
                  </w:r>
                </w:p>
                <w:p w14:paraId="65F01888" w14:textId="77777777" w:rsidR="009278C5" w:rsidRPr="006F29C8" w:rsidRDefault="009278C5" w:rsidP="009278C5">
                  <w:pPr>
                    <w:spacing w:after="40" w:line="240" w:lineRule="auto"/>
                    <w:jc w:val="center"/>
                    <w:rPr>
                      <w:b/>
                      <w:bCs/>
                      <w:sz w:val="18"/>
                      <w:szCs w:val="18"/>
                      <w:lang w:bidi="es-ES"/>
                    </w:rPr>
                  </w:pPr>
                  <w:r w:rsidRPr="006F29C8">
                    <w:rPr>
                      <w:b/>
                      <w:bCs/>
                      <w:sz w:val="18"/>
                      <w:szCs w:val="18"/>
                      <w:lang w:bidi="es-ES"/>
                    </w:rPr>
                    <w:t>ciones</w:t>
                  </w:r>
                </w:p>
              </w:tc>
              <w:tc>
                <w:tcPr>
                  <w:tcW w:w="1080" w:type="dxa"/>
                  <w:shd w:val="clear" w:color="auto" w:fill="auto"/>
                  <w:vAlign w:val="center"/>
                </w:tcPr>
                <w:p w14:paraId="46E9F545" w14:textId="77777777" w:rsidR="009278C5" w:rsidRPr="006F29C8" w:rsidRDefault="009278C5" w:rsidP="009278C5">
                  <w:pPr>
                    <w:spacing w:after="0" w:line="240" w:lineRule="auto"/>
                    <w:jc w:val="center"/>
                    <w:rPr>
                      <w:b/>
                      <w:bCs/>
                      <w:sz w:val="18"/>
                      <w:szCs w:val="18"/>
                      <w:lang w:bidi="es-ES"/>
                    </w:rPr>
                  </w:pPr>
                  <w:r w:rsidRPr="006F29C8">
                    <w:rPr>
                      <w:b/>
                      <w:bCs/>
                      <w:sz w:val="18"/>
                      <w:szCs w:val="18"/>
                      <w:lang w:bidi="es-ES"/>
                    </w:rPr>
                    <w:t>% Pruebas Positivas</w:t>
                  </w:r>
                </w:p>
              </w:tc>
            </w:tr>
            <w:tr w:rsidR="009278C5" w:rsidRPr="005D79E5" w14:paraId="301D2397" w14:textId="77777777" w:rsidTr="009278C5">
              <w:trPr>
                <w:jc w:val="center"/>
              </w:trPr>
              <w:tc>
                <w:tcPr>
                  <w:tcW w:w="2560" w:type="dxa"/>
                  <w:shd w:val="clear" w:color="auto" w:fill="F2F2F2"/>
                  <w:vAlign w:val="center"/>
                </w:tcPr>
                <w:p w14:paraId="14883764" w14:textId="77777777" w:rsidR="009278C5" w:rsidRPr="006F29C8" w:rsidRDefault="009278C5" w:rsidP="009278C5">
                  <w:pPr>
                    <w:spacing w:after="0" w:line="240" w:lineRule="auto"/>
                    <w:ind w:left="375" w:hanging="375"/>
                    <w:jc w:val="both"/>
                    <w:rPr>
                      <w:b/>
                      <w:bCs/>
                      <w:sz w:val="18"/>
                      <w:szCs w:val="18"/>
                      <w:lang w:bidi="es-ES"/>
                    </w:rPr>
                  </w:pPr>
                  <w:r w:rsidRPr="006F29C8">
                    <w:rPr>
                      <w:b/>
                      <w:bCs/>
                      <w:sz w:val="18"/>
                      <w:szCs w:val="18"/>
                      <w:lang w:bidi="es-ES"/>
                    </w:rPr>
                    <w:t>Privados de libertad</w:t>
                  </w:r>
                </w:p>
              </w:tc>
              <w:tc>
                <w:tcPr>
                  <w:tcW w:w="1007" w:type="dxa"/>
                  <w:shd w:val="clear" w:color="auto" w:fill="F2F2F2"/>
                  <w:vAlign w:val="center"/>
                </w:tcPr>
                <w:p w14:paraId="48C1A94E" w14:textId="77777777" w:rsidR="009278C5" w:rsidRPr="006F29C8" w:rsidRDefault="009278C5" w:rsidP="009278C5">
                  <w:pPr>
                    <w:spacing w:after="40" w:line="240" w:lineRule="auto"/>
                    <w:jc w:val="center"/>
                    <w:rPr>
                      <w:sz w:val="18"/>
                      <w:szCs w:val="18"/>
                      <w:lang w:bidi="es-ES"/>
                    </w:rPr>
                  </w:pPr>
                  <w:r w:rsidRPr="006F29C8">
                    <w:rPr>
                      <w:sz w:val="18"/>
                      <w:szCs w:val="18"/>
                      <w:lang w:bidi="es-ES"/>
                    </w:rPr>
                    <w:t>40,083</w:t>
                  </w:r>
                </w:p>
              </w:tc>
              <w:tc>
                <w:tcPr>
                  <w:tcW w:w="1317" w:type="dxa"/>
                  <w:shd w:val="clear" w:color="auto" w:fill="F2F2F2"/>
                  <w:vAlign w:val="center"/>
                </w:tcPr>
                <w:p w14:paraId="4888F518" w14:textId="77777777" w:rsidR="009278C5" w:rsidRPr="006F29C8" w:rsidRDefault="009278C5" w:rsidP="009278C5">
                  <w:pPr>
                    <w:spacing w:after="0" w:line="240" w:lineRule="auto"/>
                    <w:jc w:val="center"/>
                    <w:rPr>
                      <w:sz w:val="18"/>
                      <w:szCs w:val="18"/>
                      <w:lang w:bidi="es-ES"/>
                    </w:rPr>
                  </w:pPr>
                  <w:r w:rsidRPr="006F29C8">
                    <w:rPr>
                      <w:sz w:val="18"/>
                      <w:szCs w:val="18"/>
                      <w:lang w:bidi="es-ES"/>
                    </w:rPr>
                    <w:t>ND</w:t>
                  </w:r>
                </w:p>
              </w:tc>
              <w:tc>
                <w:tcPr>
                  <w:tcW w:w="1187" w:type="dxa"/>
                  <w:shd w:val="clear" w:color="auto" w:fill="F2F2F2"/>
                  <w:vAlign w:val="center"/>
                </w:tcPr>
                <w:p w14:paraId="492F78CD" w14:textId="77777777" w:rsidR="009278C5" w:rsidRPr="006F29C8" w:rsidRDefault="009278C5" w:rsidP="009278C5">
                  <w:pPr>
                    <w:spacing w:after="0" w:line="240" w:lineRule="auto"/>
                    <w:jc w:val="center"/>
                    <w:rPr>
                      <w:sz w:val="18"/>
                      <w:szCs w:val="18"/>
                      <w:lang w:bidi="es-ES"/>
                    </w:rPr>
                  </w:pPr>
                  <w:r w:rsidRPr="006F29C8">
                    <w:rPr>
                      <w:sz w:val="18"/>
                      <w:szCs w:val="18"/>
                      <w:lang w:bidi="es-ES"/>
                    </w:rPr>
                    <w:t>65,171</w:t>
                  </w:r>
                </w:p>
              </w:tc>
              <w:tc>
                <w:tcPr>
                  <w:tcW w:w="1048" w:type="dxa"/>
                  <w:shd w:val="clear" w:color="auto" w:fill="F2F2F2"/>
                  <w:vAlign w:val="center"/>
                </w:tcPr>
                <w:p w14:paraId="3D3A3D92" w14:textId="77777777" w:rsidR="009278C5" w:rsidRPr="006F29C8" w:rsidRDefault="009278C5" w:rsidP="009278C5">
                  <w:pPr>
                    <w:spacing w:after="0" w:line="240" w:lineRule="auto"/>
                    <w:jc w:val="center"/>
                    <w:rPr>
                      <w:sz w:val="18"/>
                      <w:szCs w:val="18"/>
                      <w:lang w:bidi="es-ES"/>
                    </w:rPr>
                  </w:pPr>
                  <w:r w:rsidRPr="006F29C8">
                    <w:rPr>
                      <w:sz w:val="18"/>
                      <w:szCs w:val="18"/>
                      <w:lang w:bidi="es-ES"/>
                    </w:rPr>
                    <w:t>23</w:t>
                  </w:r>
                </w:p>
              </w:tc>
              <w:tc>
                <w:tcPr>
                  <w:tcW w:w="1080" w:type="dxa"/>
                  <w:shd w:val="clear" w:color="auto" w:fill="F2F2F2"/>
                  <w:vAlign w:val="center"/>
                </w:tcPr>
                <w:p w14:paraId="7E58CF7E" w14:textId="77777777" w:rsidR="009278C5" w:rsidRPr="006F29C8" w:rsidRDefault="009278C5" w:rsidP="009278C5">
                  <w:pPr>
                    <w:spacing w:after="0" w:line="240" w:lineRule="auto"/>
                    <w:jc w:val="center"/>
                    <w:rPr>
                      <w:sz w:val="18"/>
                      <w:szCs w:val="18"/>
                      <w:lang w:bidi="es-ES"/>
                    </w:rPr>
                  </w:pPr>
                  <w:r w:rsidRPr="006F29C8">
                    <w:rPr>
                      <w:sz w:val="18"/>
                      <w:szCs w:val="18"/>
                      <w:lang w:bidi="es-ES"/>
                    </w:rPr>
                    <w:t>0.035</w:t>
                  </w:r>
                </w:p>
              </w:tc>
            </w:tr>
          </w:tbl>
          <w:p w14:paraId="051C0F93" w14:textId="17794337" w:rsidR="00FD5F1A" w:rsidRPr="006F29C8" w:rsidRDefault="00FD5F1A" w:rsidP="00FD5F1A">
            <w:pPr>
              <w:spacing w:after="240"/>
              <w:jc w:val="both"/>
              <w:rPr>
                <w:sz w:val="20"/>
                <w:szCs w:val="20"/>
                <w:lang w:val="es-NI"/>
              </w:rPr>
            </w:pPr>
            <w:r w:rsidRPr="006F29C8">
              <w:rPr>
                <w:i/>
                <w:iCs/>
                <w:sz w:val="18"/>
                <w:szCs w:val="18"/>
                <w:lang w:bidi="es-ES"/>
              </w:rPr>
              <w:t xml:space="preserve">Fuente: </w:t>
            </w:r>
            <w:r>
              <w:rPr>
                <w:i/>
                <w:iCs/>
                <w:sz w:val="18"/>
                <w:szCs w:val="18"/>
                <w:lang w:bidi="es-ES"/>
              </w:rPr>
              <w:t xml:space="preserve">Dirección </w:t>
            </w:r>
            <w:r w:rsidR="00792423">
              <w:rPr>
                <w:i/>
                <w:iCs/>
                <w:sz w:val="18"/>
                <w:szCs w:val="18"/>
                <w:lang w:bidi="es-ES"/>
              </w:rPr>
              <w:t xml:space="preserve">General </w:t>
            </w:r>
            <w:r>
              <w:rPr>
                <w:i/>
                <w:iCs/>
                <w:sz w:val="18"/>
                <w:szCs w:val="18"/>
                <w:lang w:bidi="es-ES"/>
              </w:rPr>
              <w:t>de Centros Penales | Programa Nacional ITS/VIH</w:t>
            </w:r>
            <w:r w:rsidRPr="006F29C8">
              <w:rPr>
                <w:i/>
                <w:iCs/>
                <w:sz w:val="18"/>
                <w:szCs w:val="18"/>
                <w:lang w:bidi="es-ES"/>
              </w:rPr>
              <w:t xml:space="preserve"> – El Salvador 2019.</w:t>
            </w:r>
          </w:p>
          <w:p w14:paraId="23910C32" w14:textId="6BEC3203" w:rsidR="009B76B3" w:rsidRPr="00424489" w:rsidRDefault="009278C5" w:rsidP="009278C5">
            <w:pPr>
              <w:tabs>
                <w:tab w:val="left" w:pos="211"/>
              </w:tabs>
              <w:spacing w:before="120" w:after="0" w:line="259" w:lineRule="auto"/>
              <w:jc w:val="both"/>
              <w:rPr>
                <w:lang w:val="es-NI"/>
              </w:rPr>
            </w:pPr>
            <w:r w:rsidRPr="006E25E0">
              <w:rPr>
                <w:lang w:val="es-NI"/>
              </w:rPr>
              <w:t>El Ministerio de salud en coordinación con el Ministerio de Seguridad y Justicia por medio de la Dirección General de Centros Penales ejecuta jornadas de tamizajes dos veces año en todos los centros penitenciarios,</w:t>
            </w:r>
            <w:r>
              <w:rPr>
                <w:lang w:val="es-NI"/>
              </w:rPr>
              <w:t xml:space="preserve"> centros de detención de menores y bartolinas</w:t>
            </w:r>
            <w:r w:rsidRPr="006E25E0">
              <w:rPr>
                <w:lang w:val="es-NI"/>
              </w:rPr>
              <w:t xml:space="preserve"> </w:t>
            </w:r>
            <w:r>
              <w:rPr>
                <w:lang w:val="es-NI"/>
              </w:rPr>
              <w:t xml:space="preserve">incluyendo </w:t>
            </w:r>
            <w:r w:rsidRPr="006E25E0">
              <w:rPr>
                <w:lang w:val="es-NI"/>
              </w:rPr>
              <w:t xml:space="preserve">en </w:t>
            </w:r>
            <w:r>
              <w:rPr>
                <w:lang w:val="es-NI"/>
              </w:rPr>
              <w:t xml:space="preserve">las </w:t>
            </w:r>
            <w:r w:rsidRPr="006E25E0">
              <w:rPr>
                <w:lang w:val="es-NI"/>
              </w:rPr>
              <w:t xml:space="preserve">jornadas la realización de actividades de cambio de comportamiento dando énfasis al uso de preservativo. En la realización de estas jornadas es importante el papel de los colaboradores (PPL) pares. Según </w:t>
            </w:r>
            <w:r w:rsidR="007416CD">
              <w:rPr>
                <w:lang w:val="es-NI"/>
              </w:rPr>
              <w:t>la Dirección General de Centros Penales</w:t>
            </w:r>
            <w:r w:rsidRPr="006E25E0">
              <w:rPr>
                <w:lang w:val="es-NI"/>
              </w:rPr>
              <w:t xml:space="preserve">, para el año 2019 la población de privados de libertad fue de 40,083 personas, en los que se realizaron un total de 65,171 pruebas, encontrándose 23 </w:t>
            </w:r>
            <w:r w:rsidRPr="00F3745F">
              <w:rPr>
                <w:lang w:val="es-NI"/>
              </w:rPr>
              <w:t>casos de</w:t>
            </w:r>
            <w:r w:rsidRPr="00585043">
              <w:rPr>
                <w:lang w:val="es-NI"/>
              </w:rPr>
              <w:t xml:space="preserve"> </w:t>
            </w:r>
            <w:r w:rsidRPr="00703DD3">
              <w:rPr>
                <w:lang w:val="es-NI"/>
              </w:rPr>
              <w:t>VIH (1 mujer y 22 hombre</w:t>
            </w:r>
            <w:r w:rsidRPr="00F21DEC">
              <w:rPr>
                <w:lang w:val="es-NI"/>
              </w:rPr>
              <w:t xml:space="preserve">s). </w:t>
            </w:r>
            <w:r w:rsidRPr="001E0232">
              <w:rPr>
                <w:lang w:val="es-NI"/>
              </w:rPr>
              <w:t>Para el período 2022-2024 se continuará realizando las jornadas de tamizajes -</w:t>
            </w:r>
            <w:r w:rsidR="001930D8">
              <w:rPr>
                <w:lang w:val="es-NI"/>
              </w:rPr>
              <w:t xml:space="preserve"> </w:t>
            </w:r>
            <w:r w:rsidRPr="00424489">
              <w:rPr>
                <w:lang w:val="es-NI"/>
              </w:rPr>
              <w:t xml:space="preserve">contempladas entre las acciones </w:t>
            </w:r>
            <w:r w:rsidR="001930D8" w:rsidRPr="00424489">
              <w:rPr>
                <w:lang w:val="es-NI"/>
              </w:rPr>
              <w:t xml:space="preserve">que contiene </w:t>
            </w:r>
            <w:r w:rsidR="009B76B3" w:rsidRPr="00424489">
              <w:rPr>
                <w:lang w:val="es-NI"/>
              </w:rPr>
              <w:t>los lineamientos del MINSAL para la atención integral en salud de PPL. [Anexo 1.23]</w:t>
            </w:r>
          </w:p>
          <w:p w14:paraId="1D54FF96" w14:textId="6EF8CB46" w:rsidR="009278C5" w:rsidRDefault="009B76B3" w:rsidP="009278C5">
            <w:pPr>
              <w:tabs>
                <w:tab w:val="left" w:pos="211"/>
              </w:tabs>
              <w:spacing w:before="120" w:after="0" w:line="259" w:lineRule="auto"/>
              <w:jc w:val="both"/>
              <w:rPr>
                <w:lang w:val="es-NI"/>
              </w:rPr>
            </w:pPr>
            <w:r w:rsidRPr="00424489">
              <w:rPr>
                <w:lang w:val="es-NI"/>
              </w:rPr>
              <w:t>E</w:t>
            </w:r>
            <w:r w:rsidR="009278C5" w:rsidRPr="00424489">
              <w:rPr>
                <w:lang w:val="es-NI"/>
              </w:rPr>
              <w:t>l borrador del PENM 2022-2026</w:t>
            </w:r>
            <w:r w:rsidR="001930D8" w:rsidRPr="00424489">
              <w:rPr>
                <w:lang w:val="es-NI"/>
              </w:rPr>
              <w:t xml:space="preserve"> </w:t>
            </w:r>
            <w:r w:rsidR="009278C5" w:rsidRPr="00424489">
              <w:rPr>
                <w:lang w:val="es-NI"/>
              </w:rPr>
              <w:t xml:space="preserve">- en que se realizará dos pruebas de VIH al año a cada privado de libertad, de las cuales una será asumida con recursos del </w:t>
            </w:r>
            <w:r w:rsidR="00CB6219" w:rsidRPr="00424489">
              <w:rPr>
                <w:lang w:val="es-NI"/>
              </w:rPr>
              <w:t>Estado y</w:t>
            </w:r>
            <w:r w:rsidR="009278C5" w:rsidRPr="00424489">
              <w:rPr>
                <w:lang w:val="es-NI"/>
              </w:rPr>
              <w:t xml:space="preserve"> la otra por el Fondo Mundial</w:t>
            </w:r>
            <w:r w:rsidR="001E051E" w:rsidRPr="00424489">
              <w:rPr>
                <w:lang w:val="es-NI"/>
              </w:rPr>
              <w:t>.</w:t>
            </w:r>
          </w:p>
          <w:p w14:paraId="60DDDFCD" w14:textId="7028FF6A" w:rsidR="009278C5" w:rsidRPr="00424489" w:rsidRDefault="009278C5" w:rsidP="009278C5">
            <w:pPr>
              <w:tabs>
                <w:tab w:val="left" w:pos="211"/>
              </w:tabs>
              <w:spacing w:before="120" w:after="0" w:line="259" w:lineRule="auto"/>
              <w:jc w:val="both"/>
              <w:rPr>
                <w:color w:val="6D6F72" w:themeColor="accent2" w:themeShade="BF"/>
                <w:lang w:val="es-NI"/>
              </w:rPr>
            </w:pPr>
            <w:r>
              <w:rPr>
                <w:lang w:val="es-NI"/>
              </w:rPr>
              <w:t>El PENM 2022-2026 ha incorporado el desarrollo de la m</w:t>
            </w:r>
            <w:r w:rsidRPr="00185DDE">
              <w:rPr>
                <w:lang w:val="es-NI"/>
              </w:rPr>
              <w:t xml:space="preserve">etodología de pares implementado en el 100% de Centros Penales a nivel nacional con la cual </w:t>
            </w:r>
            <w:r>
              <w:rPr>
                <w:lang w:val="es-NI"/>
              </w:rPr>
              <w:t xml:space="preserve">se espera capacitar entre </w:t>
            </w:r>
            <w:r w:rsidRPr="00185DDE">
              <w:rPr>
                <w:lang w:val="es-NI"/>
              </w:rPr>
              <w:t>800 a 1,000 PPL por año</w:t>
            </w:r>
            <w:r>
              <w:rPr>
                <w:lang w:val="es-NI"/>
              </w:rPr>
              <w:t xml:space="preserve"> a </w:t>
            </w:r>
            <w:r w:rsidRPr="00185DDE">
              <w:rPr>
                <w:lang w:val="es-NI"/>
              </w:rPr>
              <w:t>aproximadamente</w:t>
            </w:r>
            <w:r>
              <w:rPr>
                <w:lang w:val="es-NI"/>
              </w:rPr>
              <w:t xml:space="preserve">. Con esta </w:t>
            </w:r>
            <w:r w:rsidRPr="00185DDE">
              <w:rPr>
                <w:lang w:val="es-NI"/>
              </w:rPr>
              <w:t>estrategia</w:t>
            </w:r>
            <w:r>
              <w:rPr>
                <w:lang w:val="es-NI"/>
              </w:rPr>
              <w:t xml:space="preserve">, impulsada </w:t>
            </w:r>
            <w:r w:rsidRPr="00185DDE">
              <w:rPr>
                <w:lang w:val="es-NI"/>
              </w:rPr>
              <w:t xml:space="preserve">desde la Unidad del Programa de ITS/VIH, </w:t>
            </w:r>
            <w:r>
              <w:rPr>
                <w:lang w:val="es-NI"/>
              </w:rPr>
              <w:t xml:space="preserve">se capacitará </w:t>
            </w:r>
            <w:r w:rsidRPr="00185DDE">
              <w:rPr>
                <w:lang w:val="es-NI"/>
              </w:rPr>
              <w:t xml:space="preserve">personas privadas de libertad con roles entre facilitadores pares, consejeros y promotores de salud penitenciaria. La temática </w:t>
            </w:r>
            <w:r>
              <w:rPr>
                <w:lang w:val="es-NI"/>
              </w:rPr>
              <w:t xml:space="preserve">a </w:t>
            </w:r>
            <w:r w:rsidRPr="00185DDE">
              <w:rPr>
                <w:lang w:val="es-NI"/>
              </w:rPr>
              <w:t>desarrolla</w:t>
            </w:r>
            <w:r>
              <w:rPr>
                <w:lang w:val="es-NI"/>
              </w:rPr>
              <w:t>r</w:t>
            </w:r>
            <w:r w:rsidRPr="00185DDE">
              <w:rPr>
                <w:lang w:val="es-NI"/>
              </w:rPr>
              <w:t xml:space="preserve"> con ellos </w:t>
            </w:r>
            <w:r>
              <w:rPr>
                <w:lang w:val="es-NI"/>
              </w:rPr>
              <w:t>incluye</w:t>
            </w:r>
            <w:r w:rsidRPr="00185DDE">
              <w:rPr>
                <w:lang w:val="es-NI"/>
              </w:rPr>
              <w:t xml:space="preserve">: promoción de la salud, prevención de las enfermedades, ITS, especialmente VIH y TB, atención integral de las PPL (auto cuido, estilos de vida, </w:t>
            </w:r>
            <w:r w:rsidRPr="00185DDE">
              <w:rPr>
                <w:lang w:val="es-NI"/>
              </w:rPr>
              <w:lastRenderedPageBreak/>
              <w:t xml:space="preserve">adherencia, reacciones adversas de los medicamentos, infecciones oportunistas, estigma, discriminación, enfoque de género, derechos humanos, </w:t>
            </w:r>
            <w:r w:rsidRPr="00424489">
              <w:rPr>
                <w:lang w:val="es-NI"/>
              </w:rPr>
              <w:t xml:space="preserve">diversidad </w:t>
            </w:r>
            <w:r w:rsidR="002A015C" w:rsidRPr="00424489">
              <w:rPr>
                <w:lang w:val="es-NI"/>
              </w:rPr>
              <w:t>sexual,</w:t>
            </w:r>
            <w:r w:rsidRPr="00424489">
              <w:rPr>
                <w:lang w:val="es-NI"/>
              </w:rPr>
              <w:t xml:space="preserve"> así como saneamiento ambiental, otros).</w:t>
            </w:r>
            <w:r w:rsidR="009B76B3" w:rsidRPr="00424489">
              <w:rPr>
                <w:lang w:val="es-NI"/>
              </w:rPr>
              <w:t xml:space="preserve"> [Anexo 1.24]</w:t>
            </w:r>
          </w:p>
          <w:p w14:paraId="3ADFB229" w14:textId="19783530" w:rsidR="009278C5" w:rsidRDefault="009278C5" w:rsidP="009278C5">
            <w:pPr>
              <w:spacing w:before="120" w:line="240" w:lineRule="auto"/>
              <w:jc w:val="both"/>
              <w:rPr>
                <w:lang w:val="es-NI"/>
              </w:rPr>
            </w:pPr>
            <w:r w:rsidRPr="00424489">
              <w:rPr>
                <w:lang w:val="es-NI"/>
              </w:rPr>
              <w:t>El Salvador aprovechando el desarrollo de tecnologías de la información y comunicación cuenta con un robusto Sistema Único de Información en Salud (SUIS), que permitiendo la intercomunicación de diferentes interfaces -una de ellas el Sistema Único de Monitoreo</w:t>
            </w:r>
            <w:r w:rsidRPr="00E62005">
              <w:rPr>
                <w:lang w:val="es-NI"/>
              </w:rPr>
              <w:t>, Evaluación y Vigilancia Epidemiológica del VIH-SIDA (SUMEVE), facilita la captura de información con un buen nivel de actualización lo que permite generar reportes en tiempo real, lo que contribuye en forma importante al análisis de la situación y con ello a la toma de decisiones. SUMEVE, por la fortaleza que tiene, es la fuente de toda información oficial sobre el VIH y posee una plataforma en la que usuarios externos pueden generar</w:t>
            </w:r>
            <w:r w:rsidR="005A5EF4">
              <w:rPr>
                <w:lang w:val="es-NI"/>
              </w:rPr>
              <w:t xml:space="preserve">, </w:t>
            </w:r>
            <w:r w:rsidRPr="00E62005">
              <w:rPr>
                <w:lang w:val="es-NI"/>
              </w:rPr>
              <w:t>a su conveniencia</w:t>
            </w:r>
            <w:r w:rsidR="005A5EF4">
              <w:rPr>
                <w:lang w:val="es-NI"/>
              </w:rPr>
              <w:t xml:space="preserve">, </w:t>
            </w:r>
            <w:r w:rsidRPr="00E62005">
              <w:rPr>
                <w:lang w:val="es-NI"/>
              </w:rPr>
              <w:t>reportes consolidados, garantizándose la seguridad de los datos personales contenidos en los registros nominales.</w:t>
            </w:r>
            <w:r>
              <w:rPr>
                <w:lang w:val="es-NI"/>
              </w:rPr>
              <w:t xml:space="preserve"> </w:t>
            </w:r>
          </w:p>
          <w:p w14:paraId="791A95B7" w14:textId="77777777" w:rsidR="00591D75" w:rsidRDefault="009278C5" w:rsidP="009278C5">
            <w:pPr>
              <w:spacing w:line="240" w:lineRule="auto"/>
              <w:jc w:val="both"/>
              <w:rPr>
                <w:lang w:val="es-NI"/>
              </w:rPr>
            </w:pPr>
            <w:r w:rsidRPr="00606D72">
              <w:rPr>
                <w:lang w:val="es-NI"/>
              </w:rPr>
              <w:t>A pesar de la fortaleza que representa el SUMEVE para el sistema de información, han pasado más de cinco años desde que se realizaron los últimos estudios que valoran cuali-cuantitativamente rasgos comportamentales de poblaciones clave y de personas con VIH, cuyos resultados aproximen la valoración del impacto de las acciones de la respuesta nacional y a la vez generan evidencias para el ajuste en las estrategias</w:t>
            </w:r>
            <w:r>
              <w:rPr>
                <w:lang w:val="es-NI"/>
              </w:rPr>
              <w:t>. D</w:t>
            </w:r>
            <w:r w:rsidRPr="00606D72">
              <w:rPr>
                <w:lang w:val="es-NI"/>
              </w:rPr>
              <w:t>esde los últimos estudios de vigilancia de comportamiento y prevalencia han acontecido importantes eventos en la respuesta a la epidemia.</w:t>
            </w:r>
          </w:p>
          <w:p w14:paraId="583A04B0" w14:textId="28E54790" w:rsidR="000B2017" w:rsidRDefault="00AC2157" w:rsidP="009278C5">
            <w:pPr>
              <w:spacing w:line="240" w:lineRule="auto"/>
              <w:jc w:val="both"/>
              <w:rPr>
                <w:lang w:val="es-NI"/>
              </w:rPr>
            </w:pPr>
            <w:r>
              <w:rPr>
                <w:lang w:val="es-NI"/>
              </w:rPr>
              <w:t xml:space="preserve">En la actual subvención se ha incluido la actualización de los estudios de talla y vigilancia de comportamiento y prevalencia, </w:t>
            </w:r>
            <w:r w:rsidR="00591D75">
              <w:rPr>
                <w:lang w:val="es-NI"/>
              </w:rPr>
              <w:t>los que estarán a cargo del receptor Plan International</w:t>
            </w:r>
            <w:r w:rsidR="00DF54F5">
              <w:rPr>
                <w:lang w:val="es-NI"/>
              </w:rPr>
              <w:t>. P</w:t>
            </w:r>
            <w:r w:rsidR="00591D75">
              <w:rPr>
                <w:lang w:val="es-NI"/>
              </w:rPr>
              <w:t xml:space="preserve">ara la </w:t>
            </w:r>
            <w:r w:rsidR="002A015C">
              <w:rPr>
                <w:lang w:val="es-NI"/>
              </w:rPr>
              <w:t>planificación, seguimiento</w:t>
            </w:r>
            <w:r w:rsidR="00591D75">
              <w:rPr>
                <w:lang w:val="es-NI"/>
              </w:rPr>
              <w:t xml:space="preserve"> a la ejecución</w:t>
            </w:r>
            <w:r w:rsidR="00DF54F5">
              <w:rPr>
                <w:lang w:val="es-NI"/>
              </w:rPr>
              <w:t xml:space="preserve"> y</w:t>
            </w:r>
            <w:r w:rsidR="00591D75">
              <w:rPr>
                <w:lang w:val="es-NI"/>
              </w:rPr>
              <w:t xml:space="preserve"> validación de resultados se conformará un comité consultivo multisectorial encabezado por el </w:t>
            </w:r>
            <w:r w:rsidR="006D0B25">
              <w:rPr>
                <w:lang w:val="es-NI"/>
              </w:rPr>
              <w:t>MCP-ES</w:t>
            </w:r>
            <w:r w:rsidR="00591D75">
              <w:rPr>
                <w:lang w:val="es-NI"/>
              </w:rPr>
              <w:t xml:space="preserve">-ES que apoyará la elaboración de términos de referencia, selección del equipo a ejecutar los estudios, el monitoreo de las actividades de campo incluyendo el aseguramiento en la calidad de los datos hasta el análisis y presentación de los resultados. </w:t>
            </w:r>
          </w:p>
          <w:p w14:paraId="6F321897" w14:textId="32DBD231" w:rsidR="009278C5" w:rsidRPr="00424489" w:rsidRDefault="009278C5" w:rsidP="009278C5">
            <w:pPr>
              <w:spacing w:line="240" w:lineRule="auto"/>
              <w:jc w:val="both"/>
              <w:rPr>
                <w:lang w:val="es-NI"/>
              </w:rPr>
            </w:pPr>
            <w:r>
              <w:rPr>
                <w:lang w:val="es-NI"/>
              </w:rPr>
              <w:t>En el informe anual del 2019 de las clínicas VICITS se observa que las trabajadoras sexuales usaron condón en la última relación sexual</w:t>
            </w:r>
            <w:r w:rsidR="0010639C">
              <w:rPr>
                <w:lang w:val="es-NI"/>
              </w:rPr>
              <w:t>,</w:t>
            </w:r>
            <w:r>
              <w:rPr>
                <w:lang w:val="es-NI"/>
              </w:rPr>
              <w:t xml:space="preserve"> el 48% de </w:t>
            </w:r>
            <w:r w:rsidRPr="00424489">
              <w:rPr>
                <w:lang w:val="es-NI"/>
              </w:rPr>
              <w:t xml:space="preserve">ellas con pareja casual, el 16% con pareja estable y el 92% con clientes. El 57% lo utilizó en la última relación sexual anal. </w:t>
            </w:r>
            <w:r w:rsidR="000B2017" w:rsidRPr="00424489">
              <w:rPr>
                <w:lang w:val="es-NI"/>
              </w:rPr>
              <w:t>[Anexo 1.2</w:t>
            </w:r>
            <w:r w:rsidR="009B76B3" w:rsidRPr="00424489">
              <w:rPr>
                <w:lang w:val="es-NI"/>
              </w:rPr>
              <w:t>5</w:t>
            </w:r>
            <w:r w:rsidR="000B2017" w:rsidRPr="00424489">
              <w:rPr>
                <w:lang w:val="es-NI"/>
              </w:rPr>
              <w:t>]</w:t>
            </w:r>
          </w:p>
          <w:p w14:paraId="6FE6443A" w14:textId="2FC923F1" w:rsidR="009278C5" w:rsidRPr="00424489" w:rsidRDefault="009278C5" w:rsidP="009278C5">
            <w:pPr>
              <w:spacing w:line="240" w:lineRule="auto"/>
              <w:jc w:val="both"/>
              <w:rPr>
                <w:lang w:val="es-NI"/>
              </w:rPr>
            </w:pPr>
            <w:r w:rsidRPr="00424489">
              <w:rPr>
                <w:lang w:val="es-NI"/>
              </w:rPr>
              <w:t>En HSH se observa que usaron condón en la última relación sexual</w:t>
            </w:r>
            <w:r w:rsidR="00185DF4" w:rsidRPr="00424489">
              <w:rPr>
                <w:lang w:val="es-NI"/>
              </w:rPr>
              <w:t>,</w:t>
            </w:r>
            <w:r w:rsidRPr="00424489">
              <w:rPr>
                <w:lang w:val="es-NI"/>
              </w:rPr>
              <w:t xml:space="preserve"> el 45% con pareja casual, el 36% con pareja estable y el 60% con clientes. El 48% lo utilizó en la última relación sexual anal.</w:t>
            </w:r>
            <w:r w:rsidR="000B2017" w:rsidRPr="00424489">
              <w:rPr>
                <w:lang w:val="es-NI"/>
              </w:rPr>
              <w:t xml:space="preserve"> [Anexo 1.2</w:t>
            </w:r>
            <w:r w:rsidR="009B76B3" w:rsidRPr="00424489">
              <w:rPr>
                <w:lang w:val="es-NI"/>
              </w:rPr>
              <w:t>5</w:t>
            </w:r>
            <w:r w:rsidR="000B2017" w:rsidRPr="00424489">
              <w:rPr>
                <w:lang w:val="es-NI"/>
              </w:rPr>
              <w:t>]</w:t>
            </w:r>
          </w:p>
          <w:p w14:paraId="6FD44A25" w14:textId="3705447E" w:rsidR="009278C5" w:rsidRPr="00424489" w:rsidRDefault="009278C5" w:rsidP="009278C5">
            <w:pPr>
              <w:spacing w:line="240" w:lineRule="auto"/>
              <w:jc w:val="both"/>
              <w:rPr>
                <w:lang w:val="es-NI"/>
              </w:rPr>
            </w:pPr>
            <w:r w:rsidRPr="00424489">
              <w:rPr>
                <w:lang w:val="es-NI"/>
              </w:rPr>
              <w:t>En mujeres trans se observa que usaron condón en la última relación sexual el 61% con pareja casual, el 46% con pareja estable y el 80% con clientes. El 65% lo utilizó en la última relación sexual anal.</w:t>
            </w:r>
            <w:r w:rsidR="00792423" w:rsidRPr="00424489">
              <w:rPr>
                <w:lang w:val="es-NI"/>
              </w:rPr>
              <w:t xml:space="preserve"> </w:t>
            </w:r>
            <w:r w:rsidR="000B2017" w:rsidRPr="00424489">
              <w:rPr>
                <w:lang w:val="es-NI"/>
              </w:rPr>
              <w:t>[Anexo 1.2</w:t>
            </w:r>
            <w:r w:rsidR="009B76B3" w:rsidRPr="00424489">
              <w:rPr>
                <w:lang w:val="es-NI"/>
              </w:rPr>
              <w:t>5</w:t>
            </w:r>
            <w:r w:rsidR="000B2017" w:rsidRPr="00424489">
              <w:rPr>
                <w:lang w:val="es-NI"/>
              </w:rPr>
              <w:t>]</w:t>
            </w:r>
          </w:p>
          <w:p w14:paraId="3E2D6EFE" w14:textId="77777777" w:rsidR="009278C5" w:rsidRPr="00424489" w:rsidRDefault="009278C5" w:rsidP="009278C5">
            <w:pPr>
              <w:spacing w:line="240" w:lineRule="auto"/>
              <w:jc w:val="both"/>
              <w:rPr>
                <w:b/>
                <w:bCs/>
                <w:lang w:val="es-NI"/>
              </w:rPr>
            </w:pPr>
            <w:r w:rsidRPr="00424489">
              <w:rPr>
                <w:b/>
                <w:bCs/>
                <w:lang w:val="es-NI"/>
              </w:rPr>
              <w:t xml:space="preserve">Poblaciones adolescentes y jóvenes </w:t>
            </w:r>
          </w:p>
          <w:p w14:paraId="7007E25C" w14:textId="353C236D" w:rsidR="009278C5" w:rsidRPr="004416DD" w:rsidRDefault="00CC27D3" w:rsidP="009278C5">
            <w:pPr>
              <w:spacing w:after="200" w:line="276" w:lineRule="auto"/>
              <w:jc w:val="both"/>
              <w:outlineLvl w:val="0"/>
              <w:rPr>
                <w:rFonts w:eastAsia="Times New Roman"/>
                <w:lang w:val="es-NI" w:eastAsia="es-SV"/>
              </w:rPr>
            </w:pPr>
            <w:r w:rsidRPr="00424489">
              <w:rPr>
                <w:rFonts w:eastAsia="Times New Roman"/>
                <w:lang w:val="es-NI" w:eastAsia="es-SV"/>
              </w:rPr>
              <w:t>E</w:t>
            </w:r>
            <w:r w:rsidR="009278C5" w:rsidRPr="00424489">
              <w:rPr>
                <w:rFonts w:eastAsia="Times New Roman"/>
                <w:lang w:val="es-NI" w:eastAsia="es-SV"/>
              </w:rPr>
              <w:t xml:space="preserve">l </w:t>
            </w:r>
            <w:r w:rsidRPr="00424489">
              <w:rPr>
                <w:rFonts w:eastAsia="Times New Roman"/>
                <w:lang w:val="es-NI" w:eastAsia="es-SV"/>
              </w:rPr>
              <w:t>20.2</w:t>
            </w:r>
            <w:r w:rsidR="009278C5" w:rsidRPr="00424489">
              <w:rPr>
                <w:rFonts w:eastAsia="Times New Roman"/>
                <w:lang w:val="es-NI" w:eastAsia="es-SV"/>
              </w:rPr>
              <w:t>% (1,</w:t>
            </w:r>
            <w:r w:rsidRPr="00424489">
              <w:rPr>
                <w:rFonts w:eastAsia="Times New Roman"/>
                <w:lang w:val="es-NI" w:eastAsia="es-SV"/>
              </w:rPr>
              <w:t>356</w:t>
            </w:r>
            <w:r w:rsidR="009278C5" w:rsidRPr="00424489">
              <w:rPr>
                <w:rFonts w:eastAsia="Times New Roman"/>
                <w:lang w:val="es-NI" w:eastAsia="es-SV"/>
              </w:rPr>
              <w:t>,</w:t>
            </w:r>
            <w:r w:rsidRPr="00424489">
              <w:rPr>
                <w:rFonts w:eastAsia="Times New Roman"/>
                <w:lang w:val="es-NI" w:eastAsia="es-SV"/>
              </w:rPr>
              <w:t>724</w:t>
            </w:r>
            <w:r w:rsidR="009278C5" w:rsidRPr="00424489">
              <w:rPr>
                <w:rFonts w:eastAsia="Times New Roman"/>
                <w:lang w:val="es-NI" w:eastAsia="es-SV"/>
              </w:rPr>
              <w:t xml:space="preserve">) del total de la población </w:t>
            </w:r>
            <w:r w:rsidRPr="00424489">
              <w:rPr>
                <w:rFonts w:eastAsia="Times New Roman"/>
                <w:lang w:val="es-NI" w:eastAsia="es-SV"/>
              </w:rPr>
              <w:t>del país tienen edad comprendida entre 15 y 24 años</w:t>
            </w:r>
            <w:r w:rsidR="009278C5" w:rsidRPr="00424489">
              <w:rPr>
                <w:rFonts w:eastAsia="Times New Roman"/>
                <w:lang w:val="es-NI" w:eastAsia="es-SV"/>
              </w:rPr>
              <w:t xml:space="preserve">. Es de hacer notar que la mayor cantidad de personas en nuestro país se encuentra en las etapas de adolescencia y juventud, lo cual establece una oportunidad excelente, para fortalecer los proyectos educativos, laborales y socioeconómicos de nuestro país. </w:t>
            </w:r>
            <w:r w:rsidR="00792423" w:rsidRPr="00424489">
              <w:rPr>
                <w:lang w:bidi="es-ES"/>
              </w:rPr>
              <w:t>[Anexo 1.</w:t>
            </w:r>
            <w:r w:rsidRPr="00424489">
              <w:rPr>
                <w:lang w:bidi="es-ES"/>
              </w:rPr>
              <w:t>1</w:t>
            </w:r>
            <w:r w:rsidR="00792423" w:rsidRPr="00424489">
              <w:rPr>
                <w:lang w:bidi="es-ES"/>
              </w:rPr>
              <w:t>]</w:t>
            </w:r>
          </w:p>
          <w:p w14:paraId="32BC2477" w14:textId="1F71A4BC" w:rsidR="00792423" w:rsidRDefault="00792423" w:rsidP="009278C5">
            <w:pPr>
              <w:spacing w:after="200" w:line="276" w:lineRule="auto"/>
              <w:jc w:val="both"/>
              <w:outlineLvl w:val="0"/>
              <w:rPr>
                <w:rFonts w:eastAsia="Times New Roman"/>
                <w:lang w:val="es-NI" w:eastAsia="es-SV"/>
              </w:rPr>
            </w:pPr>
            <w:r>
              <w:rPr>
                <w:rFonts w:eastAsia="Times New Roman"/>
                <w:lang w:val="es-NI" w:eastAsia="es-SV"/>
              </w:rPr>
              <w:t>E</w:t>
            </w:r>
            <w:r w:rsidR="009278C5">
              <w:rPr>
                <w:rFonts w:eastAsia="Times New Roman"/>
                <w:lang w:val="es-NI" w:eastAsia="es-SV"/>
              </w:rPr>
              <w:t>ntre</w:t>
            </w:r>
            <w:r w:rsidR="009278C5" w:rsidRPr="004416DD">
              <w:rPr>
                <w:rFonts w:eastAsia="Times New Roman"/>
                <w:lang w:val="es-NI" w:eastAsia="es-SV"/>
              </w:rPr>
              <w:t xml:space="preserve"> el 2018 </w:t>
            </w:r>
            <w:r w:rsidR="009278C5">
              <w:rPr>
                <w:rFonts w:eastAsia="Times New Roman"/>
                <w:lang w:val="es-NI" w:eastAsia="es-SV"/>
              </w:rPr>
              <w:t>y el primer semestre de</w:t>
            </w:r>
            <w:r w:rsidR="009278C5" w:rsidRPr="004416DD">
              <w:rPr>
                <w:rFonts w:eastAsia="Times New Roman"/>
                <w:lang w:val="es-NI" w:eastAsia="es-SV"/>
              </w:rPr>
              <w:t>l 2020</w:t>
            </w:r>
            <w:r>
              <w:rPr>
                <w:rFonts w:eastAsia="Times New Roman"/>
                <w:lang w:val="es-NI" w:eastAsia="es-SV"/>
              </w:rPr>
              <w:t xml:space="preserve">, según reportes del SUMEVE, se registra un total de </w:t>
            </w:r>
            <w:r w:rsidR="009278C5" w:rsidRPr="004416DD">
              <w:rPr>
                <w:rFonts w:eastAsia="Times New Roman"/>
                <w:lang w:val="es-NI" w:eastAsia="es-SV"/>
              </w:rPr>
              <w:t>141</w:t>
            </w:r>
            <w:r w:rsidR="009278C5">
              <w:rPr>
                <w:rFonts w:eastAsia="Times New Roman"/>
                <w:lang w:val="es-NI" w:eastAsia="es-SV"/>
              </w:rPr>
              <w:t xml:space="preserve"> nuev</w:t>
            </w:r>
            <w:r>
              <w:rPr>
                <w:rFonts w:eastAsia="Times New Roman"/>
                <w:lang w:val="es-NI" w:eastAsia="es-SV"/>
              </w:rPr>
              <w:t xml:space="preserve">as infecciones por </w:t>
            </w:r>
            <w:r w:rsidR="009278C5">
              <w:rPr>
                <w:rFonts w:eastAsia="Times New Roman"/>
                <w:lang w:val="es-NI" w:eastAsia="es-SV"/>
              </w:rPr>
              <w:t>VIH</w:t>
            </w:r>
            <w:r w:rsidR="009278C5" w:rsidRPr="004416DD">
              <w:rPr>
                <w:rFonts w:eastAsia="Times New Roman"/>
                <w:lang w:val="es-NI" w:eastAsia="es-SV"/>
              </w:rPr>
              <w:t xml:space="preserve"> </w:t>
            </w:r>
            <w:r>
              <w:rPr>
                <w:rFonts w:eastAsia="Times New Roman"/>
                <w:lang w:val="es-NI" w:eastAsia="es-SV"/>
              </w:rPr>
              <w:t xml:space="preserve">en adolescentes, cifra </w:t>
            </w:r>
            <w:r w:rsidR="00F7629E">
              <w:rPr>
                <w:rFonts w:eastAsia="Times New Roman"/>
                <w:lang w:val="es-NI" w:eastAsia="es-SV"/>
              </w:rPr>
              <w:t>que sugiere la necesidad de intensificar las acciones en ese segmento de población y ajustar las acciones para mayor efectividad.</w:t>
            </w:r>
          </w:p>
          <w:p w14:paraId="4F5C555D" w14:textId="68B39D1F" w:rsidR="009278C5" w:rsidRPr="004416DD" w:rsidRDefault="009278C5" w:rsidP="009278C5">
            <w:pPr>
              <w:spacing w:after="200" w:line="276" w:lineRule="auto"/>
              <w:jc w:val="both"/>
              <w:outlineLvl w:val="0"/>
              <w:rPr>
                <w:rFonts w:eastAsia="Times New Roman"/>
                <w:lang w:val="es-NI" w:eastAsia="es-SV"/>
              </w:rPr>
            </w:pPr>
            <w:r>
              <w:t xml:space="preserve">El país está realizando esfuerzos por disponer de manera rutinaria reportes que contenga información desagregada por edad y sexo de ITS en poblaciones </w:t>
            </w:r>
            <w:r w:rsidR="00964B85">
              <w:t>c</w:t>
            </w:r>
            <w:r>
              <w:t>lave, esperando contar con este tipo de información en el cuarto trimestre del 2021.</w:t>
            </w:r>
          </w:p>
          <w:p w14:paraId="67039776" w14:textId="77777777" w:rsidR="00AC4E61" w:rsidRDefault="00AC4E61" w:rsidP="009278C5">
            <w:pPr>
              <w:spacing w:after="60" w:line="240" w:lineRule="auto"/>
              <w:jc w:val="center"/>
              <w:rPr>
                <w:rFonts w:eastAsia="Calibri"/>
                <w:b/>
                <w:sz w:val="20"/>
                <w:szCs w:val="20"/>
                <w:lang w:val="es-NI"/>
              </w:rPr>
            </w:pPr>
          </w:p>
          <w:p w14:paraId="3014D8E8" w14:textId="77777777" w:rsidR="00AC4E61" w:rsidRDefault="00AC4E61" w:rsidP="009278C5">
            <w:pPr>
              <w:spacing w:after="60" w:line="240" w:lineRule="auto"/>
              <w:jc w:val="center"/>
              <w:rPr>
                <w:rFonts w:eastAsia="Calibri"/>
                <w:b/>
                <w:sz w:val="20"/>
                <w:szCs w:val="20"/>
                <w:lang w:val="es-NI"/>
              </w:rPr>
            </w:pPr>
          </w:p>
          <w:p w14:paraId="59372E77" w14:textId="77777777" w:rsidR="00AC4E61" w:rsidRDefault="00AC4E61" w:rsidP="009278C5">
            <w:pPr>
              <w:spacing w:after="60" w:line="240" w:lineRule="auto"/>
              <w:jc w:val="center"/>
              <w:rPr>
                <w:rFonts w:eastAsia="Calibri"/>
                <w:b/>
                <w:sz w:val="20"/>
                <w:szCs w:val="20"/>
                <w:lang w:val="es-NI"/>
              </w:rPr>
            </w:pPr>
          </w:p>
          <w:p w14:paraId="22048C59" w14:textId="77777777" w:rsidR="00AC4E61" w:rsidRDefault="00AC4E61" w:rsidP="009278C5">
            <w:pPr>
              <w:spacing w:after="60" w:line="240" w:lineRule="auto"/>
              <w:jc w:val="center"/>
              <w:rPr>
                <w:rFonts w:eastAsia="Calibri"/>
                <w:b/>
                <w:sz w:val="20"/>
                <w:szCs w:val="20"/>
                <w:lang w:val="es-NI"/>
              </w:rPr>
            </w:pPr>
          </w:p>
          <w:p w14:paraId="56244506" w14:textId="77777777" w:rsidR="00AC4E61" w:rsidRDefault="00AC4E61" w:rsidP="009278C5">
            <w:pPr>
              <w:spacing w:after="60" w:line="240" w:lineRule="auto"/>
              <w:jc w:val="center"/>
              <w:rPr>
                <w:rFonts w:eastAsia="Calibri"/>
                <w:b/>
                <w:sz w:val="20"/>
                <w:szCs w:val="20"/>
                <w:lang w:val="es-NI"/>
              </w:rPr>
            </w:pPr>
          </w:p>
          <w:p w14:paraId="618F551A" w14:textId="77777777" w:rsidR="00AC4E61" w:rsidRDefault="00AC4E61" w:rsidP="009278C5">
            <w:pPr>
              <w:spacing w:after="60" w:line="240" w:lineRule="auto"/>
              <w:jc w:val="center"/>
              <w:rPr>
                <w:rFonts w:eastAsia="Calibri"/>
                <w:b/>
                <w:sz w:val="20"/>
                <w:szCs w:val="20"/>
                <w:lang w:val="es-NI"/>
              </w:rPr>
            </w:pPr>
          </w:p>
          <w:p w14:paraId="46587995" w14:textId="77777777" w:rsidR="00AC4E61" w:rsidRDefault="00AC4E61" w:rsidP="009278C5">
            <w:pPr>
              <w:spacing w:after="60" w:line="240" w:lineRule="auto"/>
              <w:jc w:val="center"/>
              <w:rPr>
                <w:rFonts w:eastAsia="Calibri"/>
                <w:b/>
                <w:sz w:val="20"/>
                <w:szCs w:val="20"/>
                <w:lang w:val="es-NI"/>
              </w:rPr>
            </w:pPr>
          </w:p>
          <w:p w14:paraId="2443AA54" w14:textId="52C0B7D0" w:rsidR="009278C5" w:rsidRPr="0030795A" w:rsidRDefault="009278C5" w:rsidP="009278C5">
            <w:pPr>
              <w:spacing w:after="60" w:line="240" w:lineRule="auto"/>
              <w:jc w:val="center"/>
              <w:rPr>
                <w:rFonts w:eastAsia="Calibri"/>
                <w:b/>
                <w:sz w:val="20"/>
                <w:szCs w:val="20"/>
                <w:lang w:val="es-NI"/>
              </w:rPr>
            </w:pPr>
            <w:r w:rsidRPr="0030795A">
              <w:rPr>
                <w:rFonts w:eastAsia="Calibri"/>
                <w:b/>
                <w:sz w:val="20"/>
                <w:szCs w:val="20"/>
                <w:lang w:val="es-NI"/>
              </w:rPr>
              <w:lastRenderedPageBreak/>
              <w:t xml:space="preserve">Tabla </w:t>
            </w:r>
            <w:r w:rsidR="006C5497">
              <w:rPr>
                <w:rFonts w:eastAsia="Calibri"/>
                <w:b/>
                <w:sz w:val="20"/>
                <w:szCs w:val="20"/>
                <w:lang w:val="es-NI"/>
              </w:rPr>
              <w:t>3</w:t>
            </w:r>
            <w:r w:rsidRPr="0030795A">
              <w:rPr>
                <w:rFonts w:eastAsia="Calibri"/>
                <w:b/>
                <w:sz w:val="20"/>
                <w:szCs w:val="20"/>
                <w:lang w:val="es-NI"/>
              </w:rPr>
              <w:t xml:space="preserve"> . El Salvador. Casos nuevos de VIH en adolescentes, 2018-2020</w:t>
            </w:r>
          </w:p>
          <w:tbl>
            <w:tblPr>
              <w:tblW w:w="6150"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03"/>
              <w:gridCol w:w="1103"/>
              <w:gridCol w:w="958"/>
              <w:gridCol w:w="958"/>
              <w:gridCol w:w="958"/>
              <w:gridCol w:w="1070"/>
            </w:tblGrid>
            <w:tr w:rsidR="009278C5" w:rsidRPr="00A56294" w14:paraId="18755F95" w14:textId="77777777" w:rsidTr="009278C5">
              <w:trPr>
                <w:jc w:val="center"/>
              </w:trPr>
              <w:tc>
                <w:tcPr>
                  <w:tcW w:w="1103" w:type="dxa"/>
                  <w:vMerge w:val="restart"/>
                  <w:shd w:val="clear" w:color="auto" w:fill="auto"/>
                  <w:vAlign w:val="center"/>
                </w:tcPr>
                <w:p w14:paraId="52EA0E50" w14:textId="77777777" w:rsidR="009278C5" w:rsidRPr="00BB290E" w:rsidRDefault="009278C5" w:rsidP="009278C5">
                  <w:pPr>
                    <w:spacing w:after="0" w:line="240" w:lineRule="auto"/>
                    <w:jc w:val="center"/>
                    <w:rPr>
                      <w:rFonts w:eastAsia="Calibri"/>
                      <w:b/>
                      <w:sz w:val="20"/>
                      <w:szCs w:val="20"/>
                      <w:lang w:val="es-NI"/>
                    </w:rPr>
                  </w:pPr>
                  <w:r w:rsidRPr="00BB290E">
                    <w:rPr>
                      <w:rFonts w:eastAsia="Calibri"/>
                      <w:b/>
                      <w:sz w:val="20"/>
                      <w:szCs w:val="20"/>
                      <w:lang w:val="es-NI"/>
                    </w:rPr>
                    <w:t>Edad</w:t>
                  </w:r>
                </w:p>
              </w:tc>
              <w:tc>
                <w:tcPr>
                  <w:tcW w:w="1103" w:type="dxa"/>
                  <w:vMerge w:val="restart"/>
                  <w:shd w:val="clear" w:color="auto" w:fill="auto"/>
                  <w:vAlign w:val="center"/>
                </w:tcPr>
                <w:p w14:paraId="7833FCEF" w14:textId="77777777" w:rsidR="009278C5" w:rsidRPr="00BB290E" w:rsidRDefault="009278C5" w:rsidP="009278C5">
                  <w:pPr>
                    <w:spacing w:after="0" w:line="240" w:lineRule="auto"/>
                    <w:jc w:val="center"/>
                    <w:rPr>
                      <w:rFonts w:eastAsia="Calibri"/>
                      <w:b/>
                      <w:sz w:val="20"/>
                      <w:szCs w:val="20"/>
                      <w:lang w:val="es-NI"/>
                    </w:rPr>
                  </w:pPr>
                  <w:r w:rsidRPr="00BB290E">
                    <w:rPr>
                      <w:rFonts w:eastAsia="Calibri"/>
                      <w:b/>
                      <w:sz w:val="20"/>
                      <w:szCs w:val="20"/>
                      <w:lang w:val="es-NI"/>
                    </w:rPr>
                    <w:t>Sexo</w:t>
                  </w:r>
                </w:p>
              </w:tc>
              <w:tc>
                <w:tcPr>
                  <w:tcW w:w="2874" w:type="dxa"/>
                  <w:gridSpan w:val="3"/>
                  <w:shd w:val="clear" w:color="auto" w:fill="auto"/>
                  <w:vAlign w:val="center"/>
                </w:tcPr>
                <w:p w14:paraId="7D7B4FE9" w14:textId="77777777" w:rsidR="009278C5" w:rsidRPr="00BB290E" w:rsidRDefault="009278C5" w:rsidP="009278C5">
                  <w:pPr>
                    <w:spacing w:after="0" w:line="240" w:lineRule="auto"/>
                    <w:jc w:val="center"/>
                    <w:rPr>
                      <w:rFonts w:eastAsia="Calibri"/>
                      <w:b/>
                      <w:sz w:val="20"/>
                      <w:szCs w:val="20"/>
                      <w:lang w:val="es-NI"/>
                    </w:rPr>
                  </w:pPr>
                  <w:r w:rsidRPr="00BB290E">
                    <w:rPr>
                      <w:rFonts w:eastAsia="Calibri"/>
                      <w:b/>
                      <w:sz w:val="20"/>
                      <w:szCs w:val="20"/>
                      <w:lang w:val="es-NI"/>
                    </w:rPr>
                    <w:t>Año</w:t>
                  </w:r>
                </w:p>
              </w:tc>
              <w:tc>
                <w:tcPr>
                  <w:tcW w:w="1070" w:type="dxa"/>
                  <w:vMerge w:val="restart"/>
                  <w:shd w:val="clear" w:color="auto" w:fill="auto"/>
                  <w:vAlign w:val="center"/>
                </w:tcPr>
                <w:p w14:paraId="7EB59DD8" w14:textId="77777777" w:rsidR="009278C5" w:rsidRPr="00BB290E" w:rsidRDefault="009278C5" w:rsidP="009278C5">
                  <w:pPr>
                    <w:spacing w:after="0" w:line="240" w:lineRule="auto"/>
                    <w:jc w:val="center"/>
                    <w:rPr>
                      <w:rFonts w:eastAsia="Calibri"/>
                      <w:b/>
                      <w:sz w:val="20"/>
                      <w:szCs w:val="20"/>
                      <w:lang w:val="es-NI"/>
                    </w:rPr>
                  </w:pPr>
                  <w:r w:rsidRPr="00BB290E">
                    <w:rPr>
                      <w:rFonts w:eastAsia="Calibri"/>
                      <w:b/>
                      <w:sz w:val="20"/>
                      <w:szCs w:val="20"/>
                      <w:lang w:val="es-NI"/>
                    </w:rPr>
                    <w:t>Total</w:t>
                  </w:r>
                </w:p>
              </w:tc>
            </w:tr>
            <w:tr w:rsidR="009278C5" w:rsidRPr="00A56294" w14:paraId="490A6ED8" w14:textId="77777777" w:rsidTr="009278C5">
              <w:trPr>
                <w:jc w:val="center"/>
              </w:trPr>
              <w:tc>
                <w:tcPr>
                  <w:tcW w:w="1103" w:type="dxa"/>
                  <w:vMerge/>
                  <w:shd w:val="clear" w:color="auto" w:fill="auto"/>
                  <w:vAlign w:val="center"/>
                </w:tcPr>
                <w:p w14:paraId="69E09132" w14:textId="77777777" w:rsidR="009278C5" w:rsidRPr="00BB290E" w:rsidRDefault="009278C5" w:rsidP="009278C5">
                  <w:pPr>
                    <w:spacing w:after="0" w:line="240" w:lineRule="auto"/>
                    <w:rPr>
                      <w:rFonts w:eastAsia="Calibri"/>
                      <w:sz w:val="20"/>
                      <w:szCs w:val="20"/>
                      <w:lang w:val="es-NI"/>
                    </w:rPr>
                  </w:pPr>
                </w:p>
              </w:tc>
              <w:tc>
                <w:tcPr>
                  <w:tcW w:w="1103" w:type="dxa"/>
                  <w:vMerge/>
                  <w:shd w:val="clear" w:color="auto" w:fill="auto"/>
                  <w:vAlign w:val="center"/>
                </w:tcPr>
                <w:p w14:paraId="672F2299" w14:textId="77777777" w:rsidR="009278C5" w:rsidRPr="00BB290E" w:rsidRDefault="009278C5" w:rsidP="009278C5">
                  <w:pPr>
                    <w:spacing w:after="0" w:line="240" w:lineRule="auto"/>
                    <w:rPr>
                      <w:rFonts w:eastAsia="Calibri"/>
                      <w:sz w:val="20"/>
                      <w:szCs w:val="20"/>
                      <w:lang w:val="es-NI"/>
                    </w:rPr>
                  </w:pPr>
                </w:p>
              </w:tc>
              <w:tc>
                <w:tcPr>
                  <w:tcW w:w="958" w:type="dxa"/>
                  <w:shd w:val="clear" w:color="auto" w:fill="auto"/>
                  <w:vAlign w:val="center"/>
                </w:tcPr>
                <w:p w14:paraId="164F35F4" w14:textId="77777777" w:rsidR="009278C5" w:rsidRPr="00BB290E" w:rsidRDefault="009278C5" w:rsidP="009278C5">
                  <w:pPr>
                    <w:spacing w:after="0" w:line="240" w:lineRule="auto"/>
                    <w:jc w:val="center"/>
                    <w:rPr>
                      <w:rFonts w:eastAsia="Calibri"/>
                      <w:b/>
                      <w:sz w:val="20"/>
                      <w:szCs w:val="20"/>
                      <w:lang w:val="es-NI"/>
                    </w:rPr>
                  </w:pPr>
                  <w:r w:rsidRPr="00BB290E">
                    <w:rPr>
                      <w:rFonts w:eastAsia="Calibri"/>
                      <w:b/>
                      <w:sz w:val="20"/>
                      <w:szCs w:val="20"/>
                      <w:lang w:val="es-NI"/>
                    </w:rPr>
                    <w:t>2018</w:t>
                  </w:r>
                </w:p>
              </w:tc>
              <w:tc>
                <w:tcPr>
                  <w:tcW w:w="958" w:type="dxa"/>
                  <w:shd w:val="clear" w:color="auto" w:fill="auto"/>
                  <w:vAlign w:val="center"/>
                </w:tcPr>
                <w:p w14:paraId="77D59A78" w14:textId="77777777" w:rsidR="009278C5" w:rsidRPr="00BB290E" w:rsidRDefault="009278C5" w:rsidP="009278C5">
                  <w:pPr>
                    <w:spacing w:after="0" w:line="240" w:lineRule="auto"/>
                    <w:jc w:val="center"/>
                    <w:rPr>
                      <w:rFonts w:eastAsia="Calibri"/>
                      <w:b/>
                      <w:sz w:val="20"/>
                      <w:szCs w:val="20"/>
                      <w:lang w:val="es-NI"/>
                    </w:rPr>
                  </w:pPr>
                  <w:r w:rsidRPr="00BB290E">
                    <w:rPr>
                      <w:rFonts w:eastAsia="Calibri"/>
                      <w:b/>
                      <w:sz w:val="20"/>
                      <w:szCs w:val="20"/>
                      <w:lang w:val="es-NI"/>
                    </w:rPr>
                    <w:t>2019</w:t>
                  </w:r>
                </w:p>
              </w:tc>
              <w:tc>
                <w:tcPr>
                  <w:tcW w:w="958" w:type="dxa"/>
                  <w:shd w:val="clear" w:color="auto" w:fill="auto"/>
                  <w:vAlign w:val="center"/>
                </w:tcPr>
                <w:p w14:paraId="5893DCB6" w14:textId="77777777" w:rsidR="009278C5" w:rsidRPr="00BB290E" w:rsidRDefault="009278C5" w:rsidP="009278C5">
                  <w:pPr>
                    <w:spacing w:after="0" w:line="240" w:lineRule="auto"/>
                    <w:jc w:val="center"/>
                    <w:rPr>
                      <w:rFonts w:eastAsia="Calibri"/>
                      <w:b/>
                      <w:sz w:val="20"/>
                      <w:szCs w:val="20"/>
                      <w:lang w:val="es-NI"/>
                    </w:rPr>
                  </w:pPr>
                  <w:r w:rsidRPr="00BB290E">
                    <w:rPr>
                      <w:rFonts w:eastAsia="Calibri"/>
                      <w:b/>
                      <w:sz w:val="20"/>
                      <w:szCs w:val="20"/>
                      <w:lang w:val="es-NI"/>
                    </w:rPr>
                    <w:t>2020</w:t>
                  </w:r>
                  <w:r w:rsidRPr="00BB290E">
                    <w:rPr>
                      <w:rFonts w:eastAsia="Calibri"/>
                      <w:b/>
                      <w:sz w:val="20"/>
                      <w:szCs w:val="20"/>
                      <w:vertAlign w:val="superscript"/>
                      <w:lang w:val="es-NI"/>
                    </w:rPr>
                    <w:t>/*</w:t>
                  </w:r>
                </w:p>
              </w:tc>
              <w:tc>
                <w:tcPr>
                  <w:tcW w:w="1070" w:type="dxa"/>
                  <w:vMerge/>
                  <w:shd w:val="clear" w:color="auto" w:fill="auto"/>
                  <w:vAlign w:val="center"/>
                </w:tcPr>
                <w:p w14:paraId="3B871A58" w14:textId="77777777" w:rsidR="009278C5" w:rsidRPr="00BB290E" w:rsidRDefault="009278C5" w:rsidP="009278C5">
                  <w:pPr>
                    <w:spacing w:after="0" w:line="240" w:lineRule="auto"/>
                    <w:rPr>
                      <w:rFonts w:eastAsia="Calibri"/>
                      <w:sz w:val="20"/>
                      <w:szCs w:val="20"/>
                      <w:lang w:val="es-NI"/>
                    </w:rPr>
                  </w:pPr>
                </w:p>
              </w:tc>
            </w:tr>
            <w:tr w:rsidR="009278C5" w:rsidRPr="00A56294" w14:paraId="45762E9F" w14:textId="77777777" w:rsidTr="009278C5">
              <w:trPr>
                <w:jc w:val="center"/>
              </w:trPr>
              <w:tc>
                <w:tcPr>
                  <w:tcW w:w="1103" w:type="dxa"/>
                  <w:vMerge w:val="restart"/>
                  <w:shd w:val="clear" w:color="auto" w:fill="auto"/>
                  <w:vAlign w:val="center"/>
                </w:tcPr>
                <w:p w14:paraId="304B3C3F" w14:textId="77777777" w:rsidR="009278C5" w:rsidRPr="00BB290E" w:rsidRDefault="009278C5" w:rsidP="009278C5">
                  <w:pPr>
                    <w:spacing w:after="0" w:line="240" w:lineRule="auto"/>
                    <w:rPr>
                      <w:rFonts w:eastAsia="Calibri"/>
                      <w:b/>
                      <w:sz w:val="20"/>
                      <w:szCs w:val="20"/>
                      <w:lang w:val="es-NI"/>
                    </w:rPr>
                  </w:pPr>
                  <w:r w:rsidRPr="00BB290E">
                    <w:rPr>
                      <w:rFonts w:eastAsia="Calibri"/>
                      <w:b/>
                      <w:sz w:val="20"/>
                      <w:szCs w:val="20"/>
                      <w:lang w:val="es-NI"/>
                    </w:rPr>
                    <w:t>10 a 14</w:t>
                  </w:r>
                </w:p>
              </w:tc>
              <w:tc>
                <w:tcPr>
                  <w:tcW w:w="1103" w:type="dxa"/>
                  <w:shd w:val="clear" w:color="auto" w:fill="F2F2F2"/>
                  <w:vAlign w:val="center"/>
                </w:tcPr>
                <w:p w14:paraId="51530651" w14:textId="77777777" w:rsidR="009278C5" w:rsidRPr="00BB290E" w:rsidRDefault="009278C5" w:rsidP="009278C5">
                  <w:pPr>
                    <w:spacing w:after="0" w:line="240" w:lineRule="auto"/>
                    <w:rPr>
                      <w:rFonts w:eastAsia="Calibri"/>
                      <w:sz w:val="20"/>
                      <w:szCs w:val="20"/>
                      <w:lang w:val="es-NI"/>
                    </w:rPr>
                  </w:pPr>
                  <w:r w:rsidRPr="00BB290E">
                    <w:rPr>
                      <w:rFonts w:eastAsia="Calibri"/>
                      <w:sz w:val="20"/>
                      <w:szCs w:val="20"/>
                      <w:lang w:val="es-NI"/>
                    </w:rPr>
                    <w:t>Hombres</w:t>
                  </w:r>
                </w:p>
              </w:tc>
              <w:tc>
                <w:tcPr>
                  <w:tcW w:w="958" w:type="dxa"/>
                  <w:shd w:val="clear" w:color="auto" w:fill="F2F2F2"/>
                  <w:vAlign w:val="center"/>
                </w:tcPr>
                <w:p w14:paraId="79262B90" w14:textId="77777777" w:rsidR="009278C5" w:rsidRPr="00BB290E" w:rsidRDefault="009278C5" w:rsidP="009278C5">
                  <w:pPr>
                    <w:spacing w:after="0" w:line="240" w:lineRule="auto"/>
                    <w:ind w:right="409"/>
                    <w:jc w:val="right"/>
                    <w:rPr>
                      <w:rFonts w:eastAsia="Calibri"/>
                      <w:sz w:val="20"/>
                      <w:szCs w:val="20"/>
                      <w:lang w:val="es-NI"/>
                    </w:rPr>
                  </w:pPr>
                  <w:r w:rsidRPr="00BB290E">
                    <w:rPr>
                      <w:rFonts w:eastAsia="Calibri"/>
                      <w:sz w:val="20"/>
                      <w:szCs w:val="20"/>
                      <w:lang w:val="es-NI"/>
                    </w:rPr>
                    <w:t>1</w:t>
                  </w:r>
                </w:p>
              </w:tc>
              <w:tc>
                <w:tcPr>
                  <w:tcW w:w="958" w:type="dxa"/>
                  <w:shd w:val="clear" w:color="auto" w:fill="F2F2F2"/>
                  <w:vAlign w:val="center"/>
                </w:tcPr>
                <w:p w14:paraId="486220DC" w14:textId="77777777" w:rsidR="009278C5" w:rsidRPr="00BB290E" w:rsidRDefault="009278C5" w:rsidP="009278C5">
                  <w:pPr>
                    <w:spacing w:after="0" w:line="240" w:lineRule="auto"/>
                    <w:ind w:right="409"/>
                    <w:jc w:val="right"/>
                    <w:rPr>
                      <w:rFonts w:eastAsia="Calibri"/>
                      <w:sz w:val="20"/>
                      <w:szCs w:val="20"/>
                      <w:lang w:val="es-NI"/>
                    </w:rPr>
                  </w:pPr>
                  <w:r w:rsidRPr="00BB290E">
                    <w:rPr>
                      <w:rFonts w:eastAsia="Calibri"/>
                      <w:sz w:val="20"/>
                      <w:szCs w:val="20"/>
                      <w:lang w:val="es-NI"/>
                    </w:rPr>
                    <w:t>1</w:t>
                  </w:r>
                </w:p>
              </w:tc>
              <w:tc>
                <w:tcPr>
                  <w:tcW w:w="958" w:type="dxa"/>
                  <w:shd w:val="clear" w:color="auto" w:fill="F2F2F2"/>
                  <w:vAlign w:val="center"/>
                </w:tcPr>
                <w:p w14:paraId="779360F9" w14:textId="77777777" w:rsidR="009278C5" w:rsidRPr="00BB290E" w:rsidRDefault="009278C5" w:rsidP="009278C5">
                  <w:pPr>
                    <w:spacing w:after="0" w:line="240" w:lineRule="auto"/>
                    <w:ind w:right="409"/>
                    <w:jc w:val="right"/>
                    <w:rPr>
                      <w:rFonts w:eastAsia="Calibri"/>
                      <w:sz w:val="20"/>
                      <w:szCs w:val="20"/>
                      <w:lang w:val="es-NI"/>
                    </w:rPr>
                  </w:pPr>
                  <w:r w:rsidRPr="00BB290E">
                    <w:rPr>
                      <w:rFonts w:eastAsia="Calibri"/>
                      <w:sz w:val="20"/>
                      <w:szCs w:val="20"/>
                      <w:lang w:val="es-NI"/>
                    </w:rPr>
                    <w:t>1</w:t>
                  </w:r>
                </w:p>
              </w:tc>
              <w:tc>
                <w:tcPr>
                  <w:tcW w:w="1070" w:type="dxa"/>
                  <w:shd w:val="clear" w:color="auto" w:fill="F2F2F2"/>
                  <w:vAlign w:val="center"/>
                </w:tcPr>
                <w:p w14:paraId="6BFC347A" w14:textId="77777777" w:rsidR="009278C5" w:rsidRPr="00BB290E" w:rsidRDefault="009278C5" w:rsidP="009278C5">
                  <w:pPr>
                    <w:spacing w:after="0" w:line="240" w:lineRule="auto"/>
                    <w:ind w:right="409"/>
                    <w:jc w:val="right"/>
                    <w:rPr>
                      <w:rFonts w:eastAsia="Calibri"/>
                      <w:b/>
                      <w:sz w:val="20"/>
                      <w:szCs w:val="20"/>
                      <w:lang w:val="es-NI"/>
                    </w:rPr>
                  </w:pPr>
                  <w:r w:rsidRPr="00BB290E">
                    <w:rPr>
                      <w:rFonts w:eastAsia="Calibri"/>
                      <w:b/>
                      <w:sz w:val="20"/>
                      <w:szCs w:val="20"/>
                      <w:lang w:val="es-NI"/>
                    </w:rPr>
                    <w:t>3</w:t>
                  </w:r>
                </w:p>
              </w:tc>
            </w:tr>
            <w:tr w:rsidR="009278C5" w:rsidRPr="00A56294" w14:paraId="6E2AEF66" w14:textId="77777777" w:rsidTr="009278C5">
              <w:trPr>
                <w:jc w:val="center"/>
              </w:trPr>
              <w:tc>
                <w:tcPr>
                  <w:tcW w:w="1103" w:type="dxa"/>
                  <w:vMerge/>
                  <w:shd w:val="clear" w:color="auto" w:fill="auto"/>
                  <w:vAlign w:val="center"/>
                </w:tcPr>
                <w:p w14:paraId="61E75ECE" w14:textId="77777777" w:rsidR="009278C5" w:rsidRPr="00BB290E" w:rsidRDefault="009278C5" w:rsidP="009278C5">
                  <w:pPr>
                    <w:spacing w:after="0" w:line="240" w:lineRule="auto"/>
                    <w:rPr>
                      <w:rFonts w:eastAsia="Calibri"/>
                      <w:b/>
                      <w:sz w:val="20"/>
                      <w:szCs w:val="20"/>
                      <w:lang w:val="es-NI"/>
                    </w:rPr>
                  </w:pPr>
                </w:p>
              </w:tc>
              <w:tc>
                <w:tcPr>
                  <w:tcW w:w="1103" w:type="dxa"/>
                  <w:shd w:val="clear" w:color="auto" w:fill="auto"/>
                  <w:vAlign w:val="center"/>
                </w:tcPr>
                <w:p w14:paraId="042CE4E6" w14:textId="77777777" w:rsidR="009278C5" w:rsidRPr="00BB290E" w:rsidRDefault="009278C5" w:rsidP="009278C5">
                  <w:pPr>
                    <w:spacing w:after="0" w:line="240" w:lineRule="auto"/>
                    <w:rPr>
                      <w:rFonts w:eastAsia="Calibri"/>
                      <w:sz w:val="20"/>
                      <w:szCs w:val="20"/>
                      <w:lang w:val="es-NI"/>
                    </w:rPr>
                  </w:pPr>
                  <w:r w:rsidRPr="00BB290E">
                    <w:rPr>
                      <w:rFonts w:eastAsia="Calibri"/>
                      <w:sz w:val="20"/>
                      <w:szCs w:val="20"/>
                      <w:lang w:val="es-NI"/>
                    </w:rPr>
                    <w:t>Mujeres</w:t>
                  </w:r>
                </w:p>
              </w:tc>
              <w:tc>
                <w:tcPr>
                  <w:tcW w:w="958" w:type="dxa"/>
                  <w:shd w:val="clear" w:color="auto" w:fill="auto"/>
                  <w:vAlign w:val="center"/>
                </w:tcPr>
                <w:p w14:paraId="4955F9C9" w14:textId="77777777" w:rsidR="009278C5" w:rsidRPr="00BB290E" w:rsidRDefault="009278C5" w:rsidP="009278C5">
                  <w:pPr>
                    <w:spacing w:after="0" w:line="240" w:lineRule="auto"/>
                    <w:ind w:right="409"/>
                    <w:jc w:val="right"/>
                    <w:rPr>
                      <w:rFonts w:eastAsia="Calibri"/>
                      <w:sz w:val="20"/>
                      <w:szCs w:val="20"/>
                      <w:lang w:val="es-NI"/>
                    </w:rPr>
                  </w:pPr>
                  <w:r w:rsidRPr="00BB290E">
                    <w:rPr>
                      <w:rFonts w:eastAsia="Calibri"/>
                      <w:sz w:val="20"/>
                      <w:szCs w:val="20"/>
                      <w:lang w:val="es-NI"/>
                    </w:rPr>
                    <w:t>0</w:t>
                  </w:r>
                </w:p>
              </w:tc>
              <w:tc>
                <w:tcPr>
                  <w:tcW w:w="958" w:type="dxa"/>
                  <w:shd w:val="clear" w:color="auto" w:fill="auto"/>
                  <w:vAlign w:val="center"/>
                </w:tcPr>
                <w:p w14:paraId="025C70A3" w14:textId="77777777" w:rsidR="009278C5" w:rsidRPr="00BB290E" w:rsidRDefault="009278C5" w:rsidP="009278C5">
                  <w:pPr>
                    <w:spacing w:after="0" w:line="240" w:lineRule="auto"/>
                    <w:ind w:right="409"/>
                    <w:jc w:val="right"/>
                    <w:rPr>
                      <w:rFonts w:eastAsia="Calibri"/>
                      <w:sz w:val="20"/>
                      <w:szCs w:val="20"/>
                      <w:lang w:val="es-NI"/>
                    </w:rPr>
                  </w:pPr>
                  <w:r w:rsidRPr="00BB290E">
                    <w:rPr>
                      <w:rFonts w:eastAsia="Calibri"/>
                      <w:sz w:val="20"/>
                      <w:szCs w:val="20"/>
                      <w:lang w:val="es-NI"/>
                    </w:rPr>
                    <w:t>2</w:t>
                  </w:r>
                </w:p>
              </w:tc>
              <w:tc>
                <w:tcPr>
                  <w:tcW w:w="958" w:type="dxa"/>
                  <w:shd w:val="clear" w:color="auto" w:fill="auto"/>
                  <w:vAlign w:val="center"/>
                </w:tcPr>
                <w:p w14:paraId="2F59BDCF" w14:textId="77777777" w:rsidR="009278C5" w:rsidRPr="00BB290E" w:rsidRDefault="009278C5" w:rsidP="009278C5">
                  <w:pPr>
                    <w:spacing w:after="0" w:line="240" w:lineRule="auto"/>
                    <w:ind w:right="409"/>
                    <w:jc w:val="right"/>
                    <w:rPr>
                      <w:rFonts w:eastAsia="Calibri"/>
                      <w:sz w:val="20"/>
                      <w:szCs w:val="20"/>
                      <w:lang w:val="es-NI"/>
                    </w:rPr>
                  </w:pPr>
                  <w:r w:rsidRPr="00BB290E">
                    <w:rPr>
                      <w:rFonts w:eastAsia="Calibri"/>
                      <w:sz w:val="20"/>
                      <w:szCs w:val="20"/>
                      <w:lang w:val="es-NI"/>
                    </w:rPr>
                    <w:t>2</w:t>
                  </w:r>
                </w:p>
              </w:tc>
              <w:tc>
                <w:tcPr>
                  <w:tcW w:w="1070" w:type="dxa"/>
                  <w:shd w:val="clear" w:color="auto" w:fill="auto"/>
                  <w:vAlign w:val="center"/>
                </w:tcPr>
                <w:p w14:paraId="20D38891" w14:textId="77777777" w:rsidR="009278C5" w:rsidRPr="00BB290E" w:rsidRDefault="009278C5" w:rsidP="009278C5">
                  <w:pPr>
                    <w:spacing w:after="0" w:line="240" w:lineRule="auto"/>
                    <w:ind w:right="409"/>
                    <w:jc w:val="right"/>
                    <w:rPr>
                      <w:rFonts w:eastAsia="Calibri"/>
                      <w:b/>
                      <w:sz w:val="20"/>
                      <w:szCs w:val="20"/>
                      <w:lang w:val="es-NI"/>
                    </w:rPr>
                  </w:pPr>
                  <w:r w:rsidRPr="00BB290E">
                    <w:rPr>
                      <w:rFonts w:eastAsia="Calibri"/>
                      <w:b/>
                      <w:sz w:val="20"/>
                      <w:szCs w:val="20"/>
                      <w:lang w:val="es-NI"/>
                    </w:rPr>
                    <w:t>4</w:t>
                  </w:r>
                </w:p>
              </w:tc>
            </w:tr>
            <w:tr w:rsidR="009278C5" w:rsidRPr="00A56294" w14:paraId="7F4ED486" w14:textId="77777777" w:rsidTr="009278C5">
              <w:trPr>
                <w:jc w:val="center"/>
              </w:trPr>
              <w:tc>
                <w:tcPr>
                  <w:tcW w:w="1103" w:type="dxa"/>
                  <w:vMerge/>
                  <w:shd w:val="clear" w:color="auto" w:fill="auto"/>
                  <w:vAlign w:val="center"/>
                </w:tcPr>
                <w:p w14:paraId="002F1C43" w14:textId="77777777" w:rsidR="009278C5" w:rsidRPr="00BB290E" w:rsidRDefault="009278C5" w:rsidP="009278C5">
                  <w:pPr>
                    <w:spacing w:after="0" w:line="240" w:lineRule="auto"/>
                    <w:rPr>
                      <w:rFonts w:eastAsia="Calibri"/>
                      <w:b/>
                      <w:sz w:val="20"/>
                      <w:szCs w:val="20"/>
                      <w:lang w:val="es-NI"/>
                    </w:rPr>
                  </w:pPr>
                </w:p>
              </w:tc>
              <w:tc>
                <w:tcPr>
                  <w:tcW w:w="1103" w:type="dxa"/>
                  <w:shd w:val="clear" w:color="auto" w:fill="D9D9D9"/>
                  <w:vAlign w:val="center"/>
                </w:tcPr>
                <w:p w14:paraId="2A5BE1BA" w14:textId="77777777" w:rsidR="009278C5" w:rsidRPr="00BB290E" w:rsidRDefault="009278C5" w:rsidP="009278C5">
                  <w:pPr>
                    <w:spacing w:after="0" w:line="240" w:lineRule="auto"/>
                    <w:rPr>
                      <w:rFonts w:eastAsia="Calibri"/>
                      <w:i/>
                      <w:sz w:val="20"/>
                      <w:szCs w:val="20"/>
                      <w:lang w:val="es-NI"/>
                    </w:rPr>
                  </w:pPr>
                  <w:r w:rsidRPr="00BB290E">
                    <w:rPr>
                      <w:rFonts w:eastAsia="Calibri"/>
                      <w:i/>
                      <w:sz w:val="20"/>
                      <w:szCs w:val="20"/>
                      <w:lang w:val="es-NI"/>
                    </w:rPr>
                    <w:t>Sub total</w:t>
                  </w:r>
                </w:p>
              </w:tc>
              <w:tc>
                <w:tcPr>
                  <w:tcW w:w="958" w:type="dxa"/>
                  <w:shd w:val="clear" w:color="auto" w:fill="D9D9D9"/>
                  <w:vAlign w:val="center"/>
                </w:tcPr>
                <w:p w14:paraId="21EF5692" w14:textId="77777777" w:rsidR="009278C5" w:rsidRPr="00BB290E" w:rsidRDefault="009278C5" w:rsidP="009278C5">
                  <w:pPr>
                    <w:spacing w:after="0" w:line="240" w:lineRule="auto"/>
                    <w:ind w:right="409"/>
                    <w:jc w:val="right"/>
                    <w:rPr>
                      <w:rFonts w:eastAsia="Calibri"/>
                      <w:i/>
                      <w:sz w:val="20"/>
                      <w:szCs w:val="20"/>
                      <w:lang w:val="es-NI"/>
                    </w:rPr>
                  </w:pPr>
                  <w:r w:rsidRPr="00BB290E">
                    <w:rPr>
                      <w:rFonts w:eastAsia="Calibri"/>
                      <w:i/>
                      <w:sz w:val="20"/>
                      <w:szCs w:val="20"/>
                      <w:lang w:val="es-NI"/>
                    </w:rPr>
                    <w:t>1</w:t>
                  </w:r>
                </w:p>
              </w:tc>
              <w:tc>
                <w:tcPr>
                  <w:tcW w:w="958" w:type="dxa"/>
                  <w:shd w:val="clear" w:color="auto" w:fill="D9D9D9"/>
                  <w:vAlign w:val="center"/>
                </w:tcPr>
                <w:p w14:paraId="75D8D12A" w14:textId="77777777" w:rsidR="009278C5" w:rsidRPr="00BB290E" w:rsidRDefault="009278C5" w:rsidP="009278C5">
                  <w:pPr>
                    <w:spacing w:after="0" w:line="240" w:lineRule="auto"/>
                    <w:ind w:right="409"/>
                    <w:jc w:val="right"/>
                    <w:rPr>
                      <w:rFonts w:eastAsia="Calibri"/>
                      <w:i/>
                      <w:sz w:val="20"/>
                      <w:szCs w:val="20"/>
                      <w:lang w:val="es-NI"/>
                    </w:rPr>
                  </w:pPr>
                  <w:r w:rsidRPr="00BB290E">
                    <w:rPr>
                      <w:rFonts w:eastAsia="Calibri"/>
                      <w:i/>
                      <w:sz w:val="20"/>
                      <w:szCs w:val="20"/>
                      <w:lang w:val="es-NI"/>
                    </w:rPr>
                    <w:t>3</w:t>
                  </w:r>
                </w:p>
              </w:tc>
              <w:tc>
                <w:tcPr>
                  <w:tcW w:w="958" w:type="dxa"/>
                  <w:shd w:val="clear" w:color="auto" w:fill="D9D9D9"/>
                  <w:vAlign w:val="center"/>
                </w:tcPr>
                <w:p w14:paraId="19DD25F5" w14:textId="77777777" w:rsidR="009278C5" w:rsidRPr="00BB290E" w:rsidRDefault="009278C5" w:rsidP="009278C5">
                  <w:pPr>
                    <w:spacing w:after="0" w:line="240" w:lineRule="auto"/>
                    <w:ind w:right="409"/>
                    <w:jc w:val="right"/>
                    <w:rPr>
                      <w:rFonts w:eastAsia="Calibri"/>
                      <w:i/>
                      <w:sz w:val="20"/>
                      <w:szCs w:val="20"/>
                      <w:lang w:val="es-NI"/>
                    </w:rPr>
                  </w:pPr>
                  <w:r w:rsidRPr="00BB290E">
                    <w:rPr>
                      <w:rFonts w:eastAsia="Calibri"/>
                      <w:i/>
                      <w:sz w:val="20"/>
                      <w:szCs w:val="20"/>
                      <w:lang w:val="es-NI"/>
                    </w:rPr>
                    <w:t>3</w:t>
                  </w:r>
                </w:p>
              </w:tc>
              <w:tc>
                <w:tcPr>
                  <w:tcW w:w="1070" w:type="dxa"/>
                  <w:shd w:val="clear" w:color="auto" w:fill="D9D9D9"/>
                  <w:vAlign w:val="center"/>
                </w:tcPr>
                <w:p w14:paraId="5405D87B" w14:textId="77777777" w:rsidR="009278C5" w:rsidRPr="00BB290E" w:rsidRDefault="009278C5" w:rsidP="009278C5">
                  <w:pPr>
                    <w:spacing w:after="0" w:line="240" w:lineRule="auto"/>
                    <w:ind w:right="409"/>
                    <w:jc w:val="right"/>
                    <w:rPr>
                      <w:rFonts w:eastAsia="Calibri"/>
                      <w:b/>
                      <w:i/>
                      <w:sz w:val="20"/>
                      <w:szCs w:val="20"/>
                      <w:lang w:val="es-NI"/>
                    </w:rPr>
                  </w:pPr>
                  <w:r w:rsidRPr="00BB290E">
                    <w:rPr>
                      <w:rFonts w:eastAsia="Calibri"/>
                      <w:b/>
                      <w:i/>
                      <w:sz w:val="20"/>
                      <w:szCs w:val="20"/>
                      <w:lang w:val="es-NI"/>
                    </w:rPr>
                    <w:t>7</w:t>
                  </w:r>
                </w:p>
              </w:tc>
            </w:tr>
            <w:tr w:rsidR="009278C5" w:rsidRPr="00A56294" w14:paraId="6394AF96" w14:textId="77777777" w:rsidTr="009278C5">
              <w:trPr>
                <w:jc w:val="center"/>
              </w:trPr>
              <w:tc>
                <w:tcPr>
                  <w:tcW w:w="1103" w:type="dxa"/>
                  <w:vMerge w:val="restart"/>
                  <w:shd w:val="clear" w:color="auto" w:fill="auto"/>
                  <w:vAlign w:val="center"/>
                </w:tcPr>
                <w:p w14:paraId="0E3C23D3" w14:textId="77777777" w:rsidR="009278C5" w:rsidRPr="00BB290E" w:rsidRDefault="009278C5" w:rsidP="009278C5">
                  <w:pPr>
                    <w:spacing w:after="0" w:line="240" w:lineRule="auto"/>
                    <w:rPr>
                      <w:rFonts w:eastAsia="Calibri"/>
                      <w:b/>
                      <w:sz w:val="20"/>
                      <w:szCs w:val="20"/>
                      <w:lang w:val="es-NI"/>
                    </w:rPr>
                  </w:pPr>
                  <w:r w:rsidRPr="00BB290E">
                    <w:rPr>
                      <w:rFonts w:eastAsia="Calibri"/>
                      <w:b/>
                      <w:sz w:val="20"/>
                      <w:szCs w:val="20"/>
                      <w:lang w:val="es-NI"/>
                    </w:rPr>
                    <w:t>15 a 19</w:t>
                  </w:r>
                </w:p>
              </w:tc>
              <w:tc>
                <w:tcPr>
                  <w:tcW w:w="1103" w:type="dxa"/>
                  <w:shd w:val="clear" w:color="auto" w:fill="F2F2F2"/>
                  <w:vAlign w:val="center"/>
                </w:tcPr>
                <w:p w14:paraId="343714F8" w14:textId="77777777" w:rsidR="009278C5" w:rsidRPr="00BB290E" w:rsidRDefault="009278C5" w:rsidP="009278C5">
                  <w:pPr>
                    <w:spacing w:after="0" w:line="240" w:lineRule="auto"/>
                    <w:rPr>
                      <w:rFonts w:eastAsia="Calibri"/>
                      <w:sz w:val="20"/>
                      <w:szCs w:val="20"/>
                      <w:lang w:val="es-NI"/>
                    </w:rPr>
                  </w:pPr>
                  <w:r w:rsidRPr="00BB290E">
                    <w:rPr>
                      <w:rFonts w:eastAsia="Calibri"/>
                      <w:sz w:val="20"/>
                      <w:szCs w:val="20"/>
                      <w:lang w:val="es-NI"/>
                    </w:rPr>
                    <w:t>Hombres</w:t>
                  </w:r>
                </w:p>
              </w:tc>
              <w:tc>
                <w:tcPr>
                  <w:tcW w:w="958" w:type="dxa"/>
                  <w:shd w:val="clear" w:color="auto" w:fill="F2F2F2"/>
                  <w:vAlign w:val="center"/>
                </w:tcPr>
                <w:p w14:paraId="402C343A" w14:textId="77777777" w:rsidR="009278C5" w:rsidRPr="00BB290E" w:rsidRDefault="009278C5" w:rsidP="009278C5">
                  <w:pPr>
                    <w:spacing w:after="0" w:line="240" w:lineRule="auto"/>
                    <w:ind w:right="409"/>
                    <w:jc w:val="right"/>
                    <w:rPr>
                      <w:rFonts w:eastAsia="Calibri"/>
                      <w:sz w:val="20"/>
                      <w:szCs w:val="20"/>
                      <w:lang w:val="es-NI"/>
                    </w:rPr>
                  </w:pPr>
                  <w:r w:rsidRPr="00BB290E">
                    <w:rPr>
                      <w:rFonts w:eastAsia="Calibri"/>
                      <w:sz w:val="20"/>
                      <w:szCs w:val="20"/>
                      <w:lang w:val="es-NI"/>
                    </w:rPr>
                    <w:t>50</w:t>
                  </w:r>
                </w:p>
              </w:tc>
              <w:tc>
                <w:tcPr>
                  <w:tcW w:w="958" w:type="dxa"/>
                  <w:shd w:val="clear" w:color="auto" w:fill="F2F2F2"/>
                  <w:vAlign w:val="center"/>
                </w:tcPr>
                <w:p w14:paraId="7ADC6F81" w14:textId="77777777" w:rsidR="009278C5" w:rsidRPr="00BB290E" w:rsidRDefault="009278C5" w:rsidP="009278C5">
                  <w:pPr>
                    <w:spacing w:after="0" w:line="240" w:lineRule="auto"/>
                    <w:ind w:right="409"/>
                    <w:jc w:val="right"/>
                    <w:rPr>
                      <w:rFonts w:eastAsia="Calibri"/>
                      <w:sz w:val="20"/>
                      <w:szCs w:val="20"/>
                      <w:lang w:val="es-NI"/>
                    </w:rPr>
                  </w:pPr>
                  <w:r w:rsidRPr="00BB290E">
                    <w:rPr>
                      <w:rFonts w:eastAsia="Calibri"/>
                      <w:sz w:val="20"/>
                      <w:szCs w:val="20"/>
                      <w:lang w:val="es-NI"/>
                    </w:rPr>
                    <w:t>33</w:t>
                  </w:r>
                </w:p>
              </w:tc>
              <w:tc>
                <w:tcPr>
                  <w:tcW w:w="958" w:type="dxa"/>
                  <w:shd w:val="clear" w:color="auto" w:fill="F2F2F2"/>
                  <w:vAlign w:val="center"/>
                </w:tcPr>
                <w:p w14:paraId="75AEB147" w14:textId="77777777" w:rsidR="009278C5" w:rsidRPr="00BB290E" w:rsidRDefault="009278C5" w:rsidP="009278C5">
                  <w:pPr>
                    <w:spacing w:after="0" w:line="240" w:lineRule="auto"/>
                    <w:ind w:right="409"/>
                    <w:jc w:val="right"/>
                    <w:rPr>
                      <w:rFonts w:eastAsia="Calibri"/>
                      <w:sz w:val="20"/>
                      <w:szCs w:val="20"/>
                      <w:lang w:val="es-NI"/>
                    </w:rPr>
                  </w:pPr>
                  <w:r w:rsidRPr="00BB290E">
                    <w:rPr>
                      <w:rFonts w:eastAsia="Calibri"/>
                      <w:sz w:val="20"/>
                      <w:szCs w:val="20"/>
                      <w:lang w:val="es-NI"/>
                    </w:rPr>
                    <w:t>19</w:t>
                  </w:r>
                </w:p>
              </w:tc>
              <w:tc>
                <w:tcPr>
                  <w:tcW w:w="1070" w:type="dxa"/>
                  <w:shd w:val="clear" w:color="auto" w:fill="F2F2F2"/>
                  <w:vAlign w:val="center"/>
                </w:tcPr>
                <w:p w14:paraId="49D3F617" w14:textId="77777777" w:rsidR="009278C5" w:rsidRPr="00BB290E" w:rsidRDefault="009278C5" w:rsidP="009278C5">
                  <w:pPr>
                    <w:spacing w:after="0" w:line="240" w:lineRule="auto"/>
                    <w:ind w:right="409"/>
                    <w:jc w:val="right"/>
                    <w:rPr>
                      <w:rFonts w:eastAsia="Calibri"/>
                      <w:b/>
                      <w:sz w:val="20"/>
                      <w:szCs w:val="20"/>
                      <w:lang w:val="es-NI"/>
                    </w:rPr>
                  </w:pPr>
                  <w:r w:rsidRPr="00BB290E">
                    <w:rPr>
                      <w:rFonts w:eastAsia="Calibri"/>
                      <w:b/>
                      <w:sz w:val="20"/>
                      <w:szCs w:val="20"/>
                      <w:lang w:val="es-NI"/>
                    </w:rPr>
                    <w:t>102</w:t>
                  </w:r>
                </w:p>
              </w:tc>
            </w:tr>
            <w:tr w:rsidR="009278C5" w:rsidRPr="00A56294" w14:paraId="0B569E04" w14:textId="77777777" w:rsidTr="009278C5">
              <w:trPr>
                <w:jc w:val="center"/>
              </w:trPr>
              <w:tc>
                <w:tcPr>
                  <w:tcW w:w="1103" w:type="dxa"/>
                  <w:vMerge/>
                  <w:shd w:val="clear" w:color="auto" w:fill="auto"/>
                  <w:vAlign w:val="center"/>
                </w:tcPr>
                <w:p w14:paraId="5A210886" w14:textId="77777777" w:rsidR="009278C5" w:rsidRPr="00BB290E" w:rsidRDefault="009278C5" w:rsidP="009278C5">
                  <w:pPr>
                    <w:spacing w:after="0" w:line="240" w:lineRule="auto"/>
                    <w:rPr>
                      <w:rFonts w:eastAsia="Calibri"/>
                      <w:b/>
                      <w:sz w:val="20"/>
                      <w:szCs w:val="20"/>
                      <w:lang w:val="es-NI"/>
                    </w:rPr>
                  </w:pPr>
                </w:p>
              </w:tc>
              <w:tc>
                <w:tcPr>
                  <w:tcW w:w="1103" w:type="dxa"/>
                  <w:shd w:val="clear" w:color="auto" w:fill="auto"/>
                  <w:vAlign w:val="center"/>
                </w:tcPr>
                <w:p w14:paraId="4050E042" w14:textId="77777777" w:rsidR="009278C5" w:rsidRPr="00BB290E" w:rsidRDefault="009278C5" w:rsidP="009278C5">
                  <w:pPr>
                    <w:spacing w:after="0" w:line="240" w:lineRule="auto"/>
                    <w:rPr>
                      <w:rFonts w:eastAsia="Calibri"/>
                      <w:sz w:val="20"/>
                      <w:szCs w:val="20"/>
                      <w:lang w:val="es-NI"/>
                    </w:rPr>
                  </w:pPr>
                  <w:r w:rsidRPr="00BB290E">
                    <w:rPr>
                      <w:rFonts w:eastAsia="Calibri"/>
                      <w:sz w:val="20"/>
                      <w:szCs w:val="20"/>
                      <w:lang w:val="es-NI"/>
                    </w:rPr>
                    <w:t>Mujeres</w:t>
                  </w:r>
                </w:p>
              </w:tc>
              <w:tc>
                <w:tcPr>
                  <w:tcW w:w="958" w:type="dxa"/>
                  <w:shd w:val="clear" w:color="auto" w:fill="auto"/>
                  <w:vAlign w:val="center"/>
                </w:tcPr>
                <w:p w14:paraId="79B82D2C" w14:textId="77777777" w:rsidR="009278C5" w:rsidRPr="00BB290E" w:rsidRDefault="009278C5" w:rsidP="009278C5">
                  <w:pPr>
                    <w:spacing w:after="0" w:line="240" w:lineRule="auto"/>
                    <w:ind w:right="409"/>
                    <w:jc w:val="right"/>
                    <w:rPr>
                      <w:rFonts w:eastAsia="Calibri"/>
                      <w:sz w:val="20"/>
                      <w:szCs w:val="20"/>
                      <w:lang w:val="es-NI"/>
                    </w:rPr>
                  </w:pPr>
                  <w:r w:rsidRPr="00BB290E">
                    <w:rPr>
                      <w:rFonts w:eastAsia="Calibri"/>
                      <w:sz w:val="20"/>
                      <w:szCs w:val="20"/>
                      <w:lang w:val="es-NI"/>
                    </w:rPr>
                    <w:t>15</w:t>
                  </w:r>
                </w:p>
              </w:tc>
              <w:tc>
                <w:tcPr>
                  <w:tcW w:w="958" w:type="dxa"/>
                  <w:shd w:val="clear" w:color="auto" w:fill="auto"/>
                  <w:vAlign w:val="center"/>
                </w:tcPr>
                <w:p w14:paraId="29A9F216" w14:textId="77777777" w:rsidR="009278C5" w:rsidRPr="00BB290E" w:rsidRDefault="009278C5" w:rsidP="009278C5">
                  <w:pPr>
                    <w:spacing w:after="0" w:line="240" w:lineRule="auto"/>
                    <w:ind w:right="409"/>
                    <w:jc w:val="right"/>
                    <w:rPr>
                      <w:rFonts w:eastAsia="Calibri"/>
                      <w:sz w:val="20"/>
                      <w:szCs w:val="20"/>
                      <w:lang w:val="es-NI"/>
                    </w:rPr>
                  </w:pPr>
                  <w:r w:rsidRPr="00BB290E">
                    <w:rPr>
                      <w:rFonts w:eastAsia="Calibri"/>
                      <w:sz w:val="20"/>
                      <w:szCs w:val="20"/>
                      <w:lang w:val="es-NI"/>
                    </w:rPr>
                    <w:t>8</w:t>
                  </w:r>
                </w:p>
              </w:tc>
              <w:tc>
                <w:tcPr>
                  <w:tcW w:w="958" w:type="dxa"/>
                  <w:shd w:val="clear" w:color="auto" w:fill="auto"/>
                  <w:vAlign w:val="center"/>
                </w:tcPr>
                <w:p w14:paraId="77B90EA1" w14:textId="77777777" w:rsidR="009278C5" w:rsidRPr="00BB290E" w:rsidRDefault="009278C5" w:rsidP="009278C5">
                  <w:pPr>
                    <w:spacing w:after="0" w:line="240" w:lineRule="auto"/>
                    <w:ind w:right="409"/>
                    <w:jc w:val="right"/>
                    <w:rPr>
                      <w:rFonts w:eastAsia="Calibri"/>
                      <w:sz w:val="20"/>
                      <w:szCs w:val="20"/>
                      <w:lang w:val="es-NI"/>
                    </w:rPr>
                  </w:pPr>
                  <w:r w:rsidRPr="00BB290E">
                    <w:rPr>
                      <w:rFonts w:eastAsia="Calibri"/>
                      <w:sz w:val="20"/>
                      <w:szCs w:val="20"/>
                      <w:lang w:val="es-NI"/>
                    </w:rPr>
                    <w:t>9</w:t>
                  </w:r>
                </w:p>
              </w:tc>
              <w:tc>
                <w:tcPr>
                  <w:tcW w:w="1070" w:type="dxa"/>
                  <w:shd w:val="clear" w:color="auto" w:fill="auto"/>
                  <w:vAlign w:val="center"/>
                </w:tcPr>
                <w:p w14:paraId="11733220" w14:textId="77777777" w:rsidR="009278C5" w:rsidRPr="00BB290E" w:rsidRDefault="009278C5" w:rsidP="009278C5">
                  <w:pPr>
                    <w:spacing w:after="0" w:line="240" w:lineRule="auto"/>
                    <w:ind w:right="409"/>
                    <w:jc w:val="right"/>
                    <w:rPr>
                      <w:rFonts w:eastAsia="Calibri"/>
                      <w:b/>
                      <w:sz w:val="20"/>
                      <w:szCs w:val="20"/>
                      <w:lang w:val="es-NI"/>
                    </w:rPr>
                  </w:pPr>
                  <w:r w:rsidRPr="00BB290E">
                    <w:rPr>
                      <w:rFonts w:eastAsia="Calibri"/>
                      <w:b/>
                      <w:sz w:val="20"/>
                      <w:szCs w:val="20"/>
                      <w:lang w:val="es-NI"/>
                    </w:rPr>
                    <w:t>32</w:t>
                  </w:r>
                </w:p>
              </w:tc>
            </w:tr>
            <w:tr w:rsidR="009278C5" w:rsidRPr="00A56294" w14:paraId="467183CF" w14:textId="77777777" w:rsidTr="009278C5">
              <w:trPr>
                <w:jc w:val="center"/>
              </w:trPr>
              <w:tc>
                <w:tcPr>
                  <w:tcW w:w="1103" w:type="dxa"/>
                  <w:vMerge/>
                  <w:shd w:val="clear" w:color="auto" w:fill="auto"/>
                  <w:vAlign w:val="center"/>
                </w:tcPr>
                <w:p w14:paraId="14F8AF43" w14:textId="77777777" w:rsidR="009278C5" w:rsidRPr="00BB290E" w:rsidRDefault="009278C5" w:rsidP="009278C5">
                  <w:pPr>
                    <w:spacing w:after="0" w:line="240" w:lineRule="auto"/>
                    <w:rPr>
                      <w:rFonts w:eastAsia="Calibri"/>
                      <w:b/>
                      <w:sz w:val="20"/>
                      <w:szCs w:val="20"/>
                      <w:lang w:val="es-NI"/>
                    </w:rPr>
                  </w:pPr>
                </w:p>
              </w:tc>
              <w:tc>
                <w:tcPr>
                  <w:tcW w:w="1103" w:type="dxa"/>
                  <w:shd w:val="clear" w:color="auto" w:fill="D9D9D9"/>
                  <w:vAlign w:val="center"/>
                </w:tcPr>
                <w:p w14:paraId="23684C79" w14:textId="77777777" w:rsidR="009278C5" w:rsidRPr="00BB290E" w:rsidRDefault="009278C5" w:rsidP="009278C5">
                  <w:pPr>
                    <w:spacing w:after="0" w:line="240" w:lineRule="auto"/>
                    <w:rPr>
                      <w:rFonts w:eastAsia="Calibri"/>
                      <w:i/>
                      <w:sz w:val="20"/>
                      <w:szCs w:val="20"/>
                      <w:lang w:val="es-NI"/>
                    </w:rPr>
                  </w:pPr>
                  <w:r w:rsidRPr="00BB290E">
                    <w:rPr>
                      <w:rFonts w:eastAsia="Calibri"/>
                      <w:i/>
                      <w:sz w:val="20"/>
                      <w:szCs w:val="20"/>
                      <w:lang w:val="es-NI"/>
                    </w:rPr>
                    <w:t>Sub total</w:t>
                  </w:r>
                </w:p>
              </w:tc>
              <w:tc>
                <w:tcPr>
                  <w:tcW w:w="958" w:type="dxa"/>
                  <w:shd w:val="clear" w:color="auto" w:fill="D9D9D9"/>
                  <w:vAlign w:val="center"/>
                </w:tcPr>
                <w:p w14:paraId="734A7B19" w14:textId="77777777" w:rsidR="009278C5" w:rsidRPr="00BB290E" w:rsidRDefault="009278C5" w:rsidP="009278C5">
                  <w:pPr>
                    <w:spacing w:after="0" w:line="240" w:lineRule="auto"/>
                    <w:ind w:right="409"/>
                    <w:jc w:val="right"/>
                    <w:rPr>
                      <w:rFonts w:eastAsia="Calibri"/>
                      <w:i/>
                      <w:sz w:val="20"/>
                      <w:szCs w:val="20"/>
                      <w:lang w:val="es-NI"/>
                    </w:rPr>
                  </w:pPr>
                  <w:r w:rsidRPr="00BB290E">
                    <w:rPr>
                      <w:rFonts w:eastAsia="Calibri"/>
                      <w:i/>
                      <w:sz w:val="20"/>
                      <w:szCs w:val="20"/>
                      <w:lang w:val="es-NI"/>
                    </w:rPr>
                    <w:t>65</w:t>
                  </w:r>
                </w:p>
              </w:tc>
              <w:tc>
                <w:tcPr>
                  <w:tcW w:w="958" w:type="dxa"/>
                  <w:shd w:val="clear" w:color="auto" w:fill="D9D9D9"/>
                  <w:vAlign w:val="center"/>
                </w:tcPr>
                <w:p w14:paraId="0B615051" w14:textId="77777777" w:rsidR="009278C5" w:rsidRPr="00BB290E" w:rsidRDefault="009278C5" w:rsidP="009278C5">
                  <w:pPr>
                    <w:spacing w:after="0" w:line="240" w:lineRule="auto"/>
                    <w:ind w:right="409"/>
                    <w:jc w:val="right"/>
                    <w:rPr>
                      <w:rFonts w:eastAsia="Calibri"/>
                      <w:i/>
                      <w:sz w:val="20"/>
                      <w:szCs w:val="20"/>
                      <w:lang w:val="es-NI"/>
                    </w:rPr>
                  </w:pPr>
                  <w:r w:rsidRPr="00BB290E">
                    <w:rPr>
                      <w:rFonts w:eastAsia="Calibri"/>
                      <w:i/>
                      <w:sz w:val="20"/>
                      <w:szCs w:val="20"/>
                      <w:lang w:val="es-NI"/>
                    </w:rPr>
                    <w:t>41</w:t>
                  </w:r>
                </w:p>
              </w:tc>
              <w:tc>
                <w:tcPr>
                  <w:tcW w:w="958" w:type="dxa"/>
                  <w:shd w:val="clear" w:color="auto" w:fill="D9D9D9"/>
                  <w:vAlign w:val="center"/>
                </w:tcPr>
                <w:p w14:paraId="2F52EBFF" w14:textId="77777777" w:rsidR="009278C5" w:rsidRPr="00BB290E" w:rsidRDefault="009278C5" w:rsidP="009278C5">
                  <w:pPr>
                    <w:spacing w:after="0" w:line="240" w:lineRule="auto"/>
                    <w:ind w:right="409"/>
                    <w:jc w:val="right"/>
                    <w:rPr>
                      <w:rFonts w:eastAsia="Calibri"/>
                      <w:i/>
                      <w:sz w:val="20"/>
                      <w:szCs w:val="20"/>
                      <w:lang w:val="es-NI"/>
                    </w:rPr>
                  </w:pPr>
                  <w:r w:rsidRPr="00BB290E">
                    <w:rPr>
                      <w:rFonts w:eastAsia="Calibri"/>
                      <w:i/>
                      <w:sz w:val="20"/>
                      <w:szCs w:val="20"/>
                      <w:lang w:val="es-NI"/>
                    </w:rPr>
                    <w:t>28</w:t>
                  </w:r>
                </w:p>
              </w:tc>
              <w:tc>
                <w:tcPr>
                  <w:tcW w:w="1070" w:type="dxa"/>
                  <w:shd w:val="clear" w:color="auto" w:fill="D9D9D9"/>
                  <w:vAlign w:val="center"/>
                </w:tcPr>
                <w:p w14:paraId="1B3474CC" w14:textId="77777777" w:rsidR="009278C5" w:rsidRPr="00BB290E" w:rsidRDefault="009278C5" w:rsidP="009278C5">
                  <w:pPr>
                    <w:spacing w:after="0" w:line="240" w:lineRule="auto"/>
                    <w:ind w:right="409"/>
                    <w:jc w:val="right"/>
                    <w:rPr>
                      <w:rFonts w:eastAsia="Calibri"/>
                      <w:b/>
                      <w:i/>
                      <w:sz w:val="20"/>
                      <w:szCs w:val="20"/>
                      <w:lang w:val="es-NI"/>
                    </w:rPr>
                  </w:pPr>
                  <w:r w:rsidRPr="00BB290E">
                    <w:rPr>
                      <w:rFonts w:eastAsia="Calibri"/>
                      <w:b/>
                      <w:i/>
                      <w:sz w:val="20"/>
                      <w:szCs w:val="20"/>
                      <w:lang w:val="es-NI"/>
                    </w:rPr>
                    <w:t>134</w:t>
                  </w:r>
                </w:p>
              </w:tc>
            </w:tr>
            <w:tr w:rsidR="009278C5" w:rsidRPr="00A56294" w14:paraId="11418BCD" w14:textId="77777777" w:rsidTr="009278C5">
              <w:trPr>
                <w:jc w:val="center"/>
              </w:trPr>
              <w:tc>
                <w:tcPr>
                  <w:tcW w:w="1103" w:type="dxa"/>
                  <w:vMerge w:val="restart"/>
                  <w:shd w:val="clear" w:color="auto" w:fill="auto"/>
                  <w:vAlign w:val="center"/>
                </w:tcPr>
                <w:p w14:paraId="0BDA83E7" w14:textId="77777777" w:rsidR="009278C5" w:rsidRPr="00BB290E" w:rsidRDefault="009278C5" w:rsidP="009278C5">
                  <w:pPr>
                    <w:spacing w:after="0" w:line="240" w:lineRule="auto"/>
                    <w:rPr>
                      <w:rFonts w:eastAsia="Calibri"/>
                      <w:b/>
                      <w:sz w:val="20"/>
                      <w:szCs w:val="20"/>
                      <w:lang w:val="es-NI"/>
                    </w:rPr>
                  </w:pPr>
                  <w:r w:rsidRPr="00BB290E">
                    <w:rPr>
                      <w:rFonts w:eastAsia="Calibri"/>
                      <w:b/>
                      <w:sz w:val="20"/>
                      <w:szCs w:val="20"/>
                      <w:lang w:val="es-NI"/>
                    </w:rPr>
                    <w:t>Total</w:t>
                  </w:r>
                </w:p>
              </w:tc>
              <w:tc>
                <w:tcPr>
                  <w:tcW w:w="1103" w:type="dxa"/>
                  <w:shd w:val="clear" w:color="auto" w:fill="F2F2F2"/>
                  <w:vAlign w:val="center"/>
                </w:tcPr>
                <w:p w14:paraId="5902F761" w14:textId="77777777" w:rsidR="009278C5" w:rsidRPr="00BB290E" w:rsidRDefault="009278C5" w:rsidP="009278C5">
                  <w:pPr>
                    <w:spacing w:after="0" w:line="240" w:lineRule="auto"/>
                    <w:rPr>
                      <w:rFonts w:eastAsia="Calibri"/>
                      <w:b/>
                      <w:sz w:val="20"/>
                      <w:szCs w:val="20"/>
                      <w:lang w:val="es-NI"/>
                    </w:rPr>
                  </w:pPr>
                  <w:r w:rsidRPr="00BB290E">
                    <w:rPr>
                      <w:rFonts w:eastAsia="Calibri"/>
                      <w:b/>
                      <w:sz w:val="20"/>
                      <w:szCs w:val="20"/>
                      <w:lang w:val="es-NI"/>
                    </w:rPr>
                    <w:t>Hombres</w:t>
                  </w:r>
                </w:p>
              </w:tc>
              <w:tc>
                <w:tcPr>
                  <w:tcW w:w="958" w:type="dxa"/>
                  <w:shd w:val="clear" w:color="auto" w:fill="F2F2F2"/>
                  <w:vAlign w:val="center"/>
                </w:tcPr>
                <w:p w14:paraId="61D9227F" w14:textId="77777777" w:rsidR="009278C5" w:rsidRPr="00BB290E" w:rsidRDefault="009278C5" w:rsidP="009278C5">
                  <w:pPr>
                    <w:spacing w:after="0" w:line="240" w:lineRule="auto"/>
                    <w:ind w:right="409"/>
                    <w:jc w:val="right"/>
                    <w:rPr>
                      <w:rFonts w:eastAsia="Calibri"/>
                      <w:b/>
                      <w:sz w:val="20"/>
                      <w:szCs w:val="20"/>
                      <w:lang w:val="es-NI"/>
                    </w:rPr>
                  </w:pPr>
                  <w:r w:rsidRPr="00BB290E">
                    <w:rPr>
                      <w:rFonts w:eastAsia="Calibri"/>
                      <w:b/>
                      <w:sz w:val="20"/>
                      <w:szCs w:val="20"/>
                      <w:lang w:val="es-NI"/>
                    </w:rPr>
                    <w:t>51</w:t>
                  </w:r>
                </w:p>
              </w:tc>
              <w:tc>
                <w:tcPr>
                  <w:tcW w:w="958" w:type="dxa"/>
                  <w:shd w:val="clear" w:color="auto" w:fill="F2F2F2"/>
                  <w:vAlign w:val="center"/>
                </w:tcPr>
                <w:p w14:paraId="620D4F4E" w14:textId="77777777" w:rsidR="009278C5" w:rsidRPr="00BB290E" w:rsidRDefault="009278C5" w:rsidP="009278C5">
                  <w:pPr>
                    <w:spacing w:after="0" w:line="240" w:lineRule="auto"/>
                    <w:ind w:right="409"/>
                    <w:jc w:val="right"/>
                    <w:rPr>
                      <w:rFonts w:eastAsia="Calibri"/>
                      <w:b/>
                      <w:sz w:val="20"/>
                      <w:szCs w:val="20"/>
                      <w:lang w:val="es-NI"/>
                    </w:rPr>
                  </w:pPr>
                  <w:r w:rsidRPr="00BB290E">
                    <w:rPr>
                      <w:rFonts w:eastAsia="Calibri"/>
                      <w:b/>
                      <w:sz w:val="20"/>
                      <w:szCs w:val="20"/>
                      <w:lang w:val="es-NI"/>
                    </w:rPr>
                    <w:t>34</w:t>
                  </w:r>
                </w:p>
              </w:tc>
              <w:tc>
                <w:tcPr>
                  <w:tcW w:w="958" w:type="dxa"/>
                  <w:shd w:val="clear" w:color="auto" w:fill="F2F2F2"/>
                  <w:vAlign w:val="center"/>
                </w:tcPr>
                <w:p w14:paraId="33A85621" w14:textId="77777777" w:rsidR="009278C5" w:rsidRPr="00BB290E" w:rsidRDefault="009278C5" w:rsidP="009278C5">
                  <w:pPr>
                    <w:spacing w:after="0" w:line="240" w:lineRule="auto"/>
                    <w:ind w:right="409"/>
                    <w:jc w:val="right"/>
                    <w:rPr>
                      <w:rFonts w:eastAsia="Calibri"/>
                      <w:b/>
                      <w:sz w:val="20"/>
                      <w:szCs w:val="20"/>
                      <w:lang w:val="es-NI"/>
                    </w:rPr>
                  </w:pPr>
                  <w:r w:rsidRPr="00BB290E">
                    <w:rPr>
                      <w:rFonts w:eastAsia="Calibri"/>
                      <w:b/>
                      <w:sz w:val="20"/>
                      <w:szCs w:val="20"/>
                      <w:lang w:val="es-NI"/>
                    </w:rPr>
                    <w:t>20</w:t>
                  </w:r>
                </w:p>
              </w:tc>
              <w:tc>
                <w:tcPr>
                  <w:tcW w:w="1070" w:type="dxa"/>
                  <w:shd w:val="clear" w:color="auto" w:fill="F2F2F2"/>
                  <w:vAlign w:val="center"/>
                </w:tcPr>
                <w:p w14:paraId="5BFCEDF4" w14:textId="77777777" w:rsidR="009278C5" w:rsidRPr="00BB290E" w:rsidRDefault="009278C5" w:rsidP="009278C5">
                  <w:pPr>
                    <w:spacing w:after="0" w:line="240" w:lineRule="auto"/>
                    <w:ind w:right="409"/>
                    <w:jc w:val="right"/>
                    <w:rPr>
                      <w:rFonts w:eastAsia="Calibri"/>
                      <w:b/>
                      <w:sz w:val="20"/>
                      <w:szCs w:val="20"/>
                      <w:lang w:val="es-NI"/>
                    </w:rPr>
                  </w:pPr>
                  <w:r w:rsidRPr="00BB290E">
                    <w:rPr>
                      <w:rFonts w:eastAsia="Calibri"/>
                      <w:b/>
                      <w:sz w:val="20"/>
                      <w:szCs w:val="20"/>
                      <w:lang w:val="es-NI"/>
                    </w:rPr>
                    <w:t>105</w:t>
                  </w:r>
                </w:p>
              </w:tc>
            </w:tr>
            <w:tr w:rsidR="009278C5" w:rsidRPr="00A56294" w14:paraId="54BBB9E4" w14:textId="77777777" w:rsidTr="009278C5">
              <w:trPr>
                <w:jc w:val="center"/>
              </w:trPr>
              <w:tc>
                <w:tcPr>
                  <w:tcW w:w="1103" w:type="dxa"/>
                  <w:vMerge/>
                  <w:shd w:val="clear" w:color="auto" w:fill="auto"/>
                  <w:vAlign w:val="center"/>
                </w:tcPr>
                <w:p w14:paraId="1A9CE901" w14:textId="77777777" w:rsidR="009278C5" w:rsidRPr="00BB290E" w:rsidRDefault="009278C5" w:rsidP="009278C5">
                  <w:pPr>
                    <w:spacing w:after="0" w:line="240" w:lineRule="auto"/>
                    <w:rPr>
                      <w:rFonts w:eastAsia="Calibri"/>
                      <w:sz w:val="20"/>
                      <w:szCs w:val="20"/>
                      <w:lang w:val="es-NI"/>
                    </w:rPr>
                  </w:pPr>
                </w:p>
              </w:tc>
              <w:tc>
                <w:tcPr>
                  <w:tcW w:w="1103" w:type="dxa"/>
                  <w:shd w:val="clear" w:color="auto" w:fill="auto"/>
                  <w:vAlign w:val="center"/>
                </w:tcPr>
                <w:p w14:paraId="10A38151" w14:textId="77777777" w:rsidR="009278C5" w:rsidRPr="00BB290E" w:rsidRDefault="009278C5" w:rsidP="009278C5">
                  <w:pPr>
                    <w:spacing w:after="0" w:line="240" w:lineRule="auto"/>
                    <w:rPr>
                      <w:rFonts w:eastAsia="Calibri"/>
                      <w:b/>
                      <w:sz w:val="20"/>
                      <w:szCs w:val="20"/>
                      <w:lang w:val="es-NI"/>
                    </w:rPr>
                  </w:pPr>
                  <w:r w:rsidRPr="00BB290E">
                    <w:rPr>
                      <w:rFonts w:eastAsia="Calibri"/>
                      <w:b/>
                      <w:sz w:val="20"/>
                      <w:szCs w:val="20"/>
                      <w:lang w:val="es-NI"/>
                    </w:rPr>
                    <w:t>Mujeres</w:t>
                  </w:r>
                </w:p>
              </w:tc>
              <w:tc>
                <w:tcPr>
                  <w:tcW w:w="958" w:type="dxa"/>
                  <w:shd w:val="clear" w:color="auto" w:fill="auto"/>
                  <w:vAlign w:val="center"/>
                </w:tcPr>
                <w:p w14:paraId="6BA4AB82" w14:textId="77777777" w:rsidR="009278C5" w:rsidRPr="00BB290E" w:rsidRDefault="009278C5" w:rsidP="009278C5">
                  <w:pPr>
                    <w:spacing w:after="0" w:line="240" w:lineRule="auto"/>
                    <w:ind w:right="409"/>
                    <w:jc w:val="right"/>
                    <w:rPr>
                      <w:rFonts w:eastAsia="Calibri"/>
                      <w:b/>
                      <w:sz w:val="20"/>
                      <w:szCs w:val="20"/>
                      <w:lang w:val="es-NI"/>
                    </w:rPr>
                  </w:pPr>
                  <w:r w:rsidRPr="00BB290E">
                    <w:rPr>
                      <w:rFonts w:eastAsia="Calibri"/>
                      <w:b/>
                      <w:sz w:val="20"/>
                      <w:szCs w:val="20"/>
                      <w:lang w:val="es-NI"/>
                    </w:rPr>
                    <w:t>15</w:t>
                  </w:r>
                </w:p>
              </w:tc>
              <w:tc>
                <w:tcPr>
                  <w:tcW w:w="958" w:type="dxa"/>
                  <w:shd w:val="clear" w:color="auto" w:fill="auto"/>
                  <w:vAlign w:val="center"/>
                </w:tcPr>
                <w:p w14:paraId="27548513" w14:textId="77777777" w:rsidR="009278C5" w:rsidRPr="00BB290E" w:rsidRDefault="009278C5" w:rsidP="009278C5">
                  <w:pPr>
                    <w:spacing w:after="0" w:line="240" w:lineRule="auto"/>
                    <w:ind w:right="409"/>
                    <w:jc w:val="right"/>
                    <w:rPr>
                      <w:rFonts w:eastAsia="Calibri"/>
                      <w:b/>
                      <w:sz w:val="20"/>
                      <w:szCs w:val="20"/>
                      <w:lang w:val="es-NI"/>
                    </w:rPr>
                  </w:pPr>
                  <w:r w:rsidRPr="00BB290E">
                    <w:rPr>
                      <w:rFonts w:eastAsia="Calibri"/>
                      <w:b/>
                      <w:sz w:val="20"/>
                      <w:szCs w:val="20"/>
                      <w:lang w:val="es-NI"/>
                    </w:rPr>
                    <w:t>10</w:t>
                  </w:r>
                </w:p>
              </w:tc>
              <w:tc>
                <w:tcPr>
                  <w:tcW w:w="958" w:type="dxa"/>
                  <w:shd w:val="clear" w:color="auto" w:fill="auto"/>
                  <w:vAlign w:val="center"/>
                </w:tcPr>
                <w:p w14:paraId="708204A3" w14:textId="77777777" w:rsidR="009278C5" w:rsidRPr="00BB290E" w:rsidRDefault="009278C5" w:rsidP="009278C5">
                  <w:pPr>
                    <w:spacing w:after="0" w:line="240" w:lineRule="auto"/>
                    <w:ind w:right="409"/>
                    <w:jc w:val="right"/>
                    <w:rPr>
                      <w:rFonts w:eastAsia="Calibri"/>
                      <w:b/>
                      <w:sz w:val="20"/>
                      <w:szCs w:val="20"/>
                      <w:lang w:val="es-NI"/>
                    </w:rPr>
                  </w:pPr>
                  <w:r w:rsidRPr="00BB290E">
                    <w:rPr>
                      <w:rFonts w:eastAsia="Calibri"/>
                      <w:b/>
                      <w:sz w:val="20"/>
                      <w:szCs w:val="20"/>
                      <w:lang w:val="es-NI"/>
                    </w:rPr>
                    <w:t>11</w:t>
                  </w:r>
                </w:p>
              </w:tc>
              <w:tc>
                <w:tcPr>
                  <w:tcW w:w="1070" w:type="dxa"/>
                  <w:shd w:val="clear" w:color="auto" w:fill="auto"/>
                  <w:vAlign w:val="center"/>
                </w:tcPr>
                <w:p w14:paraId="46F8E025" w14:textId="77777777" w:rsidR="009278C5" w:rsidRPr="00BB290E" w:rsidRDefault="009278C5" w:rsidP="009278C5">
                  <w:pPr>
                    <w:spacing w:after="0" w:line="240" w:lineRule="auto"/>
                    <w:ind w:right="409"/>
                    <w:jc w:val="right"/>
                    <w:rPr>
                      <w:rFonts w:eastAsia="Calibri"/>
                      <w:b/>
                      <w:sz w:val="20"/>
                      <w:szCs w:val="20"/>
                      <w:lang w:val="es-NI"/>
                    </w:rPr>
                  </w:pPr>
                  <w:r w:rsidRPr="00BB290E">
                    <w:rPr>
                      <w:rFonts w:eastAsia="Calibri"/>
                      <w:b/>
                      <w:sz w:val="20"/>
                      <w:szCs w:val="20"/>
                      <w:lang w:val="es-NI"/>
                    </w:rPr>
                    <w:t>36</w:t>
                  </w:r>
                </w:p>
              </w:tc>
            </w:tr>
            <w:tr w:rsidR="009278C5" w:rsidRPr="00A56294" w14:paraId="59EFA7BE" w14:textId="77777777" w:rsidTr="009278C5">
              <w:trPr>
                <w:jc w:val="center"/>
              </w:trPr>
              <w:tc>
                <w:tcPr>
                  <w:tcW w:w="1103" w:type="dxa"/>
                  <w:vMerge/>
                  <w:shd w:val="clear" w:color="auto" w:fill="auto"/>
                  <w:vAlign w:val="center"/>
                </w:tcPr>
                <w:p w14:paraId="40D7407C" w14:textId="77777777" w:rsidR="009278C5" w:rsidRPr="00BB290E" w:rsidRDefault="009278C5" w:rsidP="009278C5">
                  <w:pPr>
                    <w:spacing w:after="0" w:line="240" w:lineRule="auto"/>
                    <w:rPr>
                      <w:rFonts w:eastAsia="Calibri"/>
                      <w:sz w:val="20"/>
                      <w:szCs w:val="20"/>
                      <w:lang w:val="es-NI"/>
                    </w:rPr>
                  </w:pPr>
                </w:p>
              </w:tc>
              <w:tc>
                <w:tcPr>
                  <w:tcW w:w="1103" w:type="dxa"/>
                  <w:shd w:val="clear" w:color="auto" w:fill="D9D9D9"/>
                  <w:vAlign w:val="center"/>
                </w:tcPr>
                <w:p w14:paraId="1CD1BB07" w14:textId="77777777" w:rsidR="009278C5" w:rsidRPr="00BB290E" w:rsidRDefault="009278C5" w:rsidP="009278C5">
                  <w:pPr>
                    <w:spacing w:after="0" w:line="240" w:lineRule="auto"/>
                    <w:rPr>
                      <w:rFonts w:eastAsia="Calibri"/>
                      <w:b/>
                      <w:sz w:val="20"/>
                      <w:szCs w:val="20"/>
                      <w:lang w:val="es-NI"/>
                    </w:rPr>
                  </w:pPr>
                  <w:r w:rsidRPr="00BB290E">
                    <w:rPr>
                      <w:rFonts w:eastAsia="Calibri"/>
                      <w:b/>
                      <w:sz w:val="20"/>
                      <w:szCs w:val="20"/>
                      <w:lang w:val="es-NI"/>
                    </w:rPr>
                    <w:t>Total</w:t>
                  </w:r>
                </w:p>
              </w:tc>
              <w:tc>
                <w:tcPr>
                  <w:tcW w:w="958" w:type="dxa"/>
                  <w:shd w:val="clear" w:color="auto" w:fill="D9D9D9"/>
                  <w:vAlign w:val="center"/>
                </w:tcPr>
                <w:p w14:paraId="3500B730" w14:textId="77777777" w:rsidR="009278C5" w:rsidRPr="00BB290E" w:rsidRDefault="009278C5" w:rsidP="009278C5">
                  <w:pPr>
                    <w:spacing w:after="0" w:line="240" w:lineRule="auto"/>
                    <w:ind w:right="409"/>
                    <w:jc w:val="right"/>
                    <w:rPr>
                      <w:rFonts w:eastAsia="Calibri"/>
                      <w:b/>
                      <w:sz w:val="20"/>
                      <w:szCs w:val="20"/>
                      <w:lang w:val="es-NI"/>
                    </w:rPr>
                  </w:pPr>
                  <w:r w:rsidRPr="00BB290E">
                    <w:rPr>
                      <w:rFonts w:eastAsia="Calibri"/>
                      <w:b/>
                      <w:sz w:val="20"/>
                      <w:szCs w:val="20"/>
                      <w:lang w:val="es-NI"/>
                    </w:rPr>
                    <w:t>66</w:t>
                  </w:r>
                </w:p>
              </w:tc>
              <w:tc>
                <w:tcPr>
                  <w:tcW w:w="958" w:type="dxa"/>
                  <w:shd w:val="clear" w:color="auto" w:fill="D9D9D9"/>
                  <w:vAlign w:val="center"/>
                </w:tcPr>
                <w:p w14:paraId="77807663" w14:textId="77777777" w:rsidR="009278C5" w:rsidRPr="00BB290E" w:rsidRDefault="009278C5" w:rsidP="009278C5">
                  <w:pPr>
                    <w:spacing w:after="0" w:line="240" w:lineRule="auto"/>
                    <w:ind w:right="409"/>
                    <w:jc w:val="right"/>
                    <w:rPr>
                      <w:rFonts w:eastAsia="Calibri"/>
                      <w:b/>
                      <w:sz w:val="20"/>
                      <w:szCs w:val="20"/>
                      <w:lang w:val="es-NI"/>
                    </w:rPr>
                  </w:pPr>
                  <w:r w:rsidRPr="00BB290E">
                    <w:rPr>
                      <w:rFonts w:eastAsia="Calibri"/>
                      <w:b/>
                      <w:sz w:val="20"/>
                      <w:szCs w:val="20"/>
                      <w:lang w:val="es-NI"/>
                    </w:rPr>
                    <w:t>44</w:t>
                  </w:r>
                </w:p>
              </w:tc>
              <w:tc>
                <w:tcPr>
                  <w:tcW w:w="958" w:type="dxa"/>
                  <w:shd w:val="clear" w:color="auto" w:fill="D9D9D9"/>
                  <w:vAlign w:val="center"/>
                </w:tcPr>
                <w:p w14:paraId="164ABEE3" w14:textId="77777777" w:rsidR="009278C5" w:rsidRPr="00BB290E" w:rsidRDefault="009278C5" w:rsidP="009278C5">
                  <w:pPr>
                    <w:spacing w:after="0" w:line="240" w:lineRule="auto"/>
                    <w:ind w:right="409"/>
                    <w:jc w:val="right"/>
                    <w:rPr>
                      <w:rFonts w:eastAsia="Calibri"/>
                      <w:b/>
                      <w:sz w:val="20"/>
                      <w:szCs w:val="20"/>
                      <w:lang w:val="es-NI"/>
                    </w:rPr>
                  </w:pPr>
                  <w:r w:rsidRPr="00BB290E">
                    <w:rPr>
                      <w:rFonts w:eastAsia="Calibri"/>
                      <w:b/>
                      <w:sz w:val="20"/>
                      <w:szCs w:val="20"/>
                      <w:lang w:val="es-NI"/>
                    </w:rPr>
                    <w:t>31</w:t>
                  </w:r>
                </w:p>
              </w:tc>
              <w:tc>
                <w:tcPr>
                  <w:tcW w:w="1070" w:type="dxa"/>
                  <w:shd w:val="clear" w:color="auto" w:fill="D9D9D9"/>
                  <w:vAlign w:val="center"/>
                </w:tcPr>
                <w:p w14:paraId="4C89B4F3" w14:textId="77777777" w:rsidR="009278C5" w:rsidRPr="00BB290E" w:rsidRDefault="009278C5" w:rsidP="009278C5">
                  <w:pPr>
                    <w:spacing w:after="0" w:line="240" w:lineRule="auto"/>
                    <w:ind w:right="409"/>
                    <w:jc w:val="right"/>
                    <w:rPr>
                      <w:rFonts w:eastAsia="Calibri"/>
                      <w:b/>
                      <w:sz w:val="20"/>
                      <w:szCs w:val="20"/>
                      <w:lang w:val="es-NI"/>
                    </w:rPr>
                  </w:pPr>
                  <w:r w:rsidRPr="00BB290E">
                    <w:rPr>
                      <w:rFonts w:eastAsia="Calibri"/>
                      <w:b/>
                      <w:sz w:val="20"/>
                      <w:szCs w:val="20"/>
                      <w:lang w:val="es-NI"/>
                    </w:rPr>
                    <w:t>141</w:t>
                  </w:r>
                </w:p>
              </w:tc>
            </w:tr>
          </w:tbl>
          <w:p w14:paraId="5A02F937" w14:textId="77777777" w:rsidR="009278C5" w:rsidRPr="00BB290E" w:rsidRDefault="009278C5" w:rsidP="009278C5">
            <w:pPr>
              <w:spacing w:after="0" w:line="240" w:lineRule="auto"/>
              <w:ind w:left="1134"/>
              <w:rPr>
                <w:rFonts w:eastAsia="Calibri"/>
                <w:sz w:val="16"/>
                <w:szCs w:val="16"/>
                <w:lang w:val="es-NI"/>
              </w:rPr>
            </w:pPr>
            <w:r w:rsidRPr="00BB290E">
              <w:rPr>
                <w:rFonts w:eastAsia="Calibri"/>
                <w:sz w:val="16"/>
                <w:szCs w:val="16"/>
                <w:vertAlign w:val="superscript"/>
                <w:lang w:val="es-NI"/>
              </w:rPr>
              <w:t>*/</w:t>
            </w:r>
            <w:r w:rsidRPr="00BB290E">
              <w:rPr>
                <w:rFonts w:eastAsia="Calibri"/>
                <w:sz w:val="16"/>
                <w:szCs w:val="16"/>
                <w:lang w:val="es-NI"/>
              </w:rPr>
              <w:t xml:space="preserve"> Información de</w:t>
            </w:r>
            <w:r>
              <w:rPr>
                <w:rFonts w:eastAsia="Calibri"/>
                <w:sz w:val="16"/>
                <w:szCs w:val="16"/>
                <w:lang w:val="es-NI"/>
              </w:rPr>
              <w:t xml:space="preserve">l 2020 es de </w:t>
            </w:r>
            <w:r w:rsidRPr="00BB290E">
              <w:rPr>
                <w:rFonts w:eastAsia="Calibri"/>
                <w:sz w:val="16"/>
                <w:szCs w:val="16"/>
                <w:lang w:val="es-NI"/>
              </w:rPr>
              <w:t xml:space="preserve"> enero a junio</w:t>
            </w:r>
            <w:r>
              <w:rPr>
                <w:rFonts w:eastAsia="Calibri"/>
                <w:sz w:val="16"/>
                <w:szCs w:val="16"/>
                <w:lang w:val="es-NI"/>
              </w:rPr>
              <w:t>.</w:t>
            </w:r>
          </w:p>
          <w:p w14:paraId="3F1FA0FA" w14:textId="77777777" w:rsidR="009278C5" w:rsidRPr="00BB290E" w:rsidRDefault="009278C5" w:rsidP="009278C5">
            <w:pPr>
              <w:spacing w:after="160" w:line="259" w:lineRule="auto"/>
              <w:ind w:left="1134"/>
              <w:rPr>
                <w:rFonts w:eastAsia="Calibri"/>
                <w:sz w:val="16"/>
                <w:szCs w:val="16"/>
                <w:lang w:val="es-NI"/>
              </w:rPr>
            </w:pPr>
            <w:r w:rsidRPr="00BB290E">
              <w:rPr>
                <w:rFonts w:eastAsia="Calibri"/>
                <w:sz w:val="16"/>
                <w:szCs w:val="16"/>
                <w:lang w:val="es-NI"/>
              </w:rPr>
              <w:t>Fuente: SUMEVE</w:t>
            </w:r>
          </w:p>
          <w:p w14:paraId="3E2FB0F7" w14:textId="36218626" w:rsidR="00F7629E" w:rsidRDefault="00F7629E" w:rsidP="00F7629E">
            <w:pPr>
              <w:spacing w:after="200" w:line="276" w:lineRule="auto"/>
              <w:jc w:val="both"/>
              <w:outlineLvl w:val="0"/>
              <w:rPr>
                <w:rFonts w:eastAsia="Times New Roman"/>
                <w:lang w:val="es-NI" w:eastAsia="es-SV"/>
              </w:rPr>
            </w:pPr>
            <w:r>
              <w:rPr>
                <w:rFonts w:eastAsia="Times New Roman"/>
                <w:lang w:val="es-NI" w:eastAsia="es-SV"/>
              </w:rPr>
              <w:t xml:space="preserve">En ese mismo período según los reportes de vigilancia epidemiológica del MINSAL (VIGEPES), se registra un total de </w:t>
            </w:r>
            <w:r w:rsidRPr="004416DD">
              <w:rPr>
                <w:rFonts w:eastAsia="Times New Roman"/>
                <w:lang w:val="es-NI" w:eastAsia="es-SV"/>
              </w:rPr>
              <w:t>234</w:t>
            </w:r>
            <w:r>
              <w:rPr>
                <w:rFonts w:eastAsia="Times New Roman"/>
                <w:lang w:val="es-NI" w:eastAsia="es-SV"/>
              </w:rPr>
              <w:t xml:space="preserve"> </w:t>
            </w:r>
            <w:r w:rsidRPr="004416DD">
              <w:rPr>
                <w:rFonts w:eastAsia="Times New Roman"/>
                <w:lang w:val="es-NI" w:eastAsia="es-SV"/>
              </w:rPr>
              <w:t xml:space="preserve">ITS, siendo las más afectadas las </w:t>
            </w:r>
            <w:r>
              <w:rPr>
                <w:rFonts w:eastAsia="Times New Roman"/>
                <w:lang w:val="es-NI" w:eastAsia="es-SV"/>
              </w:rPr>
              <w:t xml:space="preserve">mujeres </w:t>
            </w:r>
            <w:r w:rsidRPr="004416DD">
              <w:rPr>
                <w:rFonts w:eastAsia="Times New Roman"/>
                <w:lang w:val="es-NI" w:eastAsia="es-SV"/>
              </w:rPr>
              <w:t>adolescentes.</w:t>
            </w:r>
          </w:p>
          <w:p w14:paraId="18155240" w14:textId="3AFE41A3" w:rsidR="009278C5" w:rsidRPr="0030795A" w:rsidRDefault="009278C5" w:rsidP="009278C5">
            <w:pPr>
              <w:spacing w:before="120" w:after="0" w:line="240" w:lineRule="auto"/>
              <w:jc w:val="center"/>
              <w:rPr>
                <w:rFonts w:eastAsia="Calibri"/>
                <w:b/>
                <w:bCs/>
                <w:sz w:val="20"/>
                <w:szCs w:val="20"/>
                <w:lang w:val="es-NI"/>
              </w:rPr>
            </w:pPr>
            <w:r w:rsidRPr="0030795A">
              <w:rPr>
                <w:rFonts w:eastAsia="Calibri"/>
                <w:b/>
                <w:sz w:val="20"/>
                <w:szCs w:val="20"/>
                <w:lang w:val="es-NI"/>
              </w:rPr>
              <w:t xml:space="preserve">Tabla </w:t>
            </w:r>
            <w:r w:rsidR="006C5497">
              <w:rPr>
                <w:rFonts w:eastAsia="Calibri"/>
                <w:b/>
                <w:sz w:val="20"/>
                <w:szCs w:val="20"/>
                <w:lang w:val="es-NI"/>
              </w:rPr>
              <w:t>4</w:t>
            </w:r>
            <w:r w:rsidRPr="0030795A">
              <w:rPr>
                <w:rFonts w:eastAsia="Calibri"/>
                <w:b/>
                <w:sz w:val="20"/>
                <w:szCs w:val="20"/>
                <w:lang w:val="es-NI"/>
              </w:rPr>
              <w:t xml:space="preserve"> . El Salvador. Infecciones de transmisión sexual (ITS) en adolescentes.</w:t>
            </w:r>
          </w:p>
          <w:p w14:paraId="05011268" w14:textId="77777777" w:rsidR="009278C5" w:rsidRPr="0030795A" w:rsidRDefault="009278C5" w:rsidP="009278C5">
            <w:pPr>
              <w:spacing w:after="60" w:line="240" w:lineRule="auto"/>
              <w:jc w:val="center"/>
              <w:rPr>
                <w:rFonts w:eastAsia="Times New Roman"/>
                <w:b/>
                <w:color w:val="000000"/>
                <w:sz w:val="20"/>
                <w:szCs w:val="20"/>
              </w:rPr>
            </w:pPr>
            <w:r w:rsidRPr="0030795A">
              <w:rPr>
                <w:rFonts w:eastAsia="Calibri"/>
                <w:b/>
                <w:bCs/>
                <w:sz w:val="20"/>
                <w:szCs w:val="20"/>
                <w:lang w:val="es-NI"/>
              </w:rPr>
              <w:t>Período enero-junio del 2020.</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561"/>
              <w:gridCol w:w="1222"/>
              <w:gridCol w:w="1134"/>
              <w:gridCol w:w="1134"/>
            </w:tblGrid>
            <w:tr w:rsidR="009278C5" w:rsidRPr="00A56294" w14:paraId="3C52FC1C" w14:textId="77777777" w:rsidTr="009278C5">
              <w:trPr>
                <w:jc w:val="center"/>
              </w:trPr>
              <w:tc>
                <w:tcPr>
                  <w:tcW w:w="1561" w:type="dxa"/>
                  <w:vMerge w:val="restart"/>
                  <w:vAlign w:val="center"/>
                </w:tcPr>
                <w:p w14:paraId="152BD941" w14:textId="77777777" w:rsidR="009278C5" w:rsidRPr="00BB290E" w:rsidRDefault="009278C5" w:rsidP="009278C5">
                  <w:pPr>
                    <w:spacing w:after="0" w:line="240" w:lineRule="auto"/>
                    <w:jc w:val="center"/>
                    <w:rPr>
                      <w:rFonts w:eastAsia="Trebuchet MS"/>
                      <w:b/>
                      <w:sz w:val="20"/>
                      <w:szCs w:val="20"/>
                    </w:rPr>
                  </w:pPr>
                  <w:r w:rsidRPr="00BB290E">
                    <w:rPr>
                      <w:rFonts w:eastAsia="Trebuchet MS"/>
                      <w:b/>
                      <w:sz w:val="20"/>
                      <w:szCs w:val="20"/>
                    </w:rPr>
                    <w:t>Tipo de ITS</w:t>
                  </w:r>
                </w:p>
              </w:tc>
              <w:tc>
                <w:tcPr>
                  <w:tcW w:w="2356" w:type="dxa"/>
                  <w:gridSpan w:val="2"/>
                  <w:vAlign w:val="center"/>
                </w:tcPr>
                <w:p w14:paraId="4E3A524D" w14:textId="77777777" w:rsidR="009278C5" w:rsidRPr="00BB290E" w:rsidRDefault="009278C5" w:rsidP="009278C5">
                  <w:pPr>
                    <w:spacing w:after="0" w:line="240" w:lineRule="auto"/>
                    <w:jc w:val="center"/>
                    <w:rPr>
                      <w:rFonts w:eastAsia="Trebuchet MS"/>
                      <w:b/>
                      <w:sz w:val="20"/>
                      <w:szCs w:val="20"/>
                    </w:rPr>
                  </w:pPr>
                  <w:r w:rsidRPr="00BB290E">
                    <w:rPr>
                      <w:rFonts w:eastAsia="Trebuchet MS"/>
                      <w:b/>
                      <w:sz w:val="20"/>
                      <w:szCs w:val="20"/>
                    </w:rPr>
                    <w:t>Sexo</w:t>
                  </w:r>
                </w:p>
              </w:tc>
              <w:tc>
                <w:tcPr>
                  <w:tcW w:w="1134" w:type="dxa"/>
                  <w:vMerge w:val="restart"/>
                  <w:vAlign w:val="center"/>
                </w:tcPr>
                <w:p w14:paraId="2E743CF3" w14:textId="77777777" w:rsidR="009278C5" w:rsidRPr="00BB290E" w:rsidRDefault="009278C5" w:rsidP="009278C5">
                  <w:pPr>
                    <w:spacing w:after="0" w:line="240" w:lineRule="auto"/>
                    <w:jc w:val="center"/>
                    <w:rPr>
                      <w:rFonts w:eastAsia="Trebuchet MS"/>
                      <w:b/>
                      <w:sz w:val="20"/>
                      <w:szCs w:val="20"/>
                    </w:rPr>
                  </w:pPr>
                  <w:r w:rsidRPr="00BB290E">
                    <w:rPr>
                      <w:rFonts w:eastAsia="Trebuchet MS"/>
                      <w:b/>
                      <w:sz w:val="20"/>
                      <w:szCs w:val="20"/>
                    </w:rPr>
                    <w:t>Total</w:t>
                  </w:r>
                </w:p>
              </w:tc>
            </w:tr>
            <w:tr w:rsidR="009278C5" w:rsidRPr="00A56294" w14:paraId="45D420C2" w14:textId="77777777" w:rsidTr="009278C5">
              <w:trPr>
                <w:jc w:val="center"/>
              </w:trPr>
              <w:tc>
                <w:tcPr>
                  <w:tcW w:w="1561" w:type="dxa"/>
                  <w:vMerge/>
                  <w:vAlign w:val="center"/>
                </w:tcPr>
                <w:p w14:paraId="569EA319" w14:textId="77777777" w:rsidR="009278C5" w:rsidRPr="00BB290E" w:rsidRDefault="009278C5" w:rsidP="009278C5">
                  <w:pPr>
                    <w:spacing w:after="0" w:line="240" w:lineRule="auto"/>
                    <w:jc w:val="center"/>
                    <w:rPr>
                      <w:rFonts w:eastAsia="Trebuchet MS"/>
                      <w:b/>
                      <w:sz w:val="20"/>
                      <w:szCs w:val="20"/>
                    </w:rPr>
                  </w:pPr>
                </w:p>
              </w:tc>
              <w:tc>
                <w:tcPr>
                  <w:tcW w:w="1222" w:type="dxa"/>
                  <w:vAlign w:val="center"/>
                </w:tcPr>
                <w:p w14:paraId="1EE3E9A0" w14:textId="77777777" w:rsidR="009278C5" w:rsidRPr="00BB290E" w:rsidRDefault="009278C5" w:rsidP="009278C5">
                  <w:pPr>
                    <w:spacing w:after="0" w:line="240" w:lineRule="auto"/>
                    <w:jc w:val="center"/>
                    <w:rPr>
                      <w:rFonts w:eastAsia="Trebuchet MS"/>
                      <w:b/>
                      <w:sz w:val="20"/>
                      <w:szCs w:val="20"/>
                    </w:rPr>
                  </w:pPr>
                  <w:r w:rsidRPr="00BB290E">
                    <w:rPr>
                      <w:rFonts w:eastAsia="Trebuchet MS"/>
                      <w:b/>
                      <w:sz w:val="20"/>
                      <w:szCs w:val="20"/>
                    </w:rPr>
                    <w:t>Hombres</w:t>
                  </w:r>
                </w:p>
              </w:tc>
              <w:tc>
                <w:tcPr>
                  <w:tcW w:w="1134" w:type="dxa"/>
                  <w:vAlign w:val="center"/>
                </w:tcPr>
                <w:p w14:paraId="2886560D" w14:textId="77777777" w:rsidR="009278C5" w:rsidRPr="00BB290E" w:rsidRDefault="009278C5" w:rsidP="009278C5">
                  <w:pPr>
                    <w:spacing w:after="0" w:line="240" w:lineRule="auto"/>
                    <w:jc w:val="center"/>
                    <w:rPr>
                      <w:rFonts w:eastAsia="Trebuchet MS"/>
                      <w:b/>
                      <w:sz w:val="20"/>
                      <w:szCs w:val="20"/>
                    </w:rPr>
                  </w:pPr>
                  <w:r w:rsidRPr="00BB290E">
                    <w:rPr>
                      <w:rFonts w:eastAsia="Trebuchet MS"/>
                      <w:b/>
                      <w:sz w:val="20"/>
                      <w:szCs w:val="20"/>
                    </w:rPr>
                    <w:t>Mujeres</w:t>
                  </w:r>
                </w:p>
              </w:tc>
              <w:tc>
                <w:tcPr>
                  <w:tcW w:w="1134" w:type="dxa"/>
                  <w:vMerge/>
                  <w:vAlign w:val="center"/>
                </w:tcPr>
                <w:p w14:paraId="449FE9AB" w14:textId="77777777" w:rsidR="009278C5" w:rsidRPr="00BB290E" w:rsidRDefault="009278C5" w:rsidP="009278C5">
                  <w:pPr>
                    <w:spacing w:after="0" w:line="240" w:lineRule="auto"/>
                    <w:jc w:val="both"/>
                    <w:rPr>
                      <w:rFonts w:eastAsia="Trebuchet MS"/>
                      <w:sz w:val="20"/>
                      <w:szCs w:val="20"/>
                    </w:rPr>
                  </w:pPr>
                </w:p>
              </w:tc>
            </w:tr>
            <w:tr w:rsidR="009278C5" w:rsidRPr="00A56294" w14:paraId="028A0D66" w14:textId="77777777" w:rsidTr="009278C5">
              <w:trPr>
                <w:jc w:val="center"/>
              </w:trPr>
              <w:tc>
                <w:tcPr>
                  <w:tcW w:w="1561" w:type="dxa"/>
                  <w:shd w:val="clear" w:color="auto" w:fill="F2F2F2" w:themeFill="background1" w:themeFillShade="F2"/>
                  <w:vAlign w:val="center"/>
                </w:tcPr>
                <w:p w14:paraId="75F991EF" w14:textId="77777777" w:rsidR="009278C5" w:rsidRPr="00BB290E" w:rsidRDefault="009278C5" w:rsidP="009278C5">
                  <w:pPr>
                    <w:spacing w:after="0" w:line="240" w:lineRule="auto"/>
                    <w:jc w:val="both"/>
                    <w:rPr>
                      <w:rFonts w:eastAsia="Trebuchet MS"/>
                      <w:sz w:val="20"/>
                      <w:szCs w:val="20"/>
                    </w:rPr>
                  </w:pPr>
                  <w:r w:rsidRPr="00BB290E">
                    <w:rPr>
                      <w:rFonts w:eastAsia="Calibri"/>
                      <w:color w:val="000000"/>
                      <w:sz w:val="20"/>
                      <w:szCs w:val="20"/>
                      <w:lang w:val="es"/>
                    </w:rPr>
                    <w:t>Tricomoniasis</w:t>
                  </w:r>
                </w:p>
              </w:tc>
              <w:tc>
                <w:tcPr>
                  <w:tcW w:w="1222" w:type="dxa"/>
                  <w:shd w:val="clear" w:color="auto" w:fill="F2F2F2" w:themeFill="background1" w:themeFillShade="F2"/>
                  <w:vAlign w:val="center"/>
                </w:tcPr>
                <w:p w14:paraId="02606767"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color w:val="000000"/>
                      <w:sz w:val="20"/>
                      <w:szCs w:val="20"/>
                      <w:lang w:val="es"/>
                    </w:rPr>
                    <w:t>4</w:t>
                  </w:r>
                </w:p>
              </w:tc>
              <w:tc>
                <w:tcPr>
                  <w:tcW w:w="1134" w:type="dxa"/>
                  <w:shd w:val="clear" w:color="auto" w:fill="F2F2F2" w:themeFill="background1" w:themeFillShade="F2"/>
                  <w:vAlign w:val="center"/>
                </w:tcPr>
                <w:p w14:paraId="476B8B59"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color w:val="000000"/>
                      <w:sz w:val="20"/>
                      <w:szCs w:val="20"/>
                      <w:lang w:val="es"/>
                    </w:rPr>
                    <w:t>103</w:t>
                  </w:r>
                </w:p>
              </w:tc>
              <w:tc>
                <w:tcPr>
                  <w:tcW w:w="1134" w:type="dxa"/>
                  <w:shd w:val="clear" w:color="auto" w:fill="F2F2F2" w:themeFill="background1" w:themeFillShade="F2"/>
                  <w:vAlign w:val="center"/>
                </w:tcPr>
                <w:p w14:paraId="03CDA044"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b/>
                      <w:color w:val="000000"/>
                      <w:sz w:val="20"/>
                      <w:szCs w:val="20"/>
                      <w:lang w:val="es"/>
                    </w:rPr>
                    <w:t>107</w:t>
                  </w:r>
                </w:p>
              </w:tc>
            </w:tr>
            <w:tr w:rsidR="009278C5" w:rsidRPr="00A56294" w14:paraId="1140DC55" w14:textId="77777777" w:rsidTr="009278C5">
              <w:trPr>
                <w:jc w:val="center"/>
              </w:trPr>
              <w:tc>
                <w:tcPr>
                  <w:tcW w:w="1561" w:type="dxa"/>
                  <w:vAlign w:val="center"/>
                </w:tcPr>
                <w:p w14:paraId="0530BA7B" w14:textId="77777777" w:rsidR="009278C5" w:rsidRPr="00BB290E" w:rsidRDefault="009278C5" w:rsidP="009278C5">
                  <w:pPr>
                    <w:spacing w:after="0" w:line="240" w:lineRule="auto"/>
                    <w:jc w:val="both"/>
                    <w:rPr>
                      <w:rFonts w:eastAsia="Trebuchet MS"/>
                      <w:sz w:val="20"/>
                      <w:szCs w:val="20"/>
                    </w:rPr>
                  </w:pPr>
                  <w:r w:rsidRPr="00BB290E">
                    <w:rPr>
                      <w:rFonts w:eastAsia="Calibri"/>
                      <w:color w:val="000000"/>
                      <w:sz w:val="20"/>
                      <w:szCs w:val="20"/>
                      <w:lang w:val="es"/>
                    </w:rPr>
                    <w:t>Sífilis</w:t>
                  </w:r>
                </w:p>
              </w:tc>
              <w:tc>
                <w:tcPr>
                  <w:tcW w:w="1222" w:type="dxa"/>
                  <w:vAlign w:val="center"/>
                </w:tcPr>
                <w:p w14:paraId="396EAB8C"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color w:val="000000"/>
                      <w:sz w:val="20"/>
                      <w:szCs w:val="20"/>
                      <w:lang w:val="es"/>
                    </w:rPr>
                    <w:t>4</w:t>
                  </w:r>
                </w:p>
              </w:tc>
              <w:tc>
                <w:tcPr>
                  <w:tcW w:w="1134" w:type="dxa"/>
                  <w:vAlign w:val="center"/>
                </w:tcPr>
                <w:p w14:paraId="65B7E06E"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color w:val="000000"/>
                      <w:sz w:val="20"/>
                      <w:szCs w:val="20"/>
                      <w:lang w:val="es"/>
                    </w:rPr>
                    <w:t>48</w:t>
                  </w:r>
                </w:p>
              </w:tc>
              <w:tc>
                <w:tcPr>
                  <w:tcW w:w="1134" w:type="dxa"/>
                  <w:vAlign w:val="center"/>
                </w:tcPr>
                <w:p w14:paraId="5A29D0EC"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b/>
                      <w:color w:val="000000"/>
                      <w:sz w:val="20"/>
                      <w:szCs w:val="20"/>
                      <w:lang w:val="es"/>
                    </w:rPr>
                    <w:t>52</w:t>
                  </w:r>
                </w:p>
              </w:tc>
            </w:tr>
            <w:tr w:rsidR="009278C5" w:rsidRPr="00A56294" w14:paraId="3A9CF859" w14:textId="77777777" w:rsidTr="009278C5">
              <w:trPr>
                <w:jc w:val="center"/>
              </w:trPr>
              <w:tc>
                <w:tcPr>
                  <w:tcW w:w="1561" w:type="dxa"/>
                  <w:shd w:val="clear" w:color="auto" w:fill="F2F2F2" w:themeFill="background1" w:themeFillShade="F2"/>
                  <w:vAlign w:val="center"/>
                </w:tcPr>
                <w:p w14:paraId="00516041" w14:textId="77777777" w:rsidR="009278C5" w:rsidRPr="00BB290E" w:rsidRDefault="009278C5" w:rsidP="009278C5">
                  <w:pPr>
                    <w:spacing w:after="0" w:line="240" w:lineRule="auto"/>
                    <w:jc w:val="both"/>
                    <w:rPr>
                      <w:rFonts w:eastAsia="Trebuchet MS"/>
                      <w:sz w:val="20"/>
                      <w:szCs w:val="20"/>
                    </w:rPr>
                  </w:pPr>
                  <w:r w:rsidRPr="00BB290E">
                    <w:rPr>
                      <w:rFonts w:eastAsia="Calibri"/>
                      <w:color w:val="000000"/>
                      <w:sz w:val="20"/>
                      <w:szCs w:val="20"/>
                      <w:lang w:val="es"/>
                    </w:rPr>
                    <w:t>Herpes</w:t>
                  </w:r>
                </w:p>
              </w:tc>
              <w:tc>
                <w:tcPr>
                  <w:tcW w:w="1222" w:type="dxa"/>
                  <w:shd w:val="clear" w:color="auto" w:fill="F2F2F2" w:themeFill="background1" w:themeFillShade="F2"/>
                  <w:vAlign w:val="center"/>
                </w:tcPr>
                <w:p w14:paraId="4CE65A01"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color w:val="000000"/>
                      <w:sz w:val="20"/>
                      <w:szCs w:val="20"/>
                      <w:lang w:val="es"/>
                    </w:rPr>
                    <w:t>5</w:t>
                  </w:r>
                </w:p>
              </w:tc>
              <w:tc>
                <w:tcPr>
                  <w:tcW w:w="1134" w:type="dxa"/>
                  <w:shd w:val="clear" w:color="auto" w:fill="F2F2F2" w:themeFill="background1" w:themeFillShade="F2"/>
                  <w:vAlign w:val="center"/>
                </w:tcPr>
                <w:p w14:paraId="3C17C1A4"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color w:val="000000"/>
                      <w:sz w:val="20"/>
                      <w:szCs w:val="20"/>
                      <w:lang w:val="es"/>
                    </w:rPr>
                    <w:t>30</w:t>
                  </w:r>
                </w:p>
              </w:tc>
              <w:tc>
                <w:tcPr>
                  <w:tcW w:w="1134" w:type="dxa"/>
                  <w:shd w:val="clear" w:color="auto" w:fill="F2F2F2" w:themeFill="background1" w:themeFillShade="F2"/>
                  <w:vAlign w:val="center"/>
                </w:tcPr>
                <w:p w14:paraId="766C7A4E"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b/>
                      <w:color w:val="000000"/>
                      <w:sz w:val="20"/>
                      <w:szCs w:val="20"/>
                      <w:lang w:val="es"/>
                    </w:rPr>
                    <w:t>35</w:t>
                  </w:r>
                </w:p>
              </w:tc>
            </w:tr>
            <w:tr w:rsidR="009278C5" w:rsidRPr="00A56294" w14:paraId="42ADF2DB" w14:textId="77777777" w:rsidTr="009278C5">
              <w:trPr>
                <w:jc w:val="center"/>
              </w:trPr>
              <w:tc>
                <w:tcPr>
                  <w:tcW w:w="1561" w:type="dxa"/>
                  <w:vAlign w:val="center"/>
                </w:tcPr>
                <w:p w14:paraId="32F04B78" w14:textId="77777777" w:rsidR="009278C5" w:rsidRPr="00BB290E" w:rsidRDefault="009278C5" w:rsidP="009278C5">
                  <w:pPr>
                    <w:spacing w:after="0" w:line="240" w:lineRule="auto"/>
                    <w:jc w:val="both"/>
                    <w:rPr>
                      <w:rFonts w:eastAsia="Trebuchet MS"/>
                      <w:sz w:val="20"/>
                      <w:szCs w:val="20"/>
                    </w:rPr>
                  </w:pPr>
                  <w:r w:rsidRPr="00BB290E">
                    <w:rPr>
                      <w:rFonts w:eastAsia="Calibri"/>
                      <w:color w:val="000000"/>
                      <w:sz w:val="20"/>
                      <w:szCs w:val="20"/>
                      <w:lang w:val="es"/>
                    </w:rPr>
                    <w:t>Gonorrea</w:t>
                  </w:r>
                </w:p>
              </w:tc>
              <w:tc>
                <w:tcPr>
                  <w:tcW w:w="1222" w:type="dxa"/>
                  <w:vAlign w:val="center"/>
                </w:tcPr>
                <w:p w14:paraId="478C0BF7"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color w:val="000000"/>
                      <w:sz w:val="20"/>
                      <w:szCs w:val="20"/>
                      <w:lang w:val="es"/>
                    </w:rPr>
                    <w:t>18</w:t>
                  </w:r>
                </w:p>
              </w:tc>
              <w:tc>
                <w:tcPr>
                  <w:tcW w:w="1134" w:type="dxa"/>
                  <w:vAlign w:val="center"/>
                </w:tcPr>
                <w:p w14:paraId="62B3E69C"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color w:val="000000"/>
                      <w:sz w:val="20"/>
                      <w:szCs w:val="20"/>
                      <w:lang w:val="es"/>
                    </w:rPr>
                    <w:t>10</w:t>
                  </w:r>
                </w:p>
              </w:tc>
              <w:tc>
                <w:tcPr>
                  <w:tcW w:w="1134" w:type="dxa"/>
                  <w:vAlign w:val="center"/>
                </w:tcPr>
                <w:p w14:paraId="2AA2CD62"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b/>
                      <w:color w:val="000000"/>
                      <w:sz w:val="20"/>
                      <w:szCs w:val="20"/>
                      <w:lang w:val="es"/>
                    </w:rPr>
                    <w:t>28</w:t>
                  </w:r>
                </w:p>
              </w:tc>
            </w:tr>
            <w:tr w:rsidR="009278C5" w:rsidRPr="00A56294" w14:paraId="68F6D713" w14:textId="77777777" w:rsidTr="009278C5">
              <w:trPr>
                <w:jc w:val="center"/>
              </w:trPr>
              <w:tc>
                <w:tcPr>
                  <w:tcW w:w="1561" w:type="dxa"/>
                  <w:shd w:val="clear" w:color="auto" w:fill="F2F2F2" w:themeFill="background1" w:themeFillShade="F2"/>
                  <w:vAlign w:val="center"/>
                </w:tcPr>
                <w:p w14:paraId="264A95A0" w14:textId="77777777" w:rsidR="009278C5" w:rsidRPr="00BB290E" w:rsidRDefault="009278C5" w:rsidP="009278C5">
                  <w:pPr>
                    <w:spacing w:after="0" w:line="240" w:lineRule="auto"/>
                    <w:jc w:val="both"/>
                    <w:rPr>
                      <w:rFonts w:eastAsia="Trebuchet MS"/>
                      <w:sz w:val="20"/>
                      <w:szCs w:val="20"/>
                    </w:rPr>
                  </w:pPr>
                  <w:r w:rsidRPr="00BB290E">
                    <w:rPr>
                      <w:rFonts w:eastAsia="Calibri"/>
                      <w:color w:val="000000"/>
                      <w:sz w:val="20"/>
                      <w:szCs w:val="20"/>
                      <w:lang w:val="es"/>
                    </w:rPr>
                    <w:t>Clamidia</w:t>
                  </w:r>
                </w:p>
              </w:tc>
              <w:tc>
                <w:tcPr>
                  <w:tcW w:w="1222" w:type="dxa"/>
                  <w:shd w:val="clear" w:color="auto" w:fill="F2F2F2" w:themeFill="background1" w:themeFillShade="F2"/>
                  <w:vAlign w:val="center"/>
                </w:tcPr>
                <w:p w14:paraId="165ADB57"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color w:val="000000"/>
                      <w:sz w:val="20"/>
                      <w:szCs w:val="20"/>
                      <w:lang w:val="es"/>
                    </w:rPr>
                    <w:t>0</w:t>
                  </w:r>
                </w:p>
              </w:tc>
              <w:tc>
                <w:tcPr>
                  <w:tcW w:w="1134" w:type="dxa"/>
                  <w:shd w:val="clear" w:color="auto" w:fill="F2F2F2" w:themeFill="background1" w:themeFillShade="F2"/>
                  <w:vAlign w:val="center"/>
                </w:tcPr>
                <w:p w14:paraId="369D65A2"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color w:val="000000"/>
                      <w:sz w:val="20"/>
                      <w:szCs w:val="20"/>
                      <w:lang w:val="es"/>
                    </w:rPr>
                    <w:t>9</w:t>
                  </w:r>
                </w:p>
              </w:tc>
              <w:tc>
                <w:tcPr>
                  <w:tcW w:w="1134" w:type="dxa"/>
                  <w:shd w:val="clear" w:color="auto" w:fill="F2F2F2" w:themeFill="background1" w:themeFillShade="F2"/>
                  <w:vAlign w:val="center"/>
                </w:tcPr>
                <w:p w14:paraId="4F50C733"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b/>
                      <w:color w:val="000000"/>
                      <w:sz w:val="20"/>
                      <w:szCs w:val="20"/>
                      <w:lang w:val="es"/>
                    </w:rPr>
                    <w:t>9</w:t>
                  </w:r>
                </w:p>
              </w:tc>
            </w:tr>
            <w:tr w:rsidR="009278C5" w:rsidRPr="00A56294" w14:paraId="42B33D0F" w14:textId="77777777" w:rsidTr="009278C5">
              <w:trPr>
                <w:jc w:val="center"/>
              </w:trPr>
              <w:tc>
                <w:tcPr>
                  <w:tcW w:w="1561" w:type="dxa"/>
                  <w:vAlign w:val="center"/>
                </w:tcPr>
                <w:p w14:paraId="60A5F527" w14:textId="77777777" w:rsidR="009278C5" w:rsidRPr="00BB290E" w:rsidRDefault="009278C5" w:rsidP="009278C5">
                  <w:pPr>
                    <w:spacing w:after="0" w:line="240" w:lineRule="auto"/>
                    <w:jc w:val="both"/>
                    <w:rPr>
                      <w:rFonts w:eastAsia="Trebuchet MS"/>
                      <w:sz w:val="20"/>
                      <w:szCs w:val="20"/>
                    </w:rPr>
                  </w:pPr>
                  <w:proofErr w:type="spellStart"/>
                  <w:r w:rsidRPr="00BB290E">
                    <w:rPr>
                      <w:rFonts w:eastAsia="Calibri"/>
                      <w:color w:val="000000"/>
                      <w:sz w:val="20"/>
                      <w:szCs w:val="20"/>
                      <w:lang w:val="es"/>
                    </w:rPr>
                    <w:t>Chancroide</w:t>
                  </w:r>
                  <w:proofErr w:type="spellEnd"/>
                </w:p>
              </w:tc>
              <w:tc>
                <w:tcPr>
                  <w:tcW w:w="1222" w:type="dxa"/>
                  <w:vAlign w:val="center"/>
                </w:tcPr>
                <w:p w14:paraId="59BABFAB"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color w:val="000000"/>
                      <w:sz w:val="20"/>
                      <w:szCs w:val="20"/>
                      <w:lang w:val="es"/>
                    </w:rPr>
                    <w:t>3</w:t>
                  </w:r>
                </w:p>
              </w:tc>
              <w:tc>
                <w:tcPr>
                  <w:tcW w:w="1134" w:type="dxa"/>
                  <w:vAlign w:val="center"/>
                </w:tcPr>
                <w:p w14:paraId="6C57EF8A"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color w:val="000000"/>
                      <w:sz w:val="20"/>
                      <w:szCs w:val="20"/>
                      <w:lang w:val="es"/>
                    </w:rPr>
                    <w:t>0</w:t>
                  </w:r>
                </w:p>
              </w:tc>
              <w:tc>
                <w:tcPr>
                  <w:tcW w:w="1134" w:type="dxa"/>
                  <w:vAlign w:val="center"/>
                </w:tcPr>
                <w:p w14:paraId="048D7AF8"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b/>
                      <w:color w:val="000000"/>
                      <w:sz w:val="20"/>
                      <w:szCs w:val="20"/>
                      <w:lang w:val="es"/>
                    </w:rPr>
                    <w:t>3</w:t>
                  </w:r>
                </w:p>
              </w:tc>
            </w:tr>
            <w:tr w:rsidR="009278C5" w:rsidRPr="00A56294" w14:paraId="7197AC37" w14:textId="77777777" w:rsidTr="009278C5">
              <w:trPr>
                <w:jc w:val="center"/>
              </w:trPr>
              <w:tc>
                <w:tcPr>
                  <w:tcW w:w="1561" w:type="dxa"/>
                  <w:shd w:val="clear" w:color="auto" w:fill="F2F2F2" w:themeFill="background1" w:themeFillShade="F2"/>
                  <w:vAlign w:val="center"/>
                </w:tcPr>
                <w:p w14:paraId="713A2E6E" w14:textId="77777777" w:rsidR="009278C5" w:rsidRPr="00BB290E" w:rsidRDefault="009278C5" w:rsidP="009278C5">
                  <w:pPr>
                    <w:spacing w:after="0" w:line="240" w:lineRule="auto"/>
                    <w:jc w:val="both"/>
                    <w:rPr>
                      <w:rFonts w:eastAsia="Trebuchet MS"/>
                      <w:sz w:val="20"/>
                      <w:szCs w:val="20"/>
                    </w:rPr>
                  </w:pPr>
                  <w:r w:rsidRPr="00BB290E">
                    <w:rPr>
                      <w:rFonts w:eastAsia="Calibri"/>
                      <w:color w:val="000000"/>
                      <w:sz w:val="20"/>
                      <w:szCs w:val="20"/>
                      <w:lang w:val="es"/>
                    </w:rPr>
                    <w:t>Hepatitis B</w:t>
                  </w:r>
                </w:p>
              </w:tc>
              <w:tc>
                <w:tcPr>
                  <w:tcW w:w="1222" w:type="dxa"/>
                  <w:shd w:val="clear" w:color="auto" w:fill="F2F2F2" w:themeFill="background1" w:themeFillShade="F2"/>
                  <w:vAlign w:val="center"/>
                </w:tcPr>
                <w:p w14:paraId="601424D3"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color w:val="000000"/>
                      <w:sz w:val="20"/>
                      <w:szCs w:val="20"/>
                      <w:lang w:val="es"/>
                    </w:rPr>
                    <w:t>0</w:t>
                  </w:r>
                </w:p>
              </w:tc>
              <w:tc>
                <w:tcPr>
                  <w:tcW w:w="1134" w:type="dxa"/>
                  <w:shd w:val="clear" w:color="auto" w:fill="F2F2F2" w:themeFill="background1" w:themeFillShade="F2"/>
                  <w:vAlign w:val="center"/>
                </w:tcPr>
                <w:p w14:paraId="7FD59E05"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color w:val="000000"/>
                      <w:sz w:val="20"/>
                      <w:szCs w:val="20"/>
                      <w:lang w:val="es"/>
                    </w:rPr>
                    <w:t>0</w:t>
                  </w:r>
                </w:p>
              </w:tc>
              <w:tc>
                <w:tcPr>
                  <w:tcW w:w="1134" w:type="dxa"/>
                  <w:shd w:val="clear" w:color="auto" w:fill="F2F2F2" w:themeFill="background1" w:themeFillShade="F2"/>
                  <w:vAlign w:val="center"/>
                </w:tcPr>
                <w:p w14:paraId="411C312F" w14:textId="77777777" w:rsidR="009278C5" w:rsidRPr="00BB290E" w:rsidRDefault="009278C5" w:rsidP="009278C5">
                  <w:pPr>
                    <w:spacing w:after="0" w:line="240" w:lineRule="auto"/>
                    <w:ind w:right="262"/>
                    <w:jc w:val="right"/>
                    <w:rPr>
                      <w:rFonts w:eastAsia="Trebuchet MS"/>
                      <w:sz w:val="20"/>
                      <w:szCs w:val="20"/>
                    </w:rPr>
                  </w:pPr>
                  <w:r w:rsidRPr="00BB290E">
                    <w:rPr>
                      <w:rFonts w:eastAsia="Calibri"/>
                      <w:b/>
                      <w:color w:val="000000"/>
                      <w:sz w:val="20"/>
                      <w:szCs w:val="20"/>
                      <w:lang w:val="es"/>
                    </w:rPr>
                    <w:t>0</w:t>
                  </w:r>
                </w:p>
              </w:tc>
            </w:tr>
            <w:tr w:rsidR="009278C5" w:rsidRPr="00A56294" w14:paraId="4CBC4627" w14:textId="77777777" w:rsidTr="009278C5">
              <w:trPr>
                <w:jc w:val="center"/>
              </w:trPr>
              <w:tc>
                <w:tcPr>
                  <w:tcW w:w="1561" w:type="dxa"/>
                  <w:vAlign w:val="center"/>
                </w:tcPr>
                <w:p w14:paraId="62B6B982" w14:textId="77777777" w:rsidR="009278C5" w:rsidRPr="00BB290E" w:rsidRDefault="009278C5" w:rsidP="009278C5">
                  <w:pPr>
                    <w:spacing w:after="0" w:line="240" w:lineRule="auto"/>
                    <w:jc w:val="both"/>
                    <w:rPr>
                      <w:rFonts w:eastAsia="Trebuchet MS"/>
                      <w:b/>
                      <w:sz w:val="20"/>
                      <w:szCs w:val="20"/>
                    </w:rPr>
                  </w:pPr>
                  <w:r w:rsidRPr="00BB290E">
                    <w:rPr>
                      <w:rFonts w:eastAsia="Trebuchet MS"/>
                      <w:b/>
                      <w:sz w:val="20"/>
                      <w:szCs w:val="20"/>
                    </w:rPr>
                    <w:t>Total</w:t>
                  </w:r>
                </w:p>
              </w:tc>
              <w:tc>
                <w:tcPr>
                  <w:tcW w:w="1222" w:type="dxa"/>
                  <w:vAlign w:val="center"/>
                </w:tcPr>
                <w:p w14:paraId="16F79010" w14:textId="77777777" w:rsidR="009278C5" w:rsidRPr="00BB290E" w:rsidRDefault="009278C5" w:rsidP="009278C5">
                  <w:pPr>
                    <w:spacing w:after="0" w:line="240" w:lineRule="auto"/>
                    <w:ind w:right="262"/>
                    <w:jc w:val="right"/>
                    <w:rPr>
                      <w:rFonts w:eastAsia="Trebuchet MS"/>
                      <w:b/>
                      <w:sz w:val="20"/>
                      <w:szCs w:val="20"/>
                    </w:rPr>
                  </w:pPr>
                  <w:r w:rsidRPr="00BB290E">
                    <w:rPr>
                      <w:rFonts w:eastAsia="Calibri"/>
                      <w:b/>
                      <w:color w:val="000000"/>
                      <w:sz w:val="20"/>
                      <w:szCs w:val="20"/>
                      <w:lang w:val="es"/>
                    </w:rPr>
                    <w:t>34</w:t>
                  </w:r>
                </w:p>
              </w:tc>
              <w:tc>
                <w:tcPr>
                  <w:tcW w:w="1134" w:type="dxa"/>
                  <w:vAlign w:val="center"/>
                </w:tcPr>
                <w:p w14:paraId="325E7581" w14:textId="77777777" w:rsidR="009278C5" w:rsidRPr="00BB290E" w:rsidRDefault="009278C5" w:rsidP="009278C5">
                  <w:pPr>
                    <w:spacing w:after="0" w:line="240" w:lineRule="auto"/>
                    <w:ind w:right="262"/>
                    <w:jc w:val="right"/>
                    <w:rPr>
                      <w:rFonts w:eastAsia="Trebuchet MS"/>
                      <w:b/>
                      <w:sz w:val="20"/>
                      <w:szCs w:val="20"/>
                    </w:rPr>
                  </w:pPr>
                  <w:r w:rsidRPr="00BB290E">
                    <w:rPr>
                      <w:rFonts w:eastAsia="Calibri"/>
                      <w:b/>
                      <w:color w:val="000000"/>
                      <w:sz w:val="20"/>
                      <w:szCs w:val="20"/>
                      <w:lang w:val="es"/>
                    </w:rPr>
                    <w:t>200</w:t>
                  </w:r>
                </w:p>
              </w:tc>
              <w:tc>
                <w:tcPr>
                  <w:tcW w:w="1134" w:type="dxa"/>
                  <w:vAlign w:val="center"/>
                </w:tcPr>
                <w:p w14:paraId="6CCE9879" w14:textId="77777777" w:rsidR="009278C5" w:rsidRPr="00BB290E" w:rsidRDefault="009278C5" w:rsidP="009278C5">
                  <w:pPr>
                    <w:spacing w:after="0" w:line="240" w:lineRule="auto"/>
                    <w:ind w:right="262"/>
                    <w:jc w:val="right"/>
                    <w:rPr>
                      <w:rFonts w:eastAsia="Trebuchet MS"/>
                      <w:b/>
                      <w:sz w:val="20"/>
                      <w:szCs w:val="20"/>
                    </w:rPr>
                  </w:pPr>
                  <w:r w:rsidRPr="00BB290E">
                    <w:rPr>
                      <w:rFonts w:eastAsia="Calibri"/>
                      <w:b/>
                      <w:color w:val="000000"/>
                      <w:sz w:val="20"/>
                      <w:szCs w:val="20"/>
                      <w:lang w:val="es"/>
                    </w:rPr>
                    <w:t>234</w:t>
                  </w:r>
                </w:p>
              </w:tc>
            </w:tr>
          </w:tbl>
          <w:p w14:paraId="6DDC2B18" w14:textId="77777777" w:rsidR="009278C5" w:rsidRPr="00D07A16" w:rsidRDefault="009278C5" w:rsidP="009278C5">
            <w:pPr>
              <w:spacing w:after="160" w:line="259" w:lineRule="auto"/>
              <w:ind w:left="1440"/>
              <w:jc w:val="both"/>
              <w:rPr>
                <w:rFonts w:eastAsia="Trebuchet MS"/>
                <w:i/>
                <w:iCs/>
                <w:sz w:val="18"/>
                <w:szCs w:val="18"/>
              </w:rPr>
            </w:pPr>
            <w:r w:rsidRPr="00D07A16">
              <w:rPr>
                <w:rFonts w:eastAsia="Calibri"/>
                <w:i/>
                <w:iCs/>
                <w:color w:val="000000"/>
                <w:sz w:val="18"/>
                <w:szCs w:val="18"/>
                <w:lang w:val="es"/>
              </w:rPr>
              <w:t>Fuente: VIGEPES</w:t>
            </w:r>
          </w:p>
          <w:p w14:paraId="326E2B42" w14:textId="77777777" w:rsidR="009278C5" w:rsidRPr="008B013D" w:rsidRDefault="009278C5" w:rsidP="00617951">
            <w:pPr>
              <w:pStyle w:val="ListParagraph"/>
              <w:numPr>
                <w:ilvl w:val="0"/>
                <w:numId w:val="38"/>
              </w:numPr>
              <w:spacing w:before="120"/>
              <w:ind w:left="1077"/>
              <w:contextualSpacing w:val="0"/>
              <w:jc w:val="both"/>
              <w:rPr>
                <w:b/>
                <w:bCs/>
                <w:u w:val="single"/>
                <w:lang w:val="es-NI"/>
              </w:rPr>
            </w:pPr>
            <w:r w:rsidRPr="008B013D">
              <w:rPr>
                <w:b/>
                <w:bCs/>
                <w:u w:val="single"/>
                <w:lang w:val="es-NI"/>
              </w:rPr>
              <w:t>La respuesta nacional</w:t>
            </w:r>
          </w:p>
          <w:p w14:paraId="477E6069" w14:textId="77777777" w:rsidR="009278C5" w:rsidRPr="00030284" w:rsidRDefault="009278C5" w:rsidP="009278C5">
            <w:pPr>
              <w:jc w:val="both"/>
              <w:rPr>
                <w:b/>
                <w:bCs/>
                <w:lang w:val="es-NI"/>
              </w:rPr>
            </w:pPr>
            <w:r w:rsidRPr="00030284">
              <w:rPr>
                <w:b/>
                <w:bCs/>
                <w:lang w:val="es-NI"/>
              </w:rPr>
              <w:t>Cascada del continuo de la atención</w:t>
            </w:r>
          </w:p>
          <w:p w14:paraId="58ADB987" w14:textId="77777777" w:rsidR="00DE65CA" w:rsidRDefault="009278C5" w:rsidP="009278C5">
            <w:pPr>
              <w:jc w:val="both"/>
              <w:rPr>
                <w:lang w:val="es-NI"/>
              </w:rPr>
            </w:pPr>
            <w:r w:rsidRPr="00144918">
              <w:rPr>
                <w:lang w:val="es-NI"/>
              </w:rPr>
              <w:t>Al concluir el 2019 de las 26,893 personas que se estiman están vivas con VIH en el país, el 62.5% son hombres y el 37.5% mujeres.</w:t>
            </w:r>
          </w:p>
          <w:p w14:paraId="00721458" w14:textId="686A4D1D" w:rsidR="00DE65CA" w:rsidRDefault="009278C5" w:rsidP="009278C5">
            <w:pPr>
              <w:jc w:val="both"/>
              <w:rPr>
                <w:lang w:val="es-NI"/>
              </w:rPr>
            </w:pPr>
            <w:r w:rsidRPr="00144918">
              <w:rPr>
                <w:lang w:val="es-NI"/>
              </w:rPr>
              <w:t>Según el SUMEVE</w:t>
            </w:r>
            <w:r w:rsidR="005C13CA">
              <w:rPr>
                <w:lang w:val="es-NI"/>
              </w:rPr>
              <w:t xml:space="preserve">, </w:t>
            </w:r>
            <w:r w:rsidRPr="00144918">
              <w:rPr>
                <w:lang w:val="es-NI"/>
              </w:rPr>
              <w:t>a 19,242 personas que tienen VIH se les ha logrado diagnosticar (de ellos el 37.4% son mujeres y 62.6% hombres), el 71.4% de las mujeres con VIH saben su diagnóstico, en tanto que el 71.7% de los hombres con VIH saben su diagnóstico, es decir que</w:t>
            </w:r>
            <w:r w:rsidR="00CD30B2">
              <w:rPr>
                <w:lang w:val="es-NI"/>
              </w:rPr>
              <w:t>,</w:t>
            </w:r>
            <w:r w:rsidRPr="00144918">
              <w:rPr>
                <w:lang w:val="es-NI"/>
              </w:rPr>
              <w:t xml:space="preserve"> a pesar de que la proporción de mujeres con VIH es 67% inferior a la de hombres con VIH, la proporción de quienes saben su diagnóstico es </w:t>
            </w:r>
            <w:r w:rsidRPr="00A873FB">
              <w:rPr>
                <w:lang w:val="es-NI"/>
              </w:rPr>
              <w:t>similar.</w:t>
            </w:r>
          </w:p>
          <w:p w14:paraId="04EF2CEB" w14:textId="7A854681" w:rsidR="00DE65CA" w:rsidRDefault="009278C5" w:rsidP="009278C5">
            <w:pPr>
              <w:jc w:val="both"/>
              <w:rPr>
                <w:lang w:val="es-NI"/>
              </w:rPr>
            </w:pPr>
            <w:r w:rsidRPr="001E0232">
              <w:rPr>
                <w:lang w:val="es-NI"/>
              </w:rPr>
              <w:t xml:space="preserve">A la red de establecimientos del MINSAL </w:t>
            </w:r>
            <w:r w:rsidRPr="00424489">
              <w:rPr>
                <w:lang w:val="es-NI"/>
              </w:rPr>
              <w:t>ha sido vinculada el 54.3% de las personas con VIH, el 41.2% permanecen retenidas cumpliendo las citas, el 37.4% ha sido incorporadas a la terapia con antirretrovirales y 32.7% han alcanzado la supresión viral.</w:t>
            </w:r>
            <w:r w:rsidR="00840D52" w:rsidRPr="00424489">
              <w:rPr>
                <w:lang w:val="es-NI"/>
              </w:rPr>
              <w:t xml:space="preserve"> </w:t>
            </w:r>
            <w:r w:rsidR="00840D52" w:rsidRPr="00424489">
              <w:rPr>
                <w:lang w:bidi="es-ES"/>
              </w:rPr>
              <w:t>[Anexo 1.18]</w:t>
            </w:r>
          </w:p>
          <w:p w14:paraId="56458964" w14:textId="4A997390" w:rsidR="009278C5" w:rsidRDefault="009278C5" w:rsidP="009278C5">
            <w:pPr>
              <w:jc w:val="both"/>
              <w:rPr>
                <w:lang w:val="es-NI"/>
              </w:rPr>
            </w:pPr>
            <w:r w:rsidRPr="001E0232">
              <w:rPr>
                <w:lang w:val="es-NI"/>
              </w:rPr>
              <w:t xml:space="preserve">El país ha realizado esfuerzos en el marco del desarrollo del Sistema Único de Información en Salud por incorporar toda la información de personas con VIH atendidas por los integrantes del Sistema de Salud, sin </w:t>
            </w:r>
            <w:r w:rsidR="00360FCB" w:rsidRPr="001E0232">
              <w:rPr>
                <w:lang w:val="es-NI"/>
              </w:rPr>
              <w:t>embargo,</w:t>
            </w:r>
            <w:r w:rsidRPr="001E0232">
              <w:rPr>
                <w:lang w:val="es-NI"/>
              </w:rPr>
              <w:t xml:space="preserve"> aún no se ha logrado incorporar dentro del SUMEVE la información de las personas que están vinculadas,</w:t>
            </w:r>
            <w:r w:rsidR="00DE65CA">
              <w:rPr>
                <w:lang w:val="es-NI"/>
              </w:rPr>
              <w:t xml:space="preserve"> las que están</w:t>
            </w:r>
            <w:r w:rsidRPr="001E0232">
              <w:rPr>
                <w:lang w:val="es-NI"/>
              </w:rPr>
              <w:t xml:space="preserve"> retenidas, </w:t>
            </w:r>
            <w:r w:rsidR="00DE65CA">
              <w:rPr>
                <w:lang w:val="es-NI"/>
              </w:rPr>
              <w:t xml:space="preserve">están </w:t>
            </w:r>
            <w:r w:rsidRPr="001E0232">
              <w:rPr>
                <w:lang w:val="es-NI"/>
              </w:rPr>
              <w:t xml:space="preserve">en TAR y las que han alcanzado la supresión viral cuya atención les es brindada en establecimientos que no son del MINSAL. Sin </w:t>
            </w:r>
            <w:r w:rsidR="00360FCB" w:rsidRPr="001E0232">
              <w:rPr>
                <w:lang w:val="es-NI"/>
              </w:rPr>
              <w:t>embargo,</w:t>
            </w:r>
            <w:r w:rsidRPr="001E0232">
              <w:rPr>
                <w:lang w:val="es-NI"/>
              </w:rPr>
              <w:t xml:space="preserve"> la incorporación de los datos del ISSS está actualmente en proceso, y se espera tenerla completamente incluida en el SUMEVE a finales del 2022, lo que permitirá tener información más completa de las brechas existentes en la cascada de atención. Adicionalmente el fortalecimiento del sistema de información, monitoreo y evaluación es parte de las actividades incluidas en la solicitud de financiamiento al FM para el período 2022-2024. </w:t>
            </w:r>
          </w:p>
          <w:p w14:paraId="44B494B9" w14:textId="1E7A0667" w:rsidR="009278C5" w:rsidRDefault="009278C5" w:rsidP="009278C5">
            <w:pPr>
              <w:jc w:val="both"/>
              <w:rPr>
                <w:lang w:val="es-NI"/>
              </w:rPr>
            </w:pPr>
            <w:r w:rsidRPr="001E0232">
              <w:rPr>
                <w:lang w:val="es-NI"/>
              </w:rPr>
              <w:t xml:space="preserve">En las reuniones </w:t>
            </w:r>
            <w:r>
              <w:rPr>
                <w:lang w:val="es-NI"/>
              </w:rPr>
              <w:t xml:space="preserve">mensuales multisectoriales de la Subcomisión Nacional de </w:t>
            </w:r>
            <w:r w:rsidR="00DE65CA">
              <w:rPr>
                <w:lang w:val="es-NI"/>
              </w:rPr>
              <w:t>M</w:t>
            </w:r>
            <w:r>
              <w:rPr>
                <w:lang w:val="es-NI"/>
              </w:rPr>
              <w:t xml:space="preserve">onitoreo y </w:t>
            </w:r>
            <w:r w:rsidR="00DE65CA">
              <w:rPr>
                <w:lang w:val="es-NI"/>
              </w:rPr>
              <w:t>E</w:t>
            </w:r>
            <w:r>
              <w:rPr>
                <w:lang w:val="es-NI"/>
              </w:rPr>
              <w:t xml:space="preserve">valuación </w:t>
            </w:r>
            <w:r w:rsidRPr="001E0232">
              <w:rPr>
                <w:lang w:val="es-NI"/>
              </w:rPr>
              <w:t>de la CONAVIH</w:t>
            </w:r>
            <w:r>
              <w:rPr>
                <w:lang w:val="es-NI"/>
              </w:rPr>
              <w:t>,</w:t>
            </w:r>
            <w:r w:rsidRPr="001E0232">
              <w:rPr>
                <w:lang w:val="es-NI"/>
              </w:rPr>
              <w:t xml:space="preserve"> se realiza </w:t>
            </w:r>
            <w:r>
              <w:rPr>
                <w:lang w:val="es-NI"/>
              </w:rPr>
              <w:t>una presentación mensual</w:t>
            </w:r>
            <w:r w:rsidRPr="001E0232">
              <w:rPr>
                <w:lang w:val="es-NI"/>
              </w:rPr>
              <w:t xml:space="preserve"> de</w:t>
            </w:r>
            <w:r>
              <w:rPr>
                <w:lang w:val="es-NI"/>
              </w:rPr>
              <w:t xml:space="preserve"> la información de la atención y servicios de salud que se brindan a los pacientes, la cual responde a los </w:t>
            </w:r>
            <w:r w:rsidRPr="002C0B47">
              <w:rPr>
                <w:lang w:val="es-NI"/>
              </w:rPr>
              <w:t xml:space="preserve">indicadores del </w:t>
            </w:r>
            <w:r w:rsidRPr="001E0232">
              <w:rPr>
                <w:lang w:val="es-NI"/>
              </w:rPr>
              <w:t xml:space="preserve">PENM </w:t>
            </w:r>
            <w:r w:rsidRPr="002C0B47">
              <w:rPr>
                <w:lang w:val="es-NI"/>
              </w:rPr>
              <w:t xml:space="preserve">y del proyecto del Fondo Mundial, con lo cual  se efectúan análisis de la situación de manera periódica, </w:t>
            </w:r>
            <w:r w:rsidRPr="001E0232">
              <w:rPr>
                <w:lang w:val="es-NI"/>
              </w:rPr>
              <w:t>que incluye las metas 95 95 95</w:t>
            </w:r>
            <w:r w:rsidRPr="002C0B47">
              <w:rPr>
                <w:lang w:val="es-NI"/>
              </w:rPr>
              <w:t xml:space="preserve">, </w:t>
            </w:r>
            <w:r w:rsidRPr="001E0232">
              <w:rPr>
                <w:lang w:val="es-NI"/>
              </w:rPr>
              <w:t>la priorización geográfica de las intervenciones según los hallazgos</w:t>
            </w:r>
            <w:r w:rsidRPr="002C0B47">
              <w:rPr>
                <w:lang w:val="es-NI"/>
              </w:rPr>
              <w:t xml:space="preserve">, con los que posteriormente se presentará </w:t>
            </w:r>
            <w:r w:rsidRPr="002C0B47">
              <w:rPr>
                <w:lang w:val="es-NI"/>
              </w:rPr>
              <w:lastRenderedPageBreak/>
              <w:t>un informe semestral a la CONAVIH para sus intervenciones</w:t>
            </w:r>
            <w:r>
              <w:rPr>
                <w:lang w:val="es-NI"/>
              </w:rPr>
              <w:t xml:space="preserve"> en aquellos puntos en los cuales se requiera una toma de decisión con impacto a nivel nacional. </w:t>
            </w:r>
          </w:p>
          <w:p w14:paraId="5EBA5D6A" w14:textId="77777777" w:rsidR="009278C5" w:rsidRPr="00F3745F" w:rsidRDefault="009278C5" w:rsidP="00617951">
            <w:pPr>
              <w:pStyle w:val="ListParagraph"/>
              <w:numPr>
                <w:ilvl w:val="0"/>
                <w:numId w:val="39"/>
              </w:numPr>
              <w:spacing w:line="240" w:lineRule="auto"/>
              <w:ind w:left="714" w:hanging="357"/>
              <w:contextualSpacing w:val="0"/>
              <w:jc w:val="both"/>
              <w:rPr>
                <w:lang w:val="es-NI"/>
              </w:rPr>
            </w:pPr>
            <w:r w:rsidRPr="00D54297">
              <w:rPr>
                <w:i/>
                <w:iCs/>
                <w:noProof/>
              </w:rPr>
              <w:drawing>
                <wp:anchor distT="0" distB="0" distL="114300" distR="114300" simplePos="0" relativeHeight="251678720" behindDoc="0" locked="0" layoutInCell="1" allowOverlap="1" wp14:anchorId="0AE001EB" wp14:editId="7D24F6E3">
                  <wp:simplePos x="0" y="0"/>
                  <wp:positionH relativeFrom="column">
                    <wp:posOffset>5715</wp:posOffset>
                  </wp:positionH>
                  <wp:positionV relativeFrom="paragraph">
                    <wp:posOffset>31003</wp:posOffset>
                  </wp:positionV>
                  <wp:extent cx="3621405" cy="2861945"/>
                  <wp:effectExtent l="0" t="0" r="17145" b="14605"/>
                  <wp:wrapSquare wrapText="bothSides"/>
                  <wp:docPr id="14" name="Gráfico 14">
                    <a:extLst xmlns:a="http://schemas.openxmlformats.org/drawingml/2006/main">
                      <a:ext uri="{FF2B5EF4-FFF2-40B4-BE49-F238E27FC236}">
                        <a16:creationId xmlns:a16="http://schemas.microsoft.com/office/drawing/2014/main" id="{4C425895-F470-4288-BE6C-DFB88865D7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sidRPr="00D54297">
              <w:rPr>
                <w:i/>
                <w:iCs/>
                <w:lang w:val="es-NI"/>
              </w:rPr>
              <w:t>Brecha entre el Segundo Pilar y el Primer 95 (segundo pilar y primera meta 95)</w:t>
            </w:r>
          </w:p>
          <w:p w14:paraId="2E9E8E0A" w14:textId="11CEC498" w:rsidR="009278C5" w:rsidRDefault="00DE65CA" w:rsidP="009278C5">
            <w:pPr>
              <w:jc w:val="both"/>
              <w:rPr>
                <w:lang w:val="es-NI"/>
              </w:rPr>
            </w:pPr>
            <w:r w:rsidRPr="007A2182">
              <w:rPr>
                <w:noProof/>
                <w:lang w:val="es-NI"/>
              </w:rPr>
              <mc:AlternateContent>
                <mc:Choice Requires="wps">
                  <w:drawing>
                    <wp:anchor distT="45720" distB="45720" distL="114300" distR="114300" simplePos="0" relativeHeight="251679744" behindDoc="0" locked="0" layoutInCell="1" allowOverlap="1" wp14:anchorId="41316A0A" wp14:editId="68774429">
                      <wp:simplePos x="0" y="0"/>
                      <wp:positionH relativeFrom="column">
                        <wp:posOffset>12401</wp:posOffset>
                      </wp:positionH>
                      <wp:positionV relativeFrom="paragraph">
                        <wp:posOffset>2519754</wp:posOffset>
                      </wp:positionV>
                      <wp:extent cx="3602990" cy="1404620"/>
                      <wp:effectExtent l="0" t="0" r="0" b="698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404620"/>
                              </a:xfrm>
                              <a:prstGeom prst="rect">
                                <a:avLst/>
                              </a:prstGeom>
                              <a:solidFill>
                                <a:srgbClr val="FFFFFF"/>
                              </a:solidFill>
                              <a:ln w="9525">
                                <a:noFill/>
                                <a:miter lim="800000"/>
                                <a:headEnd/>
                                <a:tailEnd/>
                              </a:ln>
                            </wps:spPr>
                            <wps:txbx>
                              <w:txbxContent>
                                <w:p w14:paraId="4AC7ABB6" w14:textId="77777777" w:rsidR="00381E40" w:rsidRPr="00D54297" w:rsidRDefault="00381E40" w:rsidP="009278C5">
                                  <w:pPr>
                                    <w:spacing w:after="0" w:line="240" w:lineRule="auto"/>
                                    <w:rPr>
                                      <w:sz w:val="14"/>
                                      <w:szCs w:val="14"/>
                                      <w:lang w:val="es-NI"/>
                                    </w:rPr>
                                  </w:pPr>
                                  <w:r w:rsidRPr="00D54297">
                                    <w:rPr>
                                      <w:sz w:val="14"/>
                                      <w:szCs w:val="14"/>
                                      <w:lang w:val="es-NI"/>
                                    </w:rPr>
                                    <w:t>Fuente: Informe Nacional Situación de VIH, El Salvador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16A0A" id="_x0000_s1028" type="#_x0000_t202" style="position:absolute;left:0;text-align:left;margin-left:1pt;margin-top:198.4pt;width:283.7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" stroked="f">
                      <v:textbox style="mso-fit-shape-to-text:t">
                        <w:txbxContent>
                          <w:p w14:paraId="4AC7ABB6" w14:textId="77777777" w:rsidR="00381E40" w:rsidRPr="00D54297" w:rsidRDefault="00381E40" w:rsidP="009278C5">
                            <w:pPr>
                              <w:spacing w:after="0" w:line="240" w:lineRule="auto"/>
                              <w:rPr>
                                <w:sz w:val="14"/>
                                <w:szCs w:val="14"/>
                                <w:lang w:val="es-NI"/>
                              </w:rPr>
                            </w:pPr>
                            <w:r w:rsidRPr="00D54297">
                              <w:rPr>
                                <w:sz w:val="14"/>
                                <w:szCs w:val="14"/>
                                <w:lang w:val="es-NI"/>
                              </w:rPr>
                              <w:t>Fuente: Informe Nacional Situación de VIH, El Salvador 2019.</w:t>
                            </w:r>
                          </w:p>
                        </w:txbxContent>
                      </v:textbox>
                      <w10:wrap type="square"/>
                    </v:shape>
                  </w:pict>
                </mc:Fallback>
              </mc:AlternateContent>
            </w:r>
            <w:r w:rsidR="009278C5" w:rsidRPr="009640C4">
              <w:rPr>
                <w:lang w:val="es-NI"/>
              </w:rPr>
              <w:t>La intensidad en la promoción</w:t>
            </w:r>
            <w:r w:rsidR="009278C5" w:rsidRPr="00D325A6">
              <w:rPr>
                <w:lang w:val="es-NI"/>
              </w:rPr>
              <w:t xml:space="preserve"> de la prueba para detectar a un número mayor de personas con VIH no ha sido un inconveniente, sin embargo, los bajos índices de positividad estarían indicando que la promoción de la prueba debe intensificarse en las poblaciones clave, como se está haciendo en la actualidad, particularmente en el primer nivel de atención, en conjunto con organizaciones de la sociedad civil y el apoyo de las agencias cooperantes</w:t>
            </w:r>
            <w:r w:rsidR="009278C5">
              <w:rPr>
                <w:lang w:val="es-NI"/>
              </w:rPr>
              <w:t xml:space="preserve"> </w:t>
            </w:r>
            <w:r w:rsidR="009278C5">
              <w:rPr>
                <w:lang w:val="es-EC"/>
              </w:rPr>
              <w:t>y</w:t>
            </w:r>
            <w:r w:rsidR="009278C5" w:rsidRPr="00172E1B">
              <w:rPr>
                <w:lang w:val="es-EC"/>
              </w:rPr>
              <w:t xml:space="preserve"> a través de n</w:t>
            </w:r>
            <w:r w:rsidR="009278C5">
              <w:rPr>
                <w:lang w:val="es-EC"/>
              </w:rPr>
              <w:t xml:space="preserve">uevos abordajes para la identificación de poblaciones </w:t>
            </w:r>
            <w:r w:rsidR="009278C5" w:rsidRPr="00E35922">
              <w:rPr>
                <w:lang w:val="es-EC"/>
              </w:rPr>
              <w:t>clave, la oferta de la prueba y la realización de la misma a través de unidades móviles que acercan la prueba a sitios de concentración de personas, además de la ampliación de horarios y la implementación de actividades extramurales en fines de semana.</w:t>
            </w:r>
          </w:p>
          <w:p w14:paraId="13BBEA01" w14:textId="0C22EB88" w:rsidR="009278C5" w:rsidRPr="00424489" w:rsidRDefault="009278C5" w:rsidP="009278C5">
            <w:pPr>
              <w:jc w:val="both"/>
              <w:rPr>
                <w:lang w:val="es-NI"/>
              </w:rPr>
            </w:pPr>
            <w:r w:rsidRPr="00D325A6">
              <w:rPr>
                <w:lang w:val="es-NI"/>
              </w:rPr>
              <w:t>En el estudio de Cascada del continuo de la atenci</w:t>
            </w:r>
            <w:r w:rsidRPr="001947AD">
              <w:rPr>
                <w:lang w:val="es-NI"/>
              </w:rPr>
              <w:t>ón del 2018 se observa una contribución d</w:t>
            </w:r>
            <w:r w:rsidRPr="00424489">
              <w:rPr>
                <w:lang w:val="es-NI"/>
              </w:rPr>
              <w:t>el ISSS y otros proveedores a</w:t>
            </w:r>
            <w:r w:rsidR="00573EAD" w:rsidRPr="00424489">
              <w:rPr>
                <w:lang w:val="es-NI"/>
              </w:rPr>
              <w:t>l segundo pilar</w:t>
            </w:r>
            <w:r w:rsidRPr="00424489">
              <w:rPr>
                <w:lang w:val="es-NI"/>
              </w:rPr>
              <w:t xml:space="preserve">, la proporción de personas que saben su diagnóstico se incrementa en </w:t>
            </w:r>
            <w:r w:rsidR="00573EAD" w:rsidRPr="00424489">
              <w:rPr>
                <w:lang w:val="es-NI"/>
              </w:rPr>
              <w:t>nueve</w:t>
            </w:r>
            <w:r w:rsidRPr="00424489">
              <w:rPr>
                <w:lang w:val="es-NI"/>
              </w:rPr>
              <w:t xml:space="preserve"> puntos porcentuales al adicionar la información del ISSS y otros a la del MINSAL (</w:t>
            </w:r>
            <w:r w:rsidR="00573EAD" w:rsidRPr="00424489">
              <w:rPr>
                <w:lang w:val="es-NI"/>
              </w:rPr>
              <w:t>69</w:t>
            </w:r>
            <w:r w:rsidRPr="00424489">
              <w:rPr>
                <w:lang w:val="es-NI"/>
              </w:rPr>
              <w:t>% a 78%). [A</w:t>
            </w:r>
            <w:r w:rsidR="00573EAD" w:rsidRPr="00424489">
              <w:rPr>
                <w:lang w:val="es-NI"/>
              </w:rPr>
              <w:t>nexo 1.</w:t>
            </w:r>
            <w:r w:rsidR="00E61109" w:rsidRPr="00424489">
              <w:rPr>
                <w:lang w:val="es-NI"/>
              </w:rPr>
              <w:t>26</w:t>
            </w:r>
            <w:r w:rsidRPr="00424489">
              <w:rPr>
                <w:lang w:val="es-NI"/>
              </w:rPr>
              <w:t>]</w:t>
            </w:r>
          </w:p>
          <w:p w14:paraId="2B0CF012" w14:textId="00082006" w:rsidR="009278C5" w:rsidRPr="001E0232" w:rsidRDefault="009278C5" w:rsidP="009278C5">
            <w:pPr>
              <w:jc w:val="both"/>
              <w:rPr>
                <w:lang w:val="es-EC"/>
              </w:rPr>
            </w:pPr>
            <w:r w:rsidRPr="00424489">
              <w:rPr>
                <w:lang w:val="es-NI"/>
              </w:rPr>
              <w:t xml:space="preserve">Una de las principales barreras para el diagnóstico de VIH es el tiempo prolongado entre la toma de la prueba y la entrega de los resultados, ya que no todos los establecimientos de salud cuentan con laboratorio clínico para el procesamiento de </w:t>
            </w:r>
            <w:r w:rsidR="000D4655" w:rsidRPr="00424489">
              <w:rPr>
                <w:lang w:val="es-NI"/>
              </w:rPr>
              <w:t>estas</w:t>
            </w:r>
            <w:r w:rsidRPr="00424489">
              <w:rPr>
                <w:lang w:val="es-NI"/>
              </w:rPr>
              <w:t xml:space="preserve">, además, que para la toma de dichas pruebas se requiere que esta sea efectuada por un profesional de laboratorio clínico. La actualización del algoritmo diagnóstico (en proceso de validación esperando </w:t>
            </w:r>
            <w:r w:rsidRPr="002A015C">
              <w:rPr>
                <w:lang w:val="es-NI"/>
              </w:rPr>
              <w:t>tenerlo a finales</w:t>
            </w:r>
            <w:r w:rsidRPr="00424489">
              <w:rPr>
                <w:lang w:val="es-NI"/>
              </w:rPr>
              <w:t xml:space="preserve"> del 2021) contribuirá a reducir esta</w:t>
            </w:r>
            <w:r>
              <w:rPr>
                <w:lang w:val="es-NI"/>
              </w:rPr>
              <w:t xml:space="preserve"> demora, </w:t>
            </w:r>
            <w:r w:rsidRPr="004C4005">
              <w:rPr>
                <w:lang w:val="es-NI"/>
              </w:rPr>
              <w:t xml:space="preserve">ya no </w:t>
            </w:r>
            <w:r>
              <w:rPr>
                <w:lang w:val="es-NI"/>
              </w:rPr>
              <w:t xml:space="preserve">se </w:t>
            </w:r>
            <w:r w:rsidRPr="004C4005">
              <w:rPr>
                <w:lang w:val="es-NI"/>
              </w:rPr>
              <w:t xml:space="preserve">requerirá </w:t>
            </w:r>
            <w:r>
              <w:rPr>
                <w:lang w:val="es-NI"/>
              </w:rPr>
              <w:t xml:space="preserve">de </w:t>
            </w:r>
            <w:r w:rsidRPr="004C4005">
              <w:rPr>
                <w:lang w:val="es-NI"/>
              </w:rPr>
              <w:t>un profesional de laboratorio clínico</w:t>
            </w:r>
            <w:r>
              <w:rPr>
                <w:lang w:val="es-NI"/>
              </w:rPr>
              <w:t xml:space="preserve"> para la toma de la muestra, con lo que</w:t>
            </w:r>
            <w:r w:rsidRPr="004C4005">
              <w:rPr>
                <w:lang w:val="es-NI"/>
              </w:rPr>
              <w:t xml:space="preserve"> </w:t>
            </w:r>
            <w:r w:rsidRPr="00E35922">
              <w:rPr>
                <w:lang w:val="es-NI"/>
              </w:rPr>
              <w:t xml:space="preserve">se pretende aumentar el número de PVIH que conocen su diagnóstico, reforzado con </w:t>
            </w:r>
            <w:r w:rsidRPr="00E35922">
              <w:rPr>
                <w:lang w:val="es-EC"/>
              </w:rPr>
              <w:t xml:space="preserve">abordajes innovadores para la realización de la </w:t>
            </w:r>
            <w:r w:rsidR="00A63771">
              <w:rPr>
                <w:lang w:val="es-EC"/>
              </w:rPr>
              <w:t xml:space="preserve">auto </w:t>
            </w:r>
            <w:r w:rsidRPr="00E35922">
              <w:rPr>
                <w:lang w:val="es-EC"/>
              </w:rPr>
              <w:t>prueba y el test comunitario.</w:t>
            </w:r>
          </w:p>
          <w:p w14:paraId="2A62B5DC" w14:textId="23C02EB4" w:rsidR="009278C5" w:rsidRPr="00040AEC" w:rsidRDefault="009278C5" w:rsidP="00617951">
            <w:pPr>
              <w:pStyle w:val="ListParagraph"/>
              <w:numPr>
                <w:ilvl w:val="0"/>
                <w:numId w:val="52"/>
              </w:numPr>
              <w:rPr>
                <w:i/>
                <w:iCs/>
                <w:lang w:val="es-NI"/>
              </w:rPr>
            </w:pPr>
            <w:r w:rsidRPr="00040AEC">
              <w:rPr>
                <w:i/>
                <w:iCs/>
                <w:lang w:val="es-NI"/>
              </w:rPr>
              <w:t>Brecha entre el Quinto Pilar y Segundo - 95.</w:t>
            </w:r>
          </w:p>
          <w:p w14:paraId="27E7922A" w14:textId="2CE3ED46" w:rsidR="009278C5" w:rsidRDefault="009278C5" w:rsidP="009278C5">
            <w:pPr>
              <w:pStyle w:val="ListParagraph"/>
              <w:ind w:left="0"/>
              <w:contextualSpacing w:val="0"/>
              <w:jc w:val="both"/>
              <w:rPr>
                <w:lang w:val="es-NI"/>
              </w:rPr>
            </w:pPr>
            <w:r w:rsidRPr="009640C4">
              <w:rPr>
                <w:lang w:val="es-NI"/>
              </w:rPr>
              <w:t>Un</w:t>
            </w:r>
            <w:r w:rsidR="00EB0406">
              <w:rPr>
                <w:lang w:val="es-NI"/>
              </w:rPr>
              <w:t>a</w:t>
            </w:r>
            <w:r w:rsidRPr="009640C4">
              <w:rPr>
                <w:lang w:val="es-NI"/>
              </w:rPr>
              <w:t xml:space="preserve"> de l</w:t>
            </w:r>
            <w:r w:rsidR="007D2821">
              <w:rPr>
                <w:lang w:val="es-NI"/>
              </w:rPr>
              <w:t>a</w:t>
            </w:r>
            <w:r w:rsidRPr="009640C4">
              <w:rPr>
                <w:lang w:val="es-NI"/>
              </w:rPr>
              <w:t xml:space="preserve">s limitantes que se tenía en la incorporación de nuevas personas en tratamiento antirretroviral era la Guía Clínica de Atención a </w:t>
            </w:r>
            <w:r w:rsidR="00CA7ECE">
              <w:rPr>
                <w:lang w:val="es-NI"/>
              </w:rPr>
              <w:t>personas con VIH</w:t>
            </w:r>
            <w:r w:rsidRPr="009640C4">
              <w:rPr>
                <w:lang w:val="es-NI"/>
              </w:rPr>
              <w:t>, sin embargo, esta guía clínica ha sido actualizada</w:t>
            </w:r>
            <w:r w:rsidRPr="00956D53">
              <w:rPr>
                <w:lang w:val="es-NI"/>
              </w:rPr>
              <w:t xml:space="preserve">, </w:t>
            </w:r>
            <w:r w:rsidRPr="00937108">
              <w:rPr>
                <w:lang w:val="es-NI"/>
              </w:rPr>
              <w:t>incorporando el criterio clínico en la decisión de iniciar la TAR</w:t>
            </w:r>
            <w:r w:rsidRPr="001E0232">
              <w:rPr>
                <w:lang w:val="es-NI"/>
              </w:rPr>
              <w:t xml:space="preserve"> y se está trabajando en una modificación para incluir la estrategia Prueba y Tratamiento que se espera esté aprobada en el cuarto trimestre del 2021</w:t>
            </w:r>
            <w:r w:rsidRPr="00AA1E5E">
              <w:rPr>
                <w:lang w:val="es-NI"/>
              </w:rPr>
              <w:t xml:space="preserve">. </w:t>
            </w:r>
            <w:r w:rsidRPr="00AA1E5E" w:rsidDel="00040AEC">
              <w:rPr>
                <w:lang w:val="es-NI"/>
              </w:rPr>
              <w:t xml:space="preserve"> </w:t>
            </w:r>
            <w:r w:rsidRPr="00AA1E5E">
              <w:rPr>
                <w:lang w:val="es-NI"/>
              </w:rPr>
              <w:t xml:space="preserve">Otro de los factores que inciden en esta brecha es el no contar con la información del ISSS, </w:t>
            </w:r>
            <w:r w:rsidR="002A015C" w:rsidRPr="00AA1E5E">
              <w:rPr>
                <w:lang w:val="es-NI"/>
              </w:rPr>
              <w:t>ya que,</w:t>
            </w:r>
            <w:r w:rsidRPr="00AA1E5E">
              <w:rPr>
                <w:lang w:val="es-NI"/>
              </w:rPr>
              <w:t xml:space="preserve"> si bien se encuentran en el pilar de diagnóstico</w:t>
            </w:r>
            <w:r w:rsidRPr="009640C4">
              <w:rPr>
                <w:lang w:val="es-NI"/>
              </w:rPr>
              <w:t xml:space="preserve">, a partir del pilar de vinculación no contamos con información de estos pacientes en el SUMEVE. </w:t>
            </w:r>
          </w:p>
          <w:p w14:paraId="79DF158B" w14:textId="77777777" w:rsidR="009278C5" w:rsidRDefault="009278C5" w:rsidP="009278C5">
            <w:pPr>
              <w:pStyle w:val="ListParagraph"/>
              <w:ind w:left="0"/>
              <w:contextualSpacing w:val="0"/>
              <w:jc w:val="both"/>
              <w:rPr>
                <w:lang w:val="es-NI"/>
              </w:rPr>
            </w:pPr>
            <w:r w:rsidRPr="009640C4">
              <w:rPr>
                <w:lang w:val="es-NI"/>
              </w:rPr>
              <w:t xml:space="preserve">La accesibilidad geográfica es otro factor que influye, ya que, aunque se cuenta con 20 hospitales que brindan atención integral, siempre existen lugares de difícil acceso, lo cual se suma al nivel de pobreza extrema en el que pueden encontrarse algunas personas, </w:t>
            </w:r>
            <w:r>
              <w:rPr>
                <w:lang w:val="es-NI"/>
              </w:rPr>
              <w:t>lo que dificulta que se acerquen a los servicios de salud</w:t>
            </w:r>
            <w:r w:rsidRPr="009640C4">
              <w:rPr>
                <w:lang w:val="es-NI"/>
              </w:rPr>
              <w:t xml:space="preserve"> para el retiro de sus medicamentos.</w:t>
            </w:r>
          </w:p>
          <w:p w14:paraId="7E4A6FDA" w14:textId="3ED5D8B6" w:rsidR="009278C5" w:rsidRDefault="00CE54F3" w:rsidP="009278C5">
            <w:pPr>
              <w:pStyle w:val="ListParagraph"/>
              <w:ind w:left="0"/>
              <w:contextualSpacing w:val="0"/>
              <w:jc w:val="both"/>
              <w:rPr>
                <w:rStyle w:val="normaltextrun"/>
                <w:rFonts w:eastAsia="Times New Roman"/>
                <w:lang w:eastAsia="en-GB"/>
              </w:rPr>
            </w:pPr>
            <w:r>
              <w:rPr>
                <w:rStyle w:val="normaltextrun"/>
                <w:rFonts w:eastAsia="Times New Roman"/>
                <w:lang w:eastAsia="en-GB"/>
              </w:rPr>
              <w:t xml:space="preserve">El país elaboró con </w:t>
            </w:r>
            <w:r w:rsidRPr="001E0232">
              <w:rPr>
                <w:rStyle w:val="normaltextrun"/>
                <w:rFonts w:eastAsia="Times New Roman"/>
                <w:lang w:eastAsia="en-GB"/>
              </w:rPr>
              <w:t xml:space="preserve">el apoyo de PEPFAR </w:t>
            </w:r>
            <w:r>
              <w:rPr>
                <w:rStyle w:val="normaltextrun"/>
                <w:rFonts w:eastAsia="Times New Roman"/>
                <w:lang w:eastAsia="en-GB"/>
              </w:rPr>
              <w:t xml:space="preserve">un plan nacional para la transición a </w:t>
            </w:r>
            <w:r w:rsidR="00F22E75">
              <w:rPr>
                <w:rStyle w:val="normaltextrun"/>
                <w:rFonts w:eastAsia="Times New Roman"/>
                <w:lang w:eastAsia="en-GB"/>
              </w:rPr>
              <w:t>Dolutegravir (</w:t>
            </w:r>
            <w:r w:rsidR="00F22E75" w:rsidRPr="001E0232">
              <w:rPr>
                <w:rStyle w:val="normaltextrun"/>
                <w:rFonts w:eastAsia="Times New Roman"/>
                <w:lang w:eastAsia="en-GB"/>
              </w:rPr>
              <w:t>DTG</w:t>
            </w:r>
            <w:r w:rsidR="00F22E75">
              <w:rPr>
                <w:rStyle w:val="normaltextrun"/>
                <w:rFonts w:eastAsia="Times New Roman"/>
                <w:lang w:eastAsia="en-GB"/>
              </w:rPr>
              <w:t>)</w:t>
            </w:r>
            <w:r w:rsidR="00F22E75" w:rsidRPr="001E0232">
              <w:rPr>
                <w:rStyle w:val="normaltextrun"/>
                <w:rFonts w:eastAsia="Times New Roman"/>
                <w:lang w:eastAsia="en-GB"/>
              </w:rPr>
              <w:t xml:space="preserve"> </w:t>
            </w:r>
            <w:r>
              <w:rPr>
                <w:rStyle w:val="normaltextrun"/>
                <w:rFonts w:eastAsia="Times New Roman"/>
                <w:lang w:eastAsia="en-GB"/>
              </w:rPr>
              <w:t>que facilitara la ruta a seguir en los servicios de salud, pero d</w:t>
            </w:r>
            <w:r w:rsidR="009278C5" w:rsidRPr="001E0232">
              <w:rPr>
                <w:rStyle w:val="normaltextrun"/>
                <w:rFonts w:eastAsia="Times New Roman"/>
                <w:lang w:eastAsia="en-GB"/>
              </w:rPr>
              <w:t xml:space="preserve">ebido a la pandemia de COVID-19 y su impacto en la cadena de gestión de suministros, se vio obligado a hacer una transición acelerada a </w:t>
            </w:r>
            <w:r w:rsidR="00F22E75">
              <w:rPr>
                <w:rStyle w:val="normaltextrun"/>
                <w:rFonts w:eastAsia="Times New Roman"/>
                <w:lang w:eastAsia="en-GB"/>
              </w:rPr>
              <w:t>DTG</w:t>
            </w:r>
            <w:r w:rsidR="00F22E75" w:rsidRPr="001E0232">
              <w:rPr>
                <w:rStyle w:val="normaltextrun"/>
                <w:rFonts w:eastAsia="Times New Roman"/>
                <w:lang w:eastAsia="en-GB"/>
              </w:rPr>
              <w:t xml:space="preserve"> </w:t>
            </w:r>
            <w:r w:rsidR="009278C5" w:rsidRPr="001E0232">
              <w:rPr>
                <w:rStyle w:val="normaltextrun"/>
                <w:rFonts w:eastAsia="Times New Roman"/>
                <w:lang w:eastAsia="en-GB"/>
              </w:rPr>
              <w:t xml:space="preserve">con el objeto de no interrumpir la TAR. </w:t>
            </w:r>
            <w:r>
              <w:rPr>
                <w:rStyle w:val="normaltextrun"/>
                <w:rFonts w:eastAsia="Times New Roman"/>
                <w:lang w:eastAsia="en-GB"/>
              </w:rPr>
              <w:t>Se contó con la asistencia técnica y financiera de PEPFAR para la elaboración</w:t>
            </w:r>
            <w:r w:rsidR="009278C5" w:rsidRPr="001E0232">
              <w:rPr>
                <w:rStyle w:val="normaltextrun"/>
                <w:rFonts w:eastAsia="Times New Roman"/>
                <w:lang w:eastAsia="en-GB"/>
              </w:rPr>
              <w:t xml:space="preserve"> material educativo </w:t>
            </w:r>
            <w:r>
              <w:rPr>
                <w:rStyle w:val="normaltextrun"/>
                <w:rFonts w:eastAsia="Times New Roman"/>
                <w:lang w:eastAsia="en-GB"/>
              </w:rPr>
              <w:t>dirigido a</w:t>
            </w:r>
            <w:r w:rsidR="009278C5" w:rsidRPr="001E0232">
              <w:rPr>
                <w:rStyle w:val="normaltextrun"/>
                <w:rFonts w:eastAsia="Times New Roman"/>
                <w:lang w:eastAsia="en-GB"/>
              </w:rPr>
              <w:t xml:space="preserve"> los pacientes a fin de reforzar sus conocimientos en el cambio de medicamentos y la importancia de ser adherentes al mismo. </w:t>
            </w:r>
          </w:p>
          <w:p w14:paraId="01066E72" w14:textId="6EC7B153" w:rsidR="00E61109" w:rsidRDefault="00E61109" w:rsidP="009278C5">
            <w:pPr>
              <w:pStyle w:val="ListParagraph"/>
              <w:ind w:left="0"/>
              <w:contextualSpacing w:val="0"/>
              <w:jc w:val="both"/>
              <w:rPr>
                <w:rStyle w:val="normaltextrun"/>
                <w:rFonts w:eastAsia="Times New Roman"/>
                <w:lang w:eastAsia="en-GB"/>
              </w:rPr>
            </w:pPr>
          </w:p>
          <w:p w14:paraId="7DEAB9E8" w14:textId="77777777" w:rsidR="00E61109" w:rsidRPr="009640C4" w:rsidRDefault="00E61109" w:rsidP="009278C5">
            <w:pPr>
              <w:pStyle w:val="ListParagraph"/>
              <w:ind w:left="0"/>
              <w:contextualSpacing w:val="0"/>
              <w:jc w:val="both"/>
              <w:rPr>
                <w:lang w:val="es-NI"/>
              </w:rPr>
            </w:pPr>
          </w:p>
          <w:p w14:paraId="08B1EFDE" w14:textId="3F12609C" w:rsidR="009278C5" w:rsidRPr="00D54297" w:rsidRDefault="009278C5" w:rsidP="00617951">
            <w:pPr>
              <w:pStyle w:val="ListParagraph"/>
              <w:numPr>
                <w:ilvl w:val="0"/>
                <w:numId w:val="40"/>
              </w:numPr>
              <w:spacing w:line="240" w:lineRule="auto"/>
              <w:ind w:left="1077" w:hanging="357"/>
              <w:contextualSpacing w:val="0"/>
              <w:jc w:val="both"/>
              <w:rPr>
                <w:i/>
                <w:iCs/>
                <w:lang w:val="es-NI"/>
              </w:rPr>
            </w:pPr>
            <w:r w:rsidRPr="00D54297">
              <w:rPr>
                <w:i/>
                <w:iCs/>
                <w:lang w:val="es-NI"/>
              </w:rPr>
              <w:lastRenderedPageBreak/>
              <w:t>Brecha entre el Sexto Pilar y Tercer</w:t>
            </w:r>
            <w:r w:rsidR="002A015C">
              <w:rPr>
                <w:i/>
                <w:iCs/>
                <w:lang w:val="es-NI"/>
              </w:rPr>
              <w:t>-</w:t>
            </w:r>
            <w:r w:rsidRPr="00D54297">
              <w:rPr>
                <w:i/>
                <w:iCs/>
                <w:lang w:val="es-NI"/>
              </w:rPr>
              <w:t xml:space="preserve"> 95.</w:t>
            </w:r>
          </w:p>
          <w:p w14:paraId="2D4BB9E4" w14:textId="532C92E8" w:rsidR="009278C5" w:rsidRPr="0040724E" w:rsidRDefault="009278C5" w:rsidP="009278C5">
            <w:pPr>
              <w:pStyle w:val="ListParagraph"/>
              <w:ind w:left="0"/>
              <w:contextualSpacing w:val="0"/>
              <w:jc w:val="both"/>
              <w:rPr>
                <w:lang w:val="es-NI"/>
              </w:rPr>
            </w:pPr>
            <w:r w:rsidRPr="001E0232">
              <w:rPr>
                <w:lang w:val="es-NI"/>
              </w:rPr>
              <w:t xml:space="preserve">Tal como en las otras brechas, </w:t>
            </w:r>
            <w:r w:rsidR="00007FBE" w:rsidRPr="001E0232">
              <w:rPr>
                <w:lang w:val="es-NI"/>
              </w:rPr>
              <w:t>esta brecha está</w:t>
            </w:r>
            <w:r w:rsidRPr="001E0232">
              <w:rPr>
                <w:lang w:val="es-NI"/>
              </w:rPr>
              <w:t xml:space="preserve"> siendo impactada por la falta de incorporación de los datos de usuarios del ISSS al SUMEVE.</w:t>
            </w:r>
          </w:p>
          <w:p w14:paraId="4D273A0B" w14:textId="77777777" w:rsidR="009278C5" w:rsidRDefault="009278C5" w:rsidP="009278C5">
            <w:pPr>
              <w:pStyle w:val="ListParagraph"/>
              <w:ind w:left="0"/>
              <w:contextualSpacing w:val="0"/>
              <w:jc w:val="both"/>
              <w:rPr>
                <w:lang w:val="es-NI"/>
              </w:rPr>
            </w:pPr>
            <w:r w:rsidRPr="009640C4">
              <w:rPr>
                <w:lang w:val="es-NI"/>
              </w:rPr>
              <w:t>Definitivamente que las barreras para el tratamiento inciden en la supresión viral, en donde además un factor decisivo es la conducta personal y lo hábitos saludables; otros factores que influyen son la pobreza y la crisis de empleo que se ha visto agravada a causa de</w:t>
            </w:r>
            <w:r>
              <w:rPr>
                <w:lang w:val="es-NI"/>
              </w:rPr>
              <w:t xml:space="preserve"> </w:t>
            </w:r>
            <w:r w:rsidRPr="009640C4">
              <w:rPr>
                <w:lang w:val="es-NI"/>
              </w:rPr>
              <w:t>l</w:t>
            </w:r>
            <w:r>
              <w:rPr>
                <w:lang w:val="es-NI"/>
              </w:rPr>
              <w:t>a</w:t>
            </w:r>
            <w:r w:rsidRPr="009640C4">
              <w:rPr>
                <w:lang w:val="es-NI"/>
              </w:rPr>
              <w:t xml:space="preserve"> COVID-19 por las restricciones de movimiento, lo cual impacta la seguridad alimentaria y nutricional</w:t>
            </w:r>
            <w:r>
              <w:rPr>
                <w:lang w:val="es-NI"/>
              </w:rPr>
              <w:t xml:space="preserve"> </w:t>
            </w:r>
            <w:r w:rsidRPr="0040724E">
              <w:rPr>
                <w:lang w:val="es-NI"/>
              </w:rPr>
              <w:t xml:space="preserve">y sus consecuencias en la respuesta inmunitaria. </w:t>
            </w:r>
          </w:p>
          <w:p w14:paraId="74EA8625" w14:textId="17352BE5" w:rsidR="009278C5" w:rsidRPr="00424489" w:rsidRDefault="009278C5" w:rsidP="009278C5">
            <w:pPr>
              <w:spacing w:after="60" w:line="240" w:lineRule="auto"/>
              <w:jc w:val="both"/>
              <w:rPr>
                <w:rFonts w:eastAsia="Calibri"/>
                <w:lang w:val="es-BO" w:eastAsia="es-BO"/>
              </w:rPr>
            </w:pPr>
            <w:r w:rsidRPr="001E0232">
              <w:rPr>
                <w:lang w:val="es-NI"/>
              </w:rPr>
              <w:t xml:space="preserve">El MINSAL en coordinación con organizaciones de la sociedad civil y el apoyo de implementadores de los proyectos de PEPFAR como el proyecto Cuidado y Tratamiento ha fortalecido las estrategias dirigidas a la identificación temprana de los abandonos, logrando así mejorar la adherencia de los usuarios, entre otros con la implementación de la aplicación electrónica </w:t>
            </w:r>
            <w:r w:rsidR="00F12C8B">
              <w:rPr>
                <w:lang w:val="es-NI"/>
              </w:rPr>
              <w:t>“</w:t>
            </w:r>
            <w:r w:rsidR="00486274" w:rsidRPr="007C220E">
              <w:rPr>
                <w:i/>
                <w:iCs/>
                <w:lang w:val="es-NI"/>
              </w:rPr>
              <w:t>ale</w:t>
            </w:r>
            <w:r w:rsidRPr="007C220E">
              <w:rPr>
                <w:i/>
                <w:iCs/>
                <w:lang w:val="es-NI"/>
              </w:rPr>
              <w:t>r</w:t>
            </w:r>
            <w:r w:rsidR="00486274" w:rsidRPr="007C220E">
              <w:rPr>
                <w:i/>
                <w:iCs/>
                <w:lang w:val="es-NI"/>
              </w:rPr>
              <w:t>TAR</w:t>
            </w:r>
            <w:r w:rsidR="00F12C8B">
              <w:rPr>
                <w:lang w:val="es-NI"/>
              </w:rPr>
              <w:t>”</w:t>
            </w:r>
            <w:r w:rsidRPr="001E0232">
              <w:rPr>
                <w:lang w:val="es-NI"/>
              </w:rPr>
              <w:t xml:space="preserve">, actualmente implementada en siete hospitales a nivel nacional donde se brinda atención a personas con VIH, que envía mensaje a dispositivos móviles de personas con VIH para recordarles la próxima cita o para hacer </w:t>
            </w:r>
            <w:r w:rsidRPr="00424489">
              <w:rPr>
                <w:lang w:val="es-NI"/>
              </w:rPr>
              <w:t xml:space="preserve">ver que han faltado a la última cita médica o a sus exámenes de laboratorio invitándolos a acudir a los establecimientos y cumplir las recomendaciones para su propio cuido. </w:t>
            </w:r>
            <w:r w:rsidRPr="00424489">
              <w:rPr>
                <w:rFonts w:eastAsia="Calibri"/>
                <w:lang w:val="es-BO" w:eastAsia="es-BO"/>
              </w:rPr>
              <w:t xml:space="preserve">En el futuro, al contar con los recursos financieros necesarios, se espera expandir esta aplicación al resto de hospitales que brindan TAR. </w:t>
            </w:r>
            <w:r w:rsidR="00486274" w:rsidRPr="00424489">
              <w:rPr>
                <w:lang w:val="es-NI"/>
              </w:rPr>
              <w:t>[Anexo 1.2</w:t>
            </w:r>
            <w:r w:rsidR="00E61109" w:rsidRPr="00424489">
              <w:rPr>
                <w:lang w:val="es-NI"/>
              </w:rPr>
              <w:t>7</w:t>
            </w:r>
            <w:r w:rsidR="00486274" w:rsidRPr="00424489">
              <w:rPr>
                <w:lang w:val="es-NI"/>
              </w:rPr>
              <w:t>]</w:t>
            </w:r>
          </w:p>
          <w:p w14:paraId="64292496" w14:textId="33C64755" w:rsidR="009278C5" w:rsidRDefault="009278C5" w:rsidP="009278C5">
            <w:pPr>
              <w:pStyle w:val="ListParagraph"/>
              <w:ind w:left="0"/>
              <w:contextualSpacing w:val="0"/>
              <w:jc w:val="both"/>
              <w:rPr>
                <w:lang w:val="es-NI"/>
              </w:rPr>
            </w:pPr>
            <w:r w:rsidRPr="00424489">
              <w:rPr>
                <w:lang w:val="es-NI"/>
              </w:rPr>
              <w:t>El país también ha incorporado la entrega diferenciada de ARV, con la ampliación de días y horas</w:t>
            </w:r>
            <w:r w:rsidRPr="00486274">
              <w:rPr>
                <w:lang w:val="es-NI"/>
              </w:rPr>
              <w:t xml:space="preserve"> de entrega que incluye la apertura los fines de semana para mejorar el acceso de aquellas personas que por razones laborales (</w:t>
            </w:r>
            <w:r w:rsidR="00486274">
              <w:rPr>
                <w:lang w:val="es-NI"/>
              </w:rPr>
              <w:t>u</w:t>
            </w:r>
            <w:r w:rsidRPr="00486274">
              <w:rPr>
                <w:lang w:val="es-NI"/>
              </w:rPr>
              <w:t xml:space="preserve"> otras) no pueden acudir en los días y horarios regulares de funcionamiento de los establecimientos de salud, así como la entrega a domicilio para casos con dificultades sociales (costo de transporte, entre otros). Se espera que el país mejore en el tercer 95 con la actual incorporación del </w:t>
            </w:r>
            <w:r w:rsidR="0024260C" w:rsidRPr="00486274">
              <w:rPr>
                <w:lang w:val="es-NI"/>
              </w:rPr>
              <w:t xml:space="preserve">DTG </w:t>
            </w:r>
            <w:r w:rsidRPr="00486274">
              <w:rPr>
                <w:lang w:val="es-NI"/>
              </w:rPr>
              <w:t>a los esquemas de primera línea siguiendo las recomendaciones de la OMS del 201</w:t>
            </w:r>
            <w:r w:rsidR="00486274">
              <w:rPr>
                <w:lang w:val="es-NI"/>
              </w:rPr>
              <w:t>9</w:t>
            </w:r>
            <w:r w:rsidRPr="00486274">
              <w:rPr>
                <w:lang w:val="es-NI"/>
              </w:rPr>
              <w:t xml:space="preserve">, y con la entrega multimensual de ARV en pacientes estables, así como el mejorar la disponibilidad y realización sistemática de pruebas de carga viral </w:t>
            </w:r>
            <w:r>
              <w:rPr>
                <w:lang w:val="es-NI"/>
              </w:rPr>
              <w:t xml:space="preserve">en la población en tratamiento, como parte del seguimiento rutinario. </w:t>
            </w:r>
          </w:p>
          <w:p w14:paraId="196D851B" w14:textId="7F5E5B3B" w:rsidR="009278C5" w:rsidRPr="001E0232" w:rsidRDefault="009278C5" w:rsidP="009278C5">
            <w:pPr>
              <w:pStyle w:val="ListParagraph"/>
              <w:ind w:left="0"/>
              <w:jc w:val="both"/>
              <w:rPr>
                <w:lang w:val="es-NI"/>
              </w:rPr>
            </w:pPr>
            <w:r w:rsidRPr="001E0232">
              <w:rPr>
                <w:lang w:val="es-NI"/>
              </w:rPr>
              <w:t>De</w:t>
            </w:r>
            <w:r w:rsidR="00486274">
              <w:rPr>
                <w:lang w:val="es-NI"/>
              </w:rPr>
              <w:t xml:space="preserve">ntro del </w:t>
            </w:r>
            <w:r w:rsidRPr="001E0232">
              <w:rPr>
                <w:lang w:val="es-NI"/>
              </w:rPr>
              <w:t xml:space="preserve">marco de trabajo de la RIIS, con actores relevantes de la respuesta </w:t>
            </w:r>
            <w:r w:rsidR="00486274">
              <w:rPr>
                <w:lang w:val="es-NI"/>
              </w:rPr>
              <w:t xml:space="preserve">se han incluido acciones </w:t>
            </w:r>
            <w:r w:rsidRPr="001E0232">
              <w:rPr>
                <w:lang w:val="es-NI"/>
              </w:rPr>
              <w:t xml:space="preserve">para mejorar la </w:t>
            </w:r>
            <w:r w:rsidR="00100235" w:rsidRPr="001E0232">
              <w:rPr>
                <w:lang w:val="es-NI"/>
              </w:rPr>
              <w:t>vinculación,</w:t>
            </w:r>
            <w:r w:rsidRPr="001E0232">
              <w:rPr>
                <w:lang w:val="es-NI"/>
              </w:rPr>
              <w:t xml:space="preserve"> así como la reactivación y funcionamiento de los grupos de apoyo (incluso virtuales por la epidemia de </w:t>
            </w:r>
            <w:r w:rsidR="00486274">
              <w:rPr>
                <w:lang w:val="es-NI"/>
              </w:rPr>
              <w:t>COVID-</w:t>
            </w:r>
            <w:r w:rsidRPr="001E0232">
              <w:rPr>
                <w:lang w:val="es-NI"/>
              </w:rPr>
              <w:t>19) que contribuirá a mejorar la retención.</w:t>
            </w:r>
          </w:p>
          <w:p w14:paraId="199824E4" w14:textId="3C7AB66F" w:rsidR="009278C5" w:rsidRPr="001E0232" w:rsidRDefault="009278C5" w:rsidP="009278C5">
            <w:pPr>
              <w:spacing w:line="240" w:lineRule="auto"/>
              <w:jc w:val="both"/>
              <w:rPr>
                <w:lang w:val="es-NI"/>
              </w:rPr>
            </w:pPr>
            <w:r w:rsidRPr="001E0232">
              <w:rPr>
                <w:lang w:val="es-NI"/>
              </w:rPr>
              <w:t>También es importante mencionar que se ha aumentado el uso de telemedicina, enfocad</w:t>
            </w:r>
            <w:r w:rsidR="00486274">
              <w:rPr>
                <w:lang w:val="es-NI"/>
              </w:rPr>
              <w:t xml:space="preserve">a a </w:t>
            </w:r>
            <w:r w:rsidRPr="001E0232">
              <w:rPr>
                <w:lang w:val="es-NI"/>
              </w:rPr>
              <w:t xml:space="preserve">la atención </w:t>
            </w:r>
            <w:r w:rsidR="00486274">
              <w:rPr>
                <w:lang w:val="es-NI"/>
              </w:rPr>
              <w:t>de</w:t>
            </w:r>
            <w:r w:rsidRPr="001E0232">
              <w:rPr>
                <w:lang w:val="es-NI"/>
              </w:rPr>
              <w:t xml:space="preserve"> la pandemia por COVID-19. Se está atento a los resultados de esta experiencia para evaluar su implementación y posteriormente gestionar recursos técnicos y financieros dirigidos a la población con VIH. El MINSAL se está preparando para una transformación tecnológica que facilitará entre </w:t>
            </w:r>
            <w:r w:rsidR="00990800" w:rsidRPr="001E0232">
              <w:rPr>
                <w:lang w:val="es-NI"/>
              </w:rPr>
              <w:t>otra telemedicina</w:t>
            </w:r>
            <w:r w:rsidRPr="001E0232">
              <w:rPr>
                <w:lang w:val="es-NI"/>
              </w:rPr>
              <w:t xml:space="preserve">, </w:t>
            </w:r>
            <w:r w:rsidR="00F06328" w:rsidRPr="001E0232">
              <w:rPr>
                <w:lang w:val="es-NI"/>
              </w:rPr>
              <w:t>tele mentoría</w:t>
            </w:r>
            <w:r w:rsidRPr="001E0232">
              <w:rPr>
                <w:lang w:val="es-NI"/>
              </w:rPr>
              <w:t xml:space="preserve"> </w:t>
            </w:r>
            <w:r w:rsidR="0019388D" w:rsidRPr="001E0232">
              <w:rPr>
                <w:lang w:val="es-NI"/>
              </w:rPr>
              <w:t>y expediente</w:t>
            </w:r>
            <w:r w:rsidRPr="001E0232">
              <w:rPr>
                <w:lang w:val="es-NI"/>
              </w:rPr>
              <w:t xml:space="preserve"> en línea, que también podrán apoyar en alcanzar las metas de la cascada de atención.</w:t>
            </w:r>
          </w:p>
          <w:p w14:paraId="57CDD41E" w14:textId="0E4F70E6" w:rsidR="00CC6FD0" w:rsidRPr="00CC6FD0" w:rsidRDefault="009278C5" w:rsidP="009278C5">
            <w:pPr>
              <w:pStyle w:val="ListParagraph"/>
              <w:ind w:left="0"/>
              <w:jc w:val="both"/>
              <w:rPr>
                <w:lang w:val="es-NI"/>
              </w:rPr>
            </w:pPr>
            <w:r w:rsidRPr="001E0232">
              <w:rPr>
                <w:lang w:val="es-NI"/>
              </w:rPr>
              <w:t>El proceso de la pandemia dejará los indicadores de pobreza, desempleo y trastornos emocionales muy elevados, por lo que el abandono, la falta de adherencia y el acceso a la salud mental se podrán ver afectados, impactando en los resultados del tercer pilar. Será importante buscar de nuevas alianzas (incluso en el sector privado y a nivel local como en las municipalidades) para palear estas determinantes, incluso a través de la CONAVIH.</w:t>
            </w:r>
          </w:p>
          <w:p w14:paraId="3B59FB20" w14:textId="791E5BFE" w:rsidR="009278C5" w:rsidRPr="00030284" w:rsidRDefault="009278C5" w:rsidP="009278C5">
            <w:pPr>
              <w:spacing w:line="240" w:lineRule="auto"/>
              <w:jc w:val="both"/>
              <w:rPr>
                <w:b/>
                <w:bCs/>
                <w:lang w:val="es-NI"/>
              </w:rPr>
            </w:pPr>
            <w:r w:rsidRPr="00030284">
              <w:rPr>
                <w:b/>
                <w:bCs/>
                <w:lang w:val="es-NI"/>
              </w:rPr>
              <w:t>Cascada de Continuo de Atención VIH en Poblaciones Clave.</w:t>
            </w:r>
            <w:r w:rsidR="006C5497" w:rsidRPr="007A2182">
              <w:rPr>
                <w:noProof/>
                <w:lang w:val="es-NI"/>
              </w:rPr>
              <w:t xml:space="preserve"> </w:t>
            </w:r>
          </w:p>
          <w:p w14:paraId="0603BCCA" w14:textId="725D75A1" w:rsidR="009278C5" w:rsidRPr="007C220E" w:rsidRDefault="009278C5" w:rsidP="009278C5">
            <w:pPr>
              <w:spacing w:line="240" w:lineRule="auto"/>
              <w:jc w:val="both"/>
              <w:rPr>
                <w:lang w:val="es-NI"/>
              </w:rPr>
            </w:pPr>
            <w:r>
              <w:rPr>
                <w:lang w:val="es-NI"/>
              </w:rPr>
              <w:t xml:space="preserve">El Salvador ha realizado un esfuerzo a partir de los datos disponibles en el SUMEVE, con el cual puede hacerse un seguimiento a la atención a las </w:t>
            </w:r>
            <w:r w:rsidR="00CA7ECE">
              <w:rPr>
                <w:lang w:val="es-NI"/>
              </w:rPr>
              <w:t>personas con VIH</w:t>
            </w:r>
            <w:r>
              <w:rPr>
                <w:lang w:val="es-NI"/>
              </w:rPr>
              <w:t xml:space="preserve"> de Poblaciones Clave, en donde con los esfuerzos en atención que se están realizando se ha logrado mejorar su estado de salud, pero es evidente que aún se tienen brechas que permitan superar las desigualdades, sobre todo para las mujeres Trans. </w:t>
            </w:r>
          </w:p>
          <w:p w14:paraId="586E53C5" w14:textId="3034BA96" w:rsidR="009278C5" w:rsidRDefault="009278C5" w:rsidP="00C318FB">
            <w:pPr>
              <w:jc w:val="both"/>
              <w:rPr>
                <w:lang w:val="es-NI"/>
              </w:rPr>
            </w:pPr>
            <w:r w:rsidRPr="007C220E">
              <w:rPr>
                <w:lang w:val="es-NI"/>
              </w:rPr>
              <w:t xml:space="preserve">No es posible por el momento disponer de información para obtener datos para el primer pilar a población con VIH estimada para poblaciones clave, se puede apreciar que hay similitudes y diferencias a partir de la población que conoce su diagnóstico entre la población general y las poblaciones clave. El 51.4% de las personas de la población </w:t>
            </w:r>
            <w:r>
              <w:rPr>
                <w:lang w:val="es-NI"/>
              </w:rPr>
              <w:t>general que saben su diagnóstico reciben TAR, en tanto que lo hacen el 54.5% de los HSH, el 48.2% de las Trabajadoras sexuales y el 43.0% de la Mujeres Trans. El 45.8% de las personas de la población general que saben su diagnóstico han alcanzado la supresión viral, en tanto que lo logran en el mismo porcentaje de los HSH, el 41.6% de las Trabajadoras Sexuales y el 32.8% de las Mujeres Trans.</w:t>
            </w:r>
          </w:p>
          <w:p w14:paraId="297CE1E6" w14:textId="45B03488" w:rsidR="00CC6FD0" w:rsidRDefault="00381E40" w:rsidP="00C318FB">
            <w:pPr>
              <w:pStyle w:val="ListParagraph"/>
              <w:spacing w:before="240"/>
              <w:ind w:left="0"/>
              <w:contextualSpacing w:val="0"/>
              <w:jc w:val="both"/>
              <w:rPr>
                <w:b/>
                <w:bCs/>
                <w:lang w:val="es-NI"/>
              </w:rPr>
            </w:pPr>
            <w:r>
              <w:lastRenderedPageBreak/>
              <w:pict w14:anchorId="07064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5pt;height:237.2pt;mso-position-horizontal:absolute;mso-position-horizontal-relative:text;mso-position-vertical-relative:text;mso-width-relative:page;mso-height-relative:page" o:allowoverlap="f">
                  <v:imagedata r:id="rId20" o:title=""/>
                </v:shape>
              </w:pict>
            </w:r>
            <w:r w:rsidR="00CC6FD0" w:rsidRPr="007A2182">
              <w:rPr>
                <w:noProof/>
                <w:lang w:val="es-NI"/>
              </w:rPr>
              <mc:AlternateContent>
                <mc:Choice Requires="wps">
                  <w:drawing>
                    <wp:inline distT="0" distB="0" distL="0" distR="0" wp14:anchorId="2D1FE0A0" wp14:editId="4FE6008E">
                      <wp:extent cx="4279900" cy="181610"/>
                      <wp:effectExtent l="0" t="0" r="6350" b="8890"/>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81610"/>
                              </a:xfrm>
                              <a:prstGeom prst="rect">
                                <a:avLst/>
                              </a:prstGeom>
                              <a:solidFill>
                                <a:srgbClr val="FFFFFF"/>
                              </a:solidFill>
                              <a:ln w="9525">
                                <a:noFill/>
                                <a:miter lim="800000"/>
                                <a:headEnd/>
                                <a:tailEnd/>
                              </a:ln>
                            </wps:spPr>
                            <wps:txbx>
                              <w:txbxContent>
                                <w:p w14:paraId="69078AD5" w14:textId="77777777" w:rsidR="00381E40" w:rsidRPr="00D07A16" w:rsidRDefault="00381E40" w:rsidP="00D07A16">
                                  <w:pPr>
                                    <w:spacing w:after="0" w:line="240" w:lineRule="auto"/>
                                    <w:rPr>
                                      <w:sz w:val="12"/>
                                      <w:szCs w:val="12"/>
                                      <w:lang w:val="es-NI"/>
                                    </w:rPr>
                                  </w:pPr>
                                </w:p>
                              </w:txbxContent>
                            </wps:txbx>
                            <wps:bodyPr rot="0" vert="horz" wrap="square" lIns="91440" tIns="45720" rIns="91440" bIns="45720" anchor="t" anchorCtr="0">
                              <a:noAutofit/>
                            </wps:bodyPr>
                          </wps:wsp>
                        </a:graphicData>
                      </a:graphic>
                    </wp:inline>
                  </w:drawing>
                </mc:Choice>
                <mc:Fallback>
                  <w:pict>
                    <v:shape w14:anchorId="2D1FE0A0" id="Cuadro de texto 2" o:spid="_x0000_s1029" type="#_x0000_t202" style="width:337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" stroked="f">
                      <v:textbox>
                        <w:txbxContent>
                          <w:p w14:paraId="69078AD5" w14:textId="77777777" w:rsidR="00381E40" w:rsidRPr="00D07A16" w:rsidRDefault="00381E40" w:rsidP="00D07A16">
                            <w:pPr>
                              <w:spacing w:after="0" w:line="240" w:lineRule="auto"/>
                              <w:rPr>
                                <w:sz w:val="12"/>
                                <w:szCs w:val="12"/>
                                <w:lang w:val="es-NI"/>
                              </w:rPr>
                            </w:pPr>
                          </w:p>
                        </w:txbxContent>
                      </v:textbox>
                      <w10:anchorlock/>
                    </v:shape>
                  </w:pict>
                </mc:Fallback>
              </mc:AlternateContent>
            </w:r>
          </w:p>
          <w:p w14:paraId="3F070D43" w14:textId="77777777" w:rsidR="00781552" w:rsidRDefault="00781552" w:rsidP="00781552">
            <w:pPr>
              <w:jc w:val="both"/>
              <w:rPr>
                <w:lang w:val="es-NI"/>
              </w:rPr>
            </w:pPr>
            <w:r>
              <w:rPr>
                <w:lang w:val="es-NI"/>
              </w:rPr>
              <w:t>Recientemente el país está trabajando con el apoyo de OPS en las Cascadas de Prevención, las cuales están en este momento en su fase de validación, pero que aportan datos que permiten comprender el comportamiento de las personas de las poblaciones clave para así tomar medidas pertinentes para garantizar su acceso a servicios de salud de forma oportuna.</w:t>
            </w:r>
          </w:p>
          <w:p w14:paraId="45130167" w14:textId="3DDA2E50" w:rsidR="00CC6FD0" w:rsidRDefault="00781552" w:rsidP="00781552">
            <w:pPr>
              <w:pStyle w:val="ListParagraph"/>
              <w:ind w:left="0"/>
              <w:jc w:val="both"/>
              <w:rPr>
                <w:b/>
                <w:bCs/>
                <w:lang w:val="es-NI"/>
              </w:rPr>
            </w:pPr>
            <w:r w:rsidRPr="00D54297">
              <w:rPr>
                <w:lang w:val="es-NI"/>
              </w:rPr>
              <w:t>Según el estudio, hay 29,579 integrantes de poblaciones Clave en los registros del sistema, de ellos se tiene evidencia que no tienen VIH 29,177 (98.64%); de éstos, se considera están sin riesgo sustancial de adquirir VIH un total de 11,099 (38.04%) y sí están en riesgo sustancial 17,682 (60.60%). No se cuenta con información para clasificar el riesgo en 396 personas.</w:t>
            </w:r>
          </w:p>
          <w:p w14:paraId="121F59DA" w14:textId="21DCAA45" w:rsidR="009278C5" w:rsidRPr="00030284" w:rsidRDefault="00E93A12" w:rsidP="00603905">
            <w:pPr>
              <w:pStyle w:val="ListParagraph"/>
              <w:spacing w:before="240"/>
              <w:ind w:left="0"/>
              <w:contextualSpacing w:val="0"/>
              <w:jc w:val="center"/>
              <w:rPr>
                <w:b/>
                <w:bCs/>
                <w:lang w:val="es-NI"/>
              </w:rPr>
            </w:pPr>
            <w:r>
              <w:rPr>
                <w:b/>
                <w:bCs/>
                <w:lang w:val="es-NI"/>
              </w:rPr>
              <w:t xml:space="preserve">Figura 6. </w:t>
            </w:r>
            <w:r w:rsidR="009278C5" w:rsidRPr="00030284">
              <w:rPr>
                <w:b/>
                <w:bCs/>
                <w:lang w:val="es-NI"/>
              </w:rPr>
              <w:t>Cascada de Prevención en VIH en Poblaciones Claves.</w:t>
            </w:r>
          </w:p>
          <w:p w14:paraId="0B4D7EDB" w14:textId="5A8D8D75" w:rsidR="00603905" w:rsidRDefault="00603905" w:rsidP="00603905">
            <w:pPr>
              <w:jc w:val="center"/>
              <w:rPr>
                <w:lang w:val="es-NI"/>
              </w:rPr>
            </w:pPr>
            <w:r>
              <w:rPr>
                <w:noProof/>
              </w:rPr>
              <w:drawing>
                <wp:inline distT="0" distB="0" distL="0" distR="0" wp14:anchorId="5D6C8539" wp14:editId="273FC116">
                  <wp:extent cx="5391785" cy="2414270"/>
                  <wp:effectExtent l="0" t="0" r="0" b="508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1">
                            <a:extLst>
                              <a:ext uri="{28A0092B-C50C-407E-A947-70E740481C1C}">
                                <a14:useLocalDpi xmlns:a14="http://schemas.microsoft.com/office/drawing/2010/main" val="0"/>
                              </a:ext>
                            </a:extLst>
                          </a:blip>
                          <a:stretch>
                            <a:fillRect/>
                          </a:stretch>
                        </pic:blipFill>
                        <pic:spPr>
                          <a:xfrm>
                            <a:off x="0" y="0"/>
                            <a:ext cx="5391785" cy="2414270"/>
                          </a:xfrm>
                          <a:prstGeom prst="rect">
                            <a:avLst/>
                          </a:prstGeom>
                        </pic:spPr>
                      </pic:pic>
                    </a:graphicData>
                  </a:graphic>
                </wp:inline>
              </w:drawing>
            </w:r>
            <w:r w:rsidRPr="007A2182">
              <w:rPr>
                <w:noProof/>
                <w:lang w:val="es-NI"/>
              </w:rPr>
              <mc:AlternateContent>
                <mc:Choice Requires="wps">
                  <w:drawing>
                    <wp:inline distT="0" distB="0" distL="0" distR="0" wp14:anchorId="190BAE41" wp14:editId="55C0A52D">
                      <wp:extent cx="5321300" cy="171450"/>
                      <wp:effectExtent l="0" t="0" r="0" b="0"/>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171450"/>
                              </a:xfrm>
                              <a:prstGeom prst="rect">
                                <a:avLst/>
                              </a:prstGeom>
                              <a:solidFill>
                                <a:srgbClr val="FFFFFF"/>
                              </a:solidFill>
                              <a:ln w="9525">
                                <a:noFill/>
                                <a:miter lim="800000"/>
                                <a:headEnd/>
                                <a:tailEnd/>
                              </a:ln>
                            </wps:spPr>
                            <wps:txbx>
                              <w:txbxContent>
                                <w:p w14:paraId="77E4A464" w14:textId="77777777" w:rsidR="00381E40" w:rsidRPr="00D07A16" w:rsidRDefault="00381E40" w:rsidP="00603905">
                                  <w:pPr>
                                    <w:spacing w:after="0" w:line="240" w:lineRule="auto"/>
                                    <w:rPr>
                                      <w:sz w:val="12"/>
                                      <w:szCs w:val="12"/>
                                      <w:lang w:val="es-NI"/>
                                    </w:rPr>
                                  </w:pPr>
                                  <w:r w:rsidRPr="00D07A16">
                                    <w:rPr>
                                      <w:sz w:val="12"/>
                                      <w:szCs w:val="12"/>
                                      <w:lang w:val="es-NI"/>
                                    </w:rPr>
                                    <w:t>Fuente: Sistema Único de Monitoreo y Evaluación y Vigilancia Epidemiológica del VIH , El Salvador 2019.</w:t>
                                  </w:r>
                                </w:p>
                              </w:txbxContent>
                            </wps:txbx>
                            <wps:bodyPr rot="0" vert="horz" wrap="square" lIns="91440" tIns="45720" rIns="91440" bIns="45720" anchor="t" anchorCtr="0">
                              <a:noAutofit/>
                            </wps:bodyPr>
                          </wps:wsp>
                        </a:graphicData>
                      </a:graphic>
                    </wp:inline>
                  </w:drawing>
                </mc:Choice>
                <mc:Fallback>
                  <w:pict>
                    <v:shape w14:anchorId="190BAE41" id="_x0000_s1030" type="#_x0000_t202" style="width:419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" stroked="f">
                      <v:textbox>
                        <w:txbxContent>
                          <w:p w14:paraId="77E4A464" w14:textId="77777777" w:rsidR="00381E40" w:rsidRPr="00D07A16" w:rsidRDefault="00381E40" w:rsidP="00603905">
                            <w:pPr>
                              <w:spacing w:after="0" w:line="240" w:lineRule="auto"/>
                              <w:rPr>
                                <w:sz w:val="12"/>
                                <w:szCs w:val="12"/>
                                <w:lang w:val="es-NI"/>
                              </w:rPr>
                            </w:pPr>
                            <w:r w:rsidRPr="00D07A16">
                              <w:rPr>
                                <w:sz w:val="12"/>
                                <w:szCs w:val="12"/>
                                <w:lang w:val="es-NI"/>
                              </w:rPr>
                              <w:t>Fuente: Sistema Único de Monitoreo y Evaluación y Vigilancia Epidemiológica del VIH , El Salvador 2019.</w:t>
                            </w:r>
                          </w:p>
                        </w:txbxContent>
                      </v:textbox>
                      <w10:anchorlock/>
                    </v:shape>
                  </w:pict>
                </mc:Fallback>
              </mc:AlternateContent>
            </w:r>
          </w:p>
          <w:p w14:paraId="29F7E078" w14:textId="2447A64D" w:rsidR="009278C5" w:rsidRPr="00D54297" w:rsidRDefault="009278C5" w:rsidP="009278C5">
            <w:pPr>
              <w:jc w:val="both"/>
              <w:rPr>
                <w:lang w:val="es-NI"/>
              </w:rPr>
            </w:pPr>
            <w:r w:rsidRPr="00D54297">
              <w:rPr>
                <w:lang w:val="es-NI"/>
              </w:rPr>
              <w:t>Del total que están sin riesgo sustancial, 3,790 (34.15%) han estado en seguimiento a 12 meses; y en 3,730 de ellos (98.42%) se tiene evidencia que después de 12 meses están libres de VIH.</w:t>
            </w:r>
          </w:p>
          <w:p w14:paraId="256B2EA7" w14:textId="77777777" w:rsidR="009278C5" w:rsidRPr="00D54297" w:rsidRDefault="009278C5" w:rsidP="009278C5">
            <w:pPr>
              <w:pStyle w:val="ListParagraph"/>
              <w:ind w:left="0"/>
              <w:jc w:val="both"/>
              <w:rPr>
                <w:lang w:val="es-NI"/>
              </w:rPr>
            </w:pPr>
            <w:r w:rsidRPr="00D54297">
              <w:rPr>
                <w:lang w:val="es-NI"/>
              </w:rPr>
              <w:t>Del total que están con riesgo sustancial, 2,112 (11.94%) han estado en seguimiento a 12 meses; y en 2,076 (98.30%) de ellos se tiene evidencia que después de 12 meses están libres de VIH.</w:t>
            </w:r>
          </w:p>
          <w:p w14:paraId="1BE990B4" w14:textId="7DD89DFF" w:rsidR="009278C5" w:rsidRDefault="009278C5" w:rsidP="009278C5">
            <w:pPr>
              <w:jc w:val="both"/>
              <w:rPr>
                <w:lang w:val="es-NI"/>
              </w:rPr>
            </w:pPr>
            <w:r w:rsidRPr="00D54297">
              <w:rPr>
                <w:lang w:val="es-NI"/>
              </w:rPr>
              <w:t xml:space="preserve">Los resultados del estudio muestran que entre las PC sin VIH ya sea con o sin riesgo sustancial hay bajas proporciones de quienes están en seguimiento al cabo de 12 meses, llamando la atención que es entre quienes tienen riesgo sustancial que es más baja la proporción de los que están en seguimiento. Entre los </w:t>
            </w:r>
            <w:r w:rsidRPr="00D54297">
              <w:rPr>
                <w:lang w:val="es-NI"/>
              </w:rPr>
              <w:lastRenderedPageBreak/>
              <w:t xml:space="preserve">que sí están en seguimiento tanto quienes tienen como los que no tienen riesgo sustancial se observa alta proporción de quienes siguen libre de VIH al cabo de 12 meses de seguimiento. </w:t>
            </w:r>
          </w:p>
          <w:p w14:paraId="6A6104EB" w14:textId="542A4954" w:rsidR="009278C5" w:rsidRPr="00D54297" w:rsidRDefault="009278C5" w:rsidP="009278C5">
            <w:pPr>
              <w:jc w:val="both"/>
              <w:rPr>
                <w:lang w:val="es-NI"/>
              </w:rPr>
            </w:pPr>
            <w:r w:rsidRPr="00D54297">
              <w:rPr>
                <w:lang w:val="es-NI"/>
              </w:rPr>
              <w:t>Estos primeros resultados permiten identificar el potencial de mejora en la prevención del VIH que tiene la implementación de estrategias de seguimiento a quienes tienen mayor probabilidad de adquirir la infección.</w:t>
            </w:r>
            <w:r>
              <w:rPr>
                <w:lang w:val="es-NI"/>
              </w:rPr>
              <w:t xml:space="preserve"> Además</w:t>
            </w:r>
            <w:r w:rsidR="00F95108">
              <w:rPr>
                <w:lang w:val="es-NI"/>
              </w:rPr>
              <w:t>,</w:t>
            </w:r>
            <w:r>
              <w:rPr>
                <w:lang w:val="es-NI"/>
              </w:rPr>
              <w:t xml:space="preserve"> apoyan la realización de análisis de riesgo en las poblaciones clave que se atienden durante las intervenciones de prevención y testeo, permitiendo realizar un seguimiento proactivo de prevención cada seis meses a los que tienen mayor riesgo. </w:t>
            </w:r>
            <w:r w:rsidRPr="001243A8">
              <w:rPr>
                <w:lang w:val="es-NI"/>
              </w:rPr>
              <w:t xml:space="preserve"> </w:t>
            </w:r>
          </w:p>
          <w:p w14:paraId="2706A46B" w14:textId="3915F02F" w:rsidR="009278C5" w:rsidRPr="00030284" w:rsidRDefault="009A1D78" w:rsidP="009278C5">
            <w:pPr>
              <w:jc w:val="both"/>
              <w:rPr>
                <w:b/>
                <w:bCs/>
                <w:lang w:val="es-NI"/>
              </w:rPr>
            </w:pPr>
            <w:r>
              <w:rPr>
                <w:noProof/>
              </w:rPr>
              <w:drawing>
                <wp:anchor distT="0" distB="0" distL="114300" distR="114300" simplePos="0" relativeHeight="251689984" behindDoc="0" locked="0" layoutInCell="1" allowOverlap="1" wp14:anchorId="6F558073" wp14:editId="54097357">
                  <wp:simplePos x="0" y="0"/>
                  <wp:positionH relativeFrom="column">
                    <wp:posOffset>-22225</wp:posOffset>
                  </wp:positionH>
                  <wp:positionV relativeFrom="paragraph">
                    <wp:posOffset>233045</wp:posOffset>
                  </wp:positionV>
                  <wp:extent cx="3295650" cy="2292350"/>
                  <wp:effectExtent l="0" t="0" r="0" b="12700"/>
                  <wp:wrapSquare wrapText="bothSides"/>
                  <wp:docPr id="19" name="Gráfico 19">
                    <a:extLst xmlns:a="http://schemas.openxmlformats.org/drawingml/2006/main">
                      <a:ext uri="{FF2B5EF4-FFF2-40B4-BE49-F238E27FC236}">
                        <a16:creationId xmlns:a16="http://schemas.microsoft.com/office/drawing/2014/main" id="{26AAA149-ECEB-40A0-A9B6-74AF407FC8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9278C5" w:rsidRPr="00030284">
              <w:rPr>
                <w:b/>
                <w:bCs/>
                <w:lang w:val="es-NI"/>
              </w:rPr>
              <w:t>Etapa de la infección al diagnóstico</w:t>
            </w:r>
          </w:p>
          <w:p w14:paraId="52C0560D" w14:textId="5A7FF261" w:rsidR="009A1D78" w:rsidRDefault="009A1D78" w:rsidP="009278C5">
            <w:pPr>
              <w:jc w:val="both"/>
              <w:rPr>
                <w:lang w:val="es-NI"/>
              </w:rPr>
            </w:pPr>
          </w:p>
          <w:p w14:paraId="44DE7463" w14:textId="3E41B3DA" w:rsidR="009278C5" w:rsidRPr="00424489" w:rsidRDefault="009A1D78" w:rsidP="009278C5">
            <w:pPr>
              <w:jc w:val="both"/>
              <w:rPr>
                <w:lang w:val="es-NI"/>
              </w:rPr>
            </w:pPr>
            <w:r w:rsidRPr="007A2182">
              <w:rPr>
                <w:noProof/>
                <w:lang w:val="es-NI"/>
              </w:rPr>
              <mc:AlternateContent>
                <mc:Choice Requires="wps">
                  <w:drawing>
                    <wp:anchor distT="0" distB="0" distL="114300" distR="114300" simplePos="0" relativeHeight="251691008" behindDoc="0" locked="0" layoutInCell="1" allowOverlap="1" wp14:anchorId="23F5AF4E" wp14:editId="616B3DCE">
                      <wp:simplePos x="0" y="0"/>
                      <wp:positionH relativeFrom="column">
                        <wp:posOffset>-22225</wp:posOffset>
                      </wp:positionH>
                      <wp:positionV relativeFrom="paragraph">
                        <wp:posOffset>2058035</wp:posOffset>
                      </wp:positionV>
                      <wp:extent cx="3314700" cy="190500"/>
                      <wp:effectExtent l="0" t="0" r="0" b="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0500"/>
                              </a:xfrm>
                              <a:prstGeom prst="rect">
                                <a:avLst/>
                              </a:prstGeom>
                              <a:solidFill>
                                <a:srgbClr val="FFFFFF"/>
                              </a:solidFill>
                              <a:ln w="9525">
                                <a:noFill/>
                                <a:miter lim="800000"/>
                                <a:headEnd/>
                                <a:tailEnd/>
                              </a:ln>
                            </wps:spPr>
                            <wps:txbx>
                              <w:txbxContent>
                                <w:p w14:paraId="12A1060F" w14:textId="77777777" w:rsidR="00381E40" w:rsidRPr="00D54297" w:rsidRDefault="00381E40" w:rsidP="00707784">
                                  <w:pPr>
                                    <w:spacing w:after="0" w:line="240" w:lineRule="auto"/>
                                    <w:rPr>
                                      <w:sz w:val="14"/>
                                      <w:szCs w:val="14"/>
                                      <w:lang w:val="es-NI"/>
                                    </w:rPr>
                                  </w:pPr>
                                  <w:r w:rsidRPr="00D54297">
                                    <w:rPr>
                                      <w:sz w:val="14"/>
                                      <w:szCs w:val="14"/>
                                      <w:lang w:val="es-NI"/>
                                    </w:rPr>
                                    <w:t>Fuente: Informe Nacional Situación de VIH, El Salvador 2019.</w:t>
                                  </w:r>
                                </w:p>
                              </w:txbxContent>
                            </wps:txbx>
                            <wps:bodyPr rot="0" vert="horz" wrap="square" lIns="91440" tIns="45720" rIns="91440" bIns="45720" anchor="t" anchorCtr="0">
                              <a:noAutofit/>
                            </wps:bodyPr>
                          </wps:wsp>
                        </a:graphicData>
                      </a:graphic>
                    </wp:anchor>
                  </w:drawing>
                </mc:Choice>
                <mc:Fallback>
                  <w:pict>
                    <v:shape w14:anchorId="23F5AF4E" id="_x0000_s1031" type="#_x0000_t202" style="position:absolute;left:0;text-align:left;margin-left:-1.75pt;margin-top:162.05pt;width:261pt;height: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" stroked="f">
                      <v:textbox>
                        <w:txbxContent>
                          <w:p w14:paraId="12A1060F" w14:textId="77777777" w:rsidR="00381E40" w:rsidRPr="00D54297" w:rsidRDefault="00381E40" w:rsidP="00707784">
                            <w:pPr>
                              <w:spacing w:after="0" w:line="240" w:lineRule="auto"/>
                              <w:rPr>
                                <w:sz w:val="14"/>
                                <w:szCs w:val="14"/>
                                <w:lang w:val="es-NI"/>
                              </w:rPr>
                            </w:pPr>
                            <w:r w:rsidRPr="00D54297">
                              <w:rPr>
                                <w:sz w:val="14"/>
                                <w:szCs w:val="14"/>
                                <w:lang w:val="es-NI"/>
                              </w:rPr>
                              <w:t>Fuente: Informe Nacional Situación de VIH, El Salvador 2019.</w:t>
                            </w:r>
                          </w:p>
                        </w:txbxContent>
                      </v:textbox>
                      <w10:wrap type="square"/>
                    </v:shape>
                  </w:pict>
                </mc:Fallback>
              </mc:AlternateContent>
            </w:r>
            <w:r w:rsidR="009278C5" w:rsidRPr="00D325A6">
              <w:rPr>
                <w:lang w:val="es-NI"/>
              </w:rPr>
              <w:t xml:space="preserve">En el período comprendido entre el 2015 y el 2019 la suma de personas diagnosticadas </w:t>
            </w:r>
            <w:r w:rsidR="009278C5">
              <w:rPr>
                <w:lang w:val="es-NI"/>
              </w:rPr>
              <w:t xml:space="preserve">fue de </w:t>
            </w:r>
            <w:r w:rsidR="009278C5" w:rsidRPr="00D325A6">
              <w:rPr>
                <w:lang w:val="es-NI"/>
              </w:rPr>
              <w:t>5,947. En 3,818 de ellas, se logró valorar la fase de la infección en que estaban al momento del diagnóstico</w:t>
            </w:r>
            <w:r w:rsidR="009278C5">
              <w:rPr>
                <w:lang w:val="es-NI"/>
              </w:rPr>
              <w:t xml:space="preserve">. Se concluyó que </w:t>
            </w:r>
            <w:r w:rsidR="009278C5" w:rsidRPr="00D325A6">
              <w:rPr>
                <w:lang w:val="es-NI"/>
              </w:rPr>
              <w:t xml:space="preserve">2,254 han sido casos de infección avanzada (diagnóstico tardío) lo que corresponde a un 38% del total de personas diagnosticadas en promedio para el período, oscilando entre 34.5% en el 2018 y 43.5% en el 2017. En el 2019, de cada 100 hombres diagnosticados, 56 estaban en estado avanzado de la infección, </w:t>
            </w:r>
            <w:r w:rsidR="009278C5" w:rsidRPr="00424489">
              <w:rPr>
                <w:lang w:val="es-NI"/>
              </w:rPr>
              <w:t xml:space="preserve">en tanto </w:t>
            </w:r>
            <w:r w:rsidR="003470C2" w:rsidRPr="00424489">
              <w:rPr>
                <w:lang w:val="es-NI"/>
              </w:rPr>
              <w:t>que,</w:t>
            </w:r>
            <w:r w:rsidR="009278C5" w:rsidRPr="00424489">
              <w:rPr>
                <w:lang w:val="es-NI"/>
              </w:rPr>
              <w:t xml:space="preserve"> de cada 100 mujeres diagnosticadas en ese año, 49 lo estaban. </w:t>
            </w:r>
            <w:r w:rsidR="005110E8" w:rsidRPr="00424489">
              <w:rPr>
                <w:lang w:val="es-NI"/>
              </w:rPr>
              <w:t>[Anexo 1.1</w:t>
            </w:r>
            <w:r w:rsidR="00781552" w:rsidRPr="00424489">
              <w:rPr>
                <w:lang w:val="es-NI"/>
              </w:rPr>
              <w:t>8</w:t>
            </w:r>
            <w:r w:rsidR="005110E8" w:rsidRPr="00424489">
              <w:rPr>
                <w:lang w:val="es-NI"/>
              </w:rPr>
              <w:t>]</w:t>
            </w:r>
          </w:p>
          <w:p w14:paraId="1FD24958" w14:textId="2D9466F3" w:rsidR="009278C5" w:rsidRPr="00424489" w:rsidRDefault="009278C5" w:rsidP="009278C5">
            <w:pPr>
              <w:jc w:val="both"/>
              <w:rPr>
                <w:b/>
                <w:bCs/>
                <w:lang w:bidi="es-ES"/>
              </w:rPr>
            </w:pPr>
            <w:r w:rsidRPr="00424489">
              <w:rPr>
                <w:b/>
                <w:bCs/>
                <w:lang w:bidi="es-ES"/>
              </w:rPr>
              <w:t>VICITS</w:t>
            </w:r>
          </w:p>
          <w:p w14:paraId="615484FE" w14:textId="7040D1C1" w:rsidR="009278C5" w:rsidRPr="00484A49" w:rsidRDefault="009278C5" w:rsidP="009278C5">
            <w:pPr>
              <w:jc w:val="both"/>
              <w:rPr>
                <w:lang w:bidi="es-ES"/>
              </w:rPr>
            </w:pPr>
            <w:r w:rsidRPr="00424489">
              <w:rPr>
                <w:lang w:bidi="es-ES"/>
              </w:rPr>
              <w:t>Las clínicas de vigilancia centinela de infecciones de transmisión sexual</w:t>
            </w:r>
            <w:r w:rsidRPr="00484A49">
              <w:rPr>
                <w:lang w:bidi="es-ES"/>
              </w:rPr>
              <w:t xml:space="preserve"> (VICITS) son una estrategia</w:t>
            </w:r>
            <w:r w:rsidRPr="00484A49" w:rsidDel="004E31E4">
              <w:rPr>
                <w:lang w:bidi="es-ES"/>
              </w:rPr>
              <w:t xml:space="preserve"> </w:t>
            </w:r>
            <w:r w:rsidRPr="00484A49">
              <w:rPr>
                <w:lang w:bidi="es-ES"/>
              </w:rPr>
              <w:t xml:space="preserve">para mejorar el acceso a la </w:t>
            </w:r>
            <w:r w:rsidRPr="001E0232">
              <w:rPr>
                <w:lang w:bidi="es-ES"/>
              </w:rPr>
              <w:t>promoción,</w:t>
            </w:r>
            <w:r w:rsidRPr="00484A49">
              <w:rPr>
                <w:lang w:bidi="es-ES"/>
              </w:rPr>
              <w:t xml:space="preserve"> prevención, atención, diagnóstico, tratamiento, consejería en ITS/VIH hacia integrantes de poblaciones clave. En ellas el personal entrenado para ello</w:t>
            </w:r>
            <w:r w:rsidRPr="00484A49" w:rsidDel="004E31E4">
              <w:rPr>
                <w:lang w:bidi="es-ES"/>
              </w:rPr>
              <w:t xml:space="preserve"> </w:t>
            </w:r>
            <w:r w:rsidRPr="00484A49">
              <w:rPr>
                <w:lang w:bidi="es-ES"/>
              </w:rPr>
              <w:t xml:space="preserve">brinda atención integral con enfoque de género, de derechos humanos, libre de estigma y discriminación a poblaciones clave. </w:t>
            </w:r>
          </w:p>
          <w:p w14:paraId="027EDDD1" w14:textId="04135537" w:rsidR="009278C5" w:rsidRPr="00484A49" w:rsidRDefault="003A0751" w:rsidP="009278C5">
            <w:pPr>
              <w:jc w:val="both"/>
              <w:rPr>
                <w:lang w:bidi="es-ES"/>
              </w:rPr>
            </w:pPr>
            <w:r w:rsidRPr="00484A49">
              <w:rPr>
                <w:lang w:bidi="es-ES"/>
              </w:rPr>
              <w:t>Las VICITS</w:t>
            </w:r>
            <w:r w:rsidR="009278C5" w:rsidRPr="00484A49">
              <w:rPr>
                <w:lang w:bidi="es-ES"/>
              </w:rPr>
              <w:t xml:space="preserve"> iniciaron su implementación en el país en el año 2011. En ellas el personal evalúa además de aspectos clínicos de los usuarios y usuarias del servicio lo relacionado al comportamiento, actitudes y prácticas de interés epidemiológico y oferta acciones de prevención combinada, de promoción y recuperación de la salud incluyendo diagnóstico sindrómico y etiológico para ITS para lo cual cuenta con la oferta de la toma de muestras para pruebas de ITS que requieren equipos sofisticados y personal especializado. </w:t>
            </w:r>
          </w:p>
          <w:p w14:paraId="581050B9" w14:textId="2E6B47C1" w:rsidR="009278C5" w:rsidRPr="00424489" w:rsidRDefault="009278C5" w:rsidP="009278C5">
            <w:pPr>
              <w:jc w:val="both"/>
              <w:rPr>
                <w:lang w:bidi="es-ES"/>
              </w:rPr>
            </w:pPr>
            <w:r w:rsidRPr="00484A49">
              <w:rPr>
                <w:lang w:bidi="es-ES"/>
              </w:rPr>
              <w:t xml:space="preserve">El número de clínicas VICITS se ha ido incrementando a lo largo de los años, contando al final del 2019 con 18 clínicas distribuidas en todo el país. En el 2019 en ellas se </w:t>
            </w:r>
            <w:r w:rsidRPr="00424489">
              <w:rPr>
                <w:lang w:bidi="es-ES"/>
              </w:rPr>
              <w:t xml:space="preserve">brindó 9,013 atenciones a 3,697 personas de las poblaciones clave, de ellas el 63.59% a HSH, 27.45% a MTS y el 8.95% a MT. </w:t>
            </w:r>
            <w:r w:rsidR="005110E8" w:rsidRPr="00424489">
              <w:rPr>
                <w:lang w:val="es-NI"/>
              </w:rPr>
              <w:t>[Anexo 1.1</w:t>
            </w:r>
            <w:r w:rsidR="00781552" w:rsidRPr="00424489">
              <w:rPr>
                <w:lang w:val="es-NI"/>
              </w:rPr>
              <w:t>8</w:t>
            </w:r>
            <w:r w:rsidRPr="00424489">
              <w:rPr>
                <w:lang w:bidi="es-ES"/>
              </w:rPr>
              <w:t>, reporte SIAP</w:t>
            </w:r>
            <w:r w:rsidR="0007783A" w:rsidRPr="00424489">
              <w:rPr>
                <w:lang w:bidi="es-ES"/>
              </w:rPr>
              <w:t>/</w:t>
            </w:r>
            <w:r w:rsidRPr="00424489">
              <w:rPr>
                <w:lang w:bidi="es-ES"/>
              </w:rPr>
              <w:t>VICITS</w:t>
            </w:r>
            <w:r w:rsidR="005110E8" w:rsidRPr="00424489">
              <w:rPr>
                <w:lang w:bidi="es-ES"/>
              </w:rPr>
              <w:t>]</w:t>
            </w:r>
            <w:r w:rsidRPr="00424489">
              <w:rPr>
                <w:lang w:bidi="es-ES"/>
              </w:rPr>
              <w:t>.</w:t>
            </w:r>
          </w:p>
          <w:p w14:paraId="04F5B316" w14:textId="77777777" w:rsidR="009278C5" w:rsidRPr="001E0232" w:rsidRDefault="009278C5" w:rsidP="009278C5">
            <w:pPr>
              <w:jc w:val="both"/>
              <w:rPr>
                <w:b/>
                <w:bCs/>
                <w:lang w:bidi="es-ES"/>
              </w:rPr>
            </w:pPr>
            <w:r w:rsidRPr="00424489">
              <w:rPr>
                <w:b/>
                <w:bCs/>
                <w:lang w:bidi="es-ES"/>
              </w:rPr>
              <w:t>Clínicas Amigables</w:t>
            </w:r>
          </w:p>
          <w:p w14:paraId="60E4105B" w14:textId="4E85E288" w:rsidR="009278C5" w:rsidRDefault="009278C5" w:rsidP="009278C5">
            <w:pPr>
              <w:jc w:val="both"/>
              <w:rPr>
                <w:lang w:bidi="es-ES"/>
              </w:rPr>
            </w:pPr>
            <w:r w:rsidRPr="001E0232">
              <w:rPr>
                <w:lang w:bidi="es-ES"/>
              </w:rPr>
              <w:t xml:space="preserve">Son espacios creados para la atención de poblaciones clave a nivel comunitario, libres de estigma y discriminación, para ampliar la cobertura de las VICITS, ofertando los mismos servicios que estas, incluyendo el diagnóstico de </w:t>
            </w:r>
            <w:r w:rsidR="00C606CB" w:rsidRPr="001E0232">
              <w:rPr>
                <w:lang w:bidi="es-ES"/>
              </w:rPr>
              <w:t>ITS,</w:t>
            </w:r>
            <w:r w:rsidRPr="001E0232">
              <w:rPr>
                <w:lang w:bidi="es-ES"/>
              </w:rPr>
              <w:t xml:space="preserve"> pero con tecnología de menor complejidad. Cuentan con capacidad de reportar la misma información epidemiológica que las VICITS.</w:t>
            </w:r>
          </w:p>
          <w:p w14:paraId="28546A32" w14:textId="77777777" w:rsidR="009278C5" w:rsidRPr="00082268" w:rsidRDefault="009278C5" w:rsidP="009278C5">
            <w:pPr>
              <w:jc w:val="both"/>
              <w:rPr>
                <w:b/>
                <w:bCs/>
                <w:lang w:bidi="es-ES"/>
              </w:rPr>
            </w:pPr>
            <w:r w:rsidRPr="00082268">
              <w:rPr>
                <w:b/>
                <w:bCs/>
                <w:lang w:bidi="es-ES"/>
              </w:rPr>
              <w:t>Clínicas de Atención Integral</w:t>
            </w:r>
          </w:p>
          <w:p w14:paraId="497AD2A9" w14:textId="7BA53E87" w:rsidR="009278C5" w:rsidRDefault="009278C5" w:rsidP="009278C5">
            <w:pPr>
              <w:jc w:val="both"/>
              <w:rPr>
                <w:lang w:bidi="es-ES"/>
              </w:rPr>
            </w:pPr>
            <w:r w:rsidRPr="001E0232">
              <w:rPr>
                <w:lang w:bidi="es-ES"/>
              </w:rPr>
              <w:t xml:space="preserve">Para fines de esta subvención, se considera que son Clínicas de Atención Integral (CAI) a los espacios físicos dentro de los hospitales del MINSAL donde se brinda </w:t>
            </w:r>
            <w:r w:rsidRPr="00082268">
              <w:rPr>
                <w:lang w:bidi="es-ES"/>
              </w:rPr>
              <w:t xml:space="preserve">atención </w:t>
            </w:r>
            <w:r w:rsidRPr="001E0232">
              <w:rPr>
                <w:lang w:bidi="es-ES"/>
              </w:rPr>
              <w:t xml:space="preserve">a </w:t>
            </w:r>
            <w:r w:rsidR="00CA7ECE">
              <w:rPr>
                <w:lang w:bidi="es-ES"/>
              </w:rPr>
              <w:t>personas con VIH</w:t>
            </w:r>
            <w:r w:rsidRPr="001E0232">
              <w:rPr>
                <w:lang w:bidi="es-ES"/>
              </w:rPr>
              <w:t>.</w:t>
            </w:r>
            <w:r w:rsidRPr="00082268">
              <w:rPr>
                <w:lang w:bidi="es-ES"/>
              </w:rPr>
              <w:t xml:space="preserve"> </w:t>
            </w:r>
            <w:r w:rsidRPr="001E0232">
              <w:rPr>
                <w:lang w:bidi="es-ES"/>
              </w:rPr>
              <w:t>C</w:t>
            </w:r>
            <w:r w:rsidRPr="00082268">
              <w:rPr>
                <w:lang w:bidi="es-ES"/>
              </w:rPr>
              <w:t xml:space="preserve">uentan con un equipo multidisciplinario y brindan servicios de atención médica, </w:t>
            </w:r>
            <w:r w:rsidRPr="001E0232">
              <w:rPr>
                <w:lang w:bidi="es-ES"/>
              </w:rPr>
              <w:t xml:space="preserve">psicológica, nutricional, </w:t>
            </w:r>
            <w:r w:rsidRPr="00082268">
              <w:rPr>
                <w:lang w:bidi="es-ES"/>
              </w:rPr>
              <w:t>tratamiento y seguimiento clínico y de laboratorio</w:t>
            </w:r>
            <w:r>
              <w:rPr>
                <w:lang w:bidi="es-ES"/>
              </w:rPr>
              <w:t xml:space="preserve"> para el control virológico e inmunológico</w:t>
            </w:r>
            <w:r w:rsidRPr="00082268">
              <w:rPr>
                <w:lang w:bidi="es-ES"/>
              </w:rPr>
              <w:t>.</w:t>
            </w:r>
          </w:p>
          <w:p w14:paraId="6DA4D620" w14:textId="67B76E1A" w:rsidR="00781552" w:rsidRDefault="00781552" w:rsidP="009278C5">
            <w:pPr>
              <w:jc w:val="both"/>
              <w:rPr>
                <w:lang w:bidi="es-ES"/>
              </w:rPr>
            </w:pPr>
          </w:p>
          <w:p w14:paraId="0307CB9E" w14:textId="77777777" w:rsidR="00781552" w:rsidRPr="001E0232" w:rsidRDefault="00781552" w:rsidP="009278C5">
            <w:pPr>
              <w:jc w:val="both"/>
              <w:rPr>
                <w:lang w:bidi="es-ES"/>
              </w:rPr>
            </w:pPr>
          </w:p>
          <w:p w14:paraId="07F076B6" w14:textId="77777777" w:rsidR="009278C5" w:rsidRPr="00D325A6" w:rsidRDefault="009278C5" w:rsidP="009278C5">
            <w:pPr>
              <w:jc w:val="both"/>
              <w:rPr>
                <w:lang w:val="es-NI"/>
              </w:rPr>
            </w:pPr>
            <w:r w:rsidRPr="003853B0">
              <w:rPr>
                <w:b/>
                <w:lang w:val="es-NI"/>
              </w:rPr>
              <w:lastRenderedPageBreak/>
              <w:t>Oferta de la prueba de VIH a la población en general.</w:t>
            </w:r>
          </w:p>
          <w:p w14:paraId="2F06EB60" w14:textId="77777777" w:rsidR="009278C5" w:rsidRPr="00D325A6" w:rsidRDefault="009278C5" w:rsidP="009278C5">
            <w:pPr>
              <w:jc w:val="both"/>
              <w:rPr>
                <w:lang w:val="es-NI"/>
              </w:rPr>
            </w:pPr>
            <w:r w:rsidRPr="00D325A6">
              <w:rPr>
                <w:lang w:val="es-NI"/>
              </w:rPr>
              <w:t>Gran parte del enfoque de la respuesta nacional a la epidemia se centra en el acceso a la prueba de VIH, la cual se realiza en forma gratuita en los establecimientos de salud del sector público, aunque también hay oferta en establecimientos privados que son costeadas por los bolsillos de los usuarios.</w:t>
            </w:r>
          </w:p>
          <w:p w14:paraId="378091C0" w14:textId="77777777" w:rsidR="009278C5" w:rsidRPr="00D325A6" w:rsidRDefault="009278C5" w:rsidP="009278C5">
            <w:pPr>
              <w:jc w:val="both"/>
              <w:rPr>
                <w:lang w:val="es-NI"/>
              </w:rPr>
            </w:pPr>
            <w:r w:rsidRPr="00D325A6">
              <w:rPr>
                <w:lang w:val="es-NI"/>
              </w:rPr>
              <w:t>En el sistema público la población acude por espontánea voluntad a realizársela, pero también en el programa de atención a embarazadas se promueve con intensidad como parte vital de la estrategia de eliminación de la transmisión materno infantil del VIH y la sífilis. En todos los casos la persona que decide que le realicen la toma de muestra hemática para la prueba recibe consejería previa y no se le hace la prueba hasta que rubrique formato de consentimiento informado.</w:t>
            </w:r>
          </w:p>
          <w:p w14:paraId="5A643E5A" w14:textId="0147DA5D" w:rsidR="009278C5" w:rsidRPr="00424489" w:rsidRDefault="009278C5" w:rsidP="009278C5">
            <w:pPr>
              <w:jc w:val="both"/>
              <w:rPr>
                <w:lang w:val="es-NI"/>
              </w:rPr>
            </w:pPr>
            <w:r w:rsidRPr="00D325A6">
              <w:rPr>
                <w:lang w:val="es-NI"/>
              </w:rPr>
              <w:t>Entre el 2015 y el 2019 se han realizado más dos millones de pruebas de VIH, magnitud que ha venido incrementándose desde 370 mil pruebas en el 2015 hasta casi 486 mil en el 2019. De acuerdo con los datos del Programa Nacional, el índice de positivad se ha reducido de 3.1 resultado positivo por cada mil pruebas realizadas en el 2015 hasta 2.4 resultados positivos por cada mil pruebas e</w:t>
            </w:r>
            <w:r w:rsidRPr="00424489">
              <w:rPr>
                <w:lang w:val="es-NI"/>
              </w:rPr>
              <w:t>n el 2019.</w:t>
            </w:r>
            <w:r w:rsidR="00487470" w:rsidRPr="00424489">
              <w:rPr>
                <w:lang w:val="es-NI"/>
              </w:rPr>
              <w:t xml:space="preserve"> [Anexo 1.18]</w:t>
            </w:r>
          </w:p>
          <w:p w14:paraId="52B8E719" w14:textId="13712C59" w:rsidR="009278C5" w:rsidRPr="00424489" w:rsidRDefault="009278C5" w:rsidP="009278C5">
            <w:pPr>
              <w:jc w:val="both"/>
              <w:rPr>
                <w:lang w:val="es-NI"/>
              </w:rPr>
            </w:pPr>
            <w:r w:rsidRPr="00424489">
              <w:rPr>
                <w:lang w:val="es-NI"/>
              </w:rPr>
              <w:t>El MINSAL, como parte de la respuesta a la epidemia, coordina y brinda apoyo a otras instituciones integrantes del Sistema Nacional Integrado de Salud (SNIS). En el año 2019, según integrantes del SNIS, el 74.2% de los casos notificados se detectaron por el MINSAL, el 16.2% por el ISSS, 7.5% por Organizaciones No Gubernamentales, 1.7% por la Dirección General de Centros Penales (DGCP), 0.3% por el Comité de Sanidad Militar (COSAM) y el 0.1% por el Instituto Salvadoreño de Bienestar Magisterial (ISBM) e igual proporción por el Sector Privado.</w:t>
            </w:r>
          </w:p>
          <w:p w14:paraId="1A869336" w14:textId="08CBF48B" w:rsidR="009278C5" w:rsidRPr="00424489" w:rsidRDefault="009278C5" w:rsidP="009278C5">
            <w:pPr>
              <w:jc w:val="both"/>
              <w:rPr>
                <w:lang w:val="es-NI"/>
              </w:rPr>
            </w:pPr>
            <w:r w:rsidRPr="00424489">
              <w:rPr>
                <w:lang w:val="es-NI"/>
              </w:rPr>
              <w:t>El MINSAL brinda las diferentes acciones de prevención primaria y secundaria según diferentes tipos de establecimientos. En el 2019 fueron identificados 871 casos en establecimientos propios de la institución, el 59.5% en la atención hospitalaria. De los casos identificados en el primer nivel de atención destacan las Clínicas de Vigilancia Centinela de Infecciones de Transmisión Sexual (VICITS) con el 21.2%, las Unidades Comunitarias de Salud Familiar (UCSF) el 12.4% y las Clínicas Amigables con 4.6%.</w:t>
            </w:r>
            <w:r w:rsidR="005110E8" w:rsidRPr="00424489">
              <w:rPr>
                <w:lang w:val="es-NI"/>
              </w:rPr>
              <w:t xml:space="preserve"> [Anexo 1.1</w:t>
            </w:r>
            <w:r w:rsidR="00AE3DEB" w:rsidRPr="00424489">
              <w:rPr>
                <w:lang w:val="es-NI"/>
              </w:rPr>
              <w:t>8</w:t>
            </w:r>
            <w:r w:rsidR="005110E8" w:rsidRPr="00424489">
              <w:rPr>
                <w:lang w:val="es-NI"/>
              </w:rPr>
              <w:t>]</w:t>
            </w:r>
          </w:p>
          <w:p w14:paraId="37CA2C06" w14:textId="77777777" w:rsidR="009278C5" w:rsidRPr="00424489" w:rsidRDefault="009278C5" w:rsidP="009278C5">
            <w:pPr>
              <w:jc w:val="both"/>
              <w:rPr>
                <w:b/>
                <w:bCs/>
                <w:lang w:val="es-NI"/>
              </w:rPr>
            </w:pPr>
            <w:r w:rsidRPr="00424489">
              <w:rPr>
                <w:b/>
                <w:bCs/>
                <w:lang w:val="es-NI"/>
              </w:rPr>
              <w:t xml:space="preserve">Acceso </w:t>
            </w:r>
            <w:r w:rsidRPr="00424489">
              <w:rPr>
                <w:b/>
                <w:lang w:val="es-NI"/>
              </w:rPr>
              <w:t>de poblaciones clave</w:t>
            </w:r>
            <w:r w:rsidRPr="00424489">
              <w:rPr>
                <w:b/>
                <w:bCs/>
                <w:lang w:val="es-NI"/>
              </w:rPr>
              <w:t xml:space="preserve"> a la prueba de VIH.</w:t>
            </w:r>
          </w:p>
          <w:p w14:paraId="6207BEDD" w14:textId="77777777" w:rsidR="009278C5" w:rsidRPr="00424489" w:rsidRDefault="009278C5" w:rsidP="009278C5">
            <w:pPr>
              <w:jc w:val="both"/>
              <w:rPr>
                <w:lang w:val="es-NI"/>
              </w:rPr>
            </w:pPr>
            <w:r w:rsidRPr="00424489">
              <w:rPr>
                <w:lang w:val="es-NI"/>
              </w:rPr>
              <w:t>A poblaciones clave en el 2019 se realizaron un total de 30,938 pruebas, 21,293 a HSH, 8,600 a trabajadoras sexuales y 1,045 a Mujeres trans. En el año 2019, a nivel nacional, un total de 357 integrantes de poblaciones clave tuvieron resultado positivo en las pruebas realizadas. (Informe de situación VIH 2019)</w:t>
            </w:r>
          </w:p>
          <w:p w14:paraId="5E321893" w14:textId="0CA3F257" w:rsidR="009278C5" w:rsidRPr="00424489" w:rsidRDefault="009278C5" w:rsidP="009278C5">
            <w:pPr>
              <w:jc w:val="both"/>
              <w:rPr>
                <w:lang w:val="es-NI"/>
              </w:rPr>
            </w:pPr>
            <w:r w:rsidRPr="00424489">
              <w:rPr>
                <w:lang w:val="es-NI"/>
              </w:rPr>
              <w:t>Las ONG que participan del proyecto de El Fondo Mundial</w:t>
            </w:r>
            <w:r w:rsidRPr="001613E9">
              <w:rPr>
                <w:lang w:val="es-NI"/>
              </w:rPr>
              <w:t xml:space="preserve">, implementado por Plan International como Subreceptor, identificaron 84 nuevos casos </w:t>
            </w:r>
            <w:r w:rsidRPr="003853B0">
              <w:rPr>
                <w:lang w:val="es-NI"/>
              </w:rPr>
              <w:t>del total de las 357 en poblaciones clave</w:t>
            </w:r>
            <w:r w:rsidRPr="001613E9">
              <w:rPr>
                <w:lang w:val="es-NI"/>
              </w:rPr>
              <w:t xml:space="preserve">, la mayor proporción el 77.4% de ellos los detectó </w:t>
            </w:r>
            <w:r w:rsidRPr="00424489">
              <w:rPr>
                <w:lang w:val="es-NI"/>
              </w:rPr>
              <w:t>la Asociación Entre Amigos, seguido del Colectivo Alejandría (11.9%) y Orquídeas del Mar (5.9%).</w:t>
            </w:r>
            <w:r w:rsidR="006257B9" w:rsidRPr="00424489">
              <w:rPr>
                <w:lang w:val="es-NI"/>
              </w:rPr>
              <w:t xml:space="preserve"> [Anexo 1.1</w:t>
            </w:r>
            <w:r w:rsidR="008C3B0E" w:rsidRPr="00424489">
              <w:rPr>
                <w:lang w:val="es-NI"/>
              </w:rPr>
              <w:t>8]</w:t>
            </w:r>
          </w:p>
          <w:p w14:paraId="42E595A5" w14:textId="77777777" w:rsidR="009278C5" w:rsidRPr="00424489" w:rsidRDefault="009278C5" w:rsidP="009278C5">
            <w:pPr>
              <w:jc w:val="both"/>
              <w:rPr>
                <w:b/>
                <w:bCs/>
                <w:lang w:val="es-NI"/>
              </w:rPr>
            </w:pPr>
            <w:r w:rsidRPr="00424489">
              <w:rPr>
                <w:b/>
                <w:bCs/>
                <w:lang w:val="es-NI"/>
              </w:rPr>
              <w:t>Estrategia de eliminación de la transmisión materno infantil del VIH.</w:t>
            </w:r>
          </w:p>
          <w:p w14:paraId="7CAAB766" w14:textId="41ACAE77" w:rsidR="009278C5" w:rsidRPr="00424489" w:rsidRDefault="009278C5" w:rsidP="009278C5">
            <w:pPr>
              <w:spacing w:line="22" w:lineRule="atLeast"/>
              <w:jc w:val="both"/>
              <w:rPr>
                <w:lang w:val="es-NI"/>
              </w:rPr>
            </w:pPr>
            <w:r w:rsidRPr="00424489">
              <w:rPr>
                <w:lang w:val="es-NI"/>
              </w:rPr>
              <w:t>En el país las altas coberturas de atención prenatal facilitan el acceso a la prueba de todas las embarazadas. En el año 2019 todas las embarazadas con VIH estaban en tratamiento con antirretrovirales, a pesar de ello se tuvo el caso de un recién nacido con VIH. Desde el 2013 el número de recién nacidos con VIH ha venido desciendo paulatinamente desde 10 casos en el 2013 hasta uno en el 2019.</w:t>
            </w:r>
            <w:r w:rsidR="008C3B0E" w:rsidRPr="00424489">
              <w:rPr>
                <w:lang w:val="es-NI"/>
              </w:rPr>
              <w:t xml:space="preserve"> [Anexo 1.18]</w:t>
            </w:r>
          </w:p>
          <w:p w14:paraId="3C4AC9CD" w14:textId="61AE0108" w:rsidR="009278C5" w:rsidRPr="00F66F49" w:rsidRDefault="009278C5" w:rsidP="009278C5">
            <w:pPr>
              <w:spacing w:line="240" w:lineRule="auto"/>
              <w:jc w:val="both"/>
              <w:rPr>
                <w:lang w:val="es-NI" w:eastAsia="es-BO"/>
              </w:rPr>
            </w:pPr>
            <w:r w:rsidRPr="00424489">
              <w:rPr>
                <w:lang w:val="es-NI" w:eastAsia="es-BO"/>
              </w:rPr>
              <w:t xml:space="preserve">Para el año 2019, en la cascada de atención de la </w:t>
            </w:r>
            <w:r w:rsidR="00E372F2" w:rsidRPr="00424489">
              <w:rPr>
                <w:lang w:val="es-NI" w:eastAsia="es-BO"/>
              </w:rPr>
              <w:t>para la eliminación de la transmisión vertical del VIH (ETMI),</w:t>
            </w:r>
            <w:r w:rsidRPr="00424489">
              <w:rPr>
                <w:lang w:val="es-NI" w:eastAsia="es-BO"/>
              </w:rPr>
              <w:t xml:space="preserve"> construida con los datos del MINSAL, se observa que el 47% de las embarazadas con VIH conocen su condición serológica, el 46% están vinculadas a servicios de salud</w:t>
            </w:r>
            <w:r w:rsidRPr="00F66F49">
              <w:rPr>
                <w:lang w:val="es-NI" w:eastAsia="es-BO"/>
              </w:rPr>
              <w:t>, el 44% están en TAR y el 38% están en supresión viral.</w:t>
            </w:r>
          </w:p>
          <w:p w14:paraId="1C2CA028" w14:textId="4DFD5F18" w:rsidR="009278C5" w:rsidRPr="001E0232" w:rsidRDefault="009278C5" w:rsidP="009278C5">
            <w:pPr>
              <w:spacing w:line="240" w:lineRule="auto"/>
              <w:jc w:val="both"/>
              <w:rPr>
                <w:lang w:val="es-NI" w:eastAsia="es-BO"/>
              </w:rPr>
            </w:pPr>
            <w:r w:rsidRPr="001E0232">
              <w:rPr>
                <w:lang w:val="es-NI" w:eastAsia="es-BO"/>
              </w:rPr>
              <w:t xml:space="preserve">El país ha conservado la intensidad en las acciones para la </w:t>
            </w:r>
            <w:r w:rsidR="00E372F2">
              <w:rPr>
                <w:lang w:val="es-NI" w:eastAsia="es-BO"/>
              </w:rPr>
              <w:t xml:space="preserve">ETMI </w:t>
            </w:r>
            <w:r w:rsidRPr="001E0232">
              <w:rPr>
                <w:lang w:val="es-NI" w:eastAsia="es-BO"/>
              </w:rPr>
              <w:t xml:space="preserve">como lo demuestra el hecho de que </w:t>
            </w:r>
            <w:r w:rsidR="00E372F2">
              <w:rPr>
                <w:lang w:val="es-NI" w:eastAsia="es-BO"/>
              </w:rPr>
              <w:t xml:space="preserve">según datos del Programa Nacional de ITS/VIH </w:t>
            </w:r>
            <w:r w:rsidRPr="001E0232">
              <w:rPr>
                <w:lang w:val="es-NI" w:eastAsia="es-BO"/>
              </w:rPr>
              <w:t>en los últimos cinco años entre 65% y 70% de embarazadas positivas ya conocían su diagnóstico y estaban en tratamiento antirretroviral, durante la pandemia de COVID-19 se creó un centro de llamadas telefónicas para garantizar el seguimiento a la atención de embarazadas y asegurar la realización oportuna de consultas de control prenatal y de la atención del parto, esto incluyó mujeres con VIH.</w:t>
            </w:r>
            <w:r w:rsidR="00E372F2">
              <w:rPr>
                <w:lang w:val="es-NI" w:eastAsia="es-BO"/>
              </w:rPr>
              <w:t xml:space="preserve"> </w:t>
            </w:r>
            <w:r w:rsidR="00E372F2" w:rsidRPr="001E0232">
              <w:rPr>
                <w:lang w:val="es-NI" w:eastAsia="es-BO"/>
              </w:rPr>
              <w:t>(</w:t>
            </w:r>
            <w:r w:rsidR="00E372F2">
              <w:rPr>
                <w:lang w:val="es-NI" w:eastAsia="es-BO"/>
              </w:rPr>
              <w:t xml:space="preserve">Reportes del </w:t>
            </w:r>
            <w:r w:rsidR="00E372F2" w:rsidRPr="001E0232">
              <w:rPr>
                <w:lang w:val="es-NI" w:eastAsia="es-BO"/>
              </w:rPr>
              <w:t>SUMEVE)</w:t>
            </w:r>
            <w:r w:rsidR="00E372F2">
              <w:rPr>
                <w:lang w:val="es-NI" w:eastAsia="es-BO"/>
              </w:rPr>
              <w:t>.</w:t>
            </w:r>
          </w:p>
          <w:p w14:paraId="7708DA79" w14:textId="60EAFC3B" w:rsidR="009278C5" w:rsidRPr="001E0232" w:rsidRDefault="009278C5" w:rsidP="009278C5">
            <w:pPr>
              <w:spacing w:line="22" w:lineRule="atLeast"/>
              <w:jc w:val="both"/>
              <w:rPr>
                <w:lang w:val="es-NI" w:eastAsia="es-BO"/>
              </w:rPr>
            </w:pPr>
            <w:r w:rsidRPr="001E0232">
              <w:rPr>
                <w:lang w:val="es-NI" w:eastAsia="es-BO"/>
              </w:rPr>
              <w:t xml:space="preserve">La dificultad en poder contar con una estimación de mayor precisión en el cálculo de embarazadas con VIH el primer pilar hace que se vean diluidos los efectos de los esfuerzos del país, en que nunca se han tenido más de 170 embarazadas con VIH por año. Considerando que en el país no hay restricciones para el </w:t>
            </w:r>
            <w:r w:rsidRPr="001E0232">
              <w:rPr>
                <w:lang w:val="es-NI" w:eastAsia="es-BO"/>
              </w:rPr>
              <w:lastRenderedPageBreak/>
              <w:t>embarazo en mujeres con VIH</w:t>
            </w:r>
            <w:r w:rsidR="00E372F2">
              <w:rPr>
                <w:lang w:val="es-NI" w:eastAsia="es-BO"/>
              </w:rPr>
              <w:t xml:space="preserve">, es un logro observar </w:t>
            </w:r>
            <w:r w:rsidRPr="001E0232">
              <w:rPr>
                <w:lang w:val="es-NI" w:eastAsia="es-BO"/>
              </w:rPr>
              <w:t xml:space="preserve">en el 2019 </w:t>
            </w:r>
            <w:r w:rsidR="00E372F2">
              <w:rPr>
                <w:lang w:val="es-NI" w:eastAsia="es-BO"/>
              </w:rPr>
              <w:t xml:space="preserve">que el </w:t>
            </w:r>
            <w:r w:rsidRPr="001E0232">
              <w:rPr>
                <w:lang w:val="es-NI" w:eastAsia="es-BO"/>
              </w:rPr>
              <w:t>92.1% de las embarazadas con VIH reciben TAR y que el 87.1% de las que están en TAR han alcanzado la supresión viral.</w:t>
            </w:r>
          </w:p>
          <w:p w14:paraId="29B239C9" w14:textId="77777777" w:rsidR="009278C5" w:rsidRDefault="009278C5" w:rsidP="009278C5">
            <w:pPr>
              <w:spacing w:line="22" w:lineRule="atLeast"/>
              <w:jc w:val="both"/>
              <w:rPr>
                <w:color w:val="6D6F72" w:themeColor="accent2" w:themeShade="BF"/>
                <w:lang w:val="es-NI" w:eastAsia="es-BO"/>
              </w:rPr>
            </w:pPr>
            <w:r>
              <w:rPr>
                <w:noProof/>
              </w:rPr>
              <w:drawing>
                <wp:inline distT="0" distB="0" distL="0" distR="0" wp14:anchorId="633649FF" wp14:editId="3DDECB67">
                  <wp:extent cx="3209925" cy="2314575"/>
                  <wp:effectExtent l="0" t="0" r="9525" b="9525"/>
                  <wp:docPr id="12" name="Gráfico 12">
                    <a:extLst xmlns:a="http://schemas.openxmlformats.org/drawingml/2006/main">
                      <a:ext uri="{FF2B5EF4-FFF2-40B4-BE49-F238E27FC236}">
                        <a16:creationId xmlns:a16="http://schemas.microsoft.com/office/drawing/2014/main" id="{06B3B3EB-6D22-4ED4-B75F-6401A6FF78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color w:val="6D6F72" w:themeColor="accent2" w:themeShade="BF"/>
                <w:lang w:val="es-NI" w:eastAsia="es-BO"/>
              </w:rPr>
              <w:t xml:space="preserve"> </w:t>
            </w:r>
            <w:r>
              <w:rPr>
                <w:noProof/>
              </w:rPr>
              <w:drawing>
                <wp:inline distT="0" distB="0" distL="0" distR="0" wp14:anchorId="0305EA2F" wp14:editId="5E3FC352">
                  <wp:extent cx="3257550" cy="2324100"/>
                  <wp:effectExtent l="0" t="0" r="0" b="0"/>
                  <wp:docPr id="17" name="Gráfico 17">
                    <a:extLst xmlns:a="http://schemas.openxmlformats.org/drawingml/2006/main">
                      <a:ext uri="{FF2B5EF4-FFF2-40B4-BE49-F238E27FC236}">
                        <a16:creationId xmlns:a16="http://schemas.microsoft.com/office/drawing/2014/main" id="{29848370-EBCA-4FCF-A264-82477499A0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55FA82A" w14:textId="77777777" w:rsidR="009278C5" w:rsidRPr="00C42F9A" w:rsidRDefault="009278C5" w:rsidP="009278C5">
            <w:pPr>
              <w:spacing w:line="22" w:lineRule="atLeast"/>
              <w:rPr>
                <w:i/>
                <w:iCs/>
                <w:sz w:val="18"/>
                <w:szCs w:val="18"/>
                <w:lang w:val="es-NI" w:eastAsia="es-BO"/>
              </w:rPr>
            </w:pPr>
            <w:r w:rsidRPr="00C42F9A">
              <w:rPr>
                <w:i/>
                <w:iCs/>
                <w:sz w:val="18"/>
                <w:szCs w:val="18"/>
                <w:lang w:val="es-NI" w:eastAsia="es-BO"/>
              </w:rPr>
              <w:t>Fuente: SUMEVE</w:t>
            </w:r>
          </w:p>
          <w:p w14:paraId="31C32C6C" w14:textId="77777777" w:rsidR="009278C5" w:rsidRPr="001E0232" w:rsidRDefault="009278C5" w:rsidP="009278C5">
            <w:pPr>
              <w:spacing w:before="120" w:line="240" w:lineRule="auto"/>
              <w:rPr>
                <w:b/>
                <w:bCs/>
                <w:lang w:val="es-NI"/>
              </w:rPr>
            </w:pPr>
            <w:r w:rsidRPr="001E0232">
              <w:rPr>
                <w:b/>
                <w:bCs/>
                <w:lang w:val="es-NI"/>
              </w:rPr>
              <w:t>TB/VIH</w:t>
            </w:r>
          </w:p>
          <w:p w14:paraId="278C0AEB" w14:textId="15E52849" w:rsidR="009278C5" w:rsidRPr="00424489" w:rsidRDefault="00C42F9A" w:rsidP="009278C5">
            <w:pPr>
              <w:spacing w:line="240" w:lineRule="auto"/>
              <w:jc w:val="both"/>
              <w:rPr>
                <w:lang w:val="es-NI"/>
              </w:rPr>
            </w:pPr>
            <w:r w:rsidRPr="007A2182">
              <w:rPr>
                <w:noProof/>
                <w:lang w:val="es-NI"/>
              </w:rPr>
              <mc:AlternateContent>
                <mc:Choice Requires="wps">
                  <w:drawing>
                    <wp:anchor distT="0" distB="0" distL="114300" distR="114300" simplePos="0" relativeHeight="251693056" behindDoc="0" locked="0" layoutInCell="1" allowOverlap="1" wp14:anchorId="6FD888D0" wp14:editId="1C437181">
                      <wp:simplePos x="0" y="0"/>
                      <wp:positionH relativeFrom="column">
                        <wp:posOffset>3206750</wp:posOffset>
                      </wp:positionH>
                      <wp:positionV relativeFrom="paragraph">
                        <wp:posOffset>2183765</wp:posOffset>
                      </wp:positionV>
                      <wp:extent cx="3314700" cy="190500"/>
                      <wp:effectExtent l="0" t="0" r="0" b="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0500"/>
                              </a:xfrm>
                              <a:prstGeom prst="rect">
                                <a:avLst/>
                              </a:prstGeom>
                              <a:solidFill>
                                <a:srgbClr val="FFFFFF"/>
                              </a:solidFill>
                              <a:ln w="9525">
                                <a:noFill/>
                                <a:miter lim="800000"/>
                                <a:headEnd/>
                                <a:tailEnd/>
                              </a:ln>
                            </wps:spPr>
                            <wps:txbx>
                              <w:txbxContent>
                                <w:p w14:paraId="3302804C" w14:textId="5B3EAC7E" w:rsidR="00381E40" w:rsidRPr="00D54297" w:rsidRDefault="00381E40" w:rsidP="00C42F9A">
                                  <w:pPr>
                                    <w:spacing w:after="0" w:line="240" w:lineRule="auto"/>
                                    <w:rPr>
                                      <w:sz w:val="14"/>
                                      <w:szCs w:val="14"/>
                                      <w:lang w:val="es-NI"/>
                                    </w:rPr>
                                  </w:pPr>
                                  <w:r w:rsidRPr="00D54297">
                                    <w:rPr>
                                      <w:sz w:val="14"/>
                                      <w:szCs w:val="14"/>
                                      <w:lang w:val="es-NI"/>
                                    </w:rPr>
                                    <w:t xml:space="preserve">Fuente: </w:t>
                                  </w:r>
                                  <w:r>
                                    <w:rPr>
                                      <w:sz w:val="14"/>
                                      <w:szCs w:val="14"/>
                                      <w:lang w:val="es-NI"/>
                                    </w:rPr>
                                    <w:t>Monitoreo conjunto VIH/TB</w:t>
                                  </w:r>
                                  <w:r w:rsidRPr="00D54297">
                                    <w:rPr>
                                      <w:sz w:val="14"/>
                                      <w:szCs w:val="14"/>
                                      <w:lang w:val="es-NI"/>
                                    </w:rPr>
                                    <w:t>, El Salvador 2019.</w:t>
                                  </w:r>
                                </w:p>
                              </w:txbxContent>
                            </wps:txbx>
                            <wps:bodyPr rot="0" vert="horz" wrap="square" lIns="91440" tIns="45720" rIns="91440" bIns="45720" anchor="t" anchorCtr="0">
                              <a:noAutofit/>
                            </wps:bodyPr>
                          </wps:wsp>
                        </a:graphicData>
                      </a:graphic>
                    </wp:anchor>
                  </w:drawing>
                </mc:Choice>
                <mc:Fallback>
                  <w:pict>
                    <v:shape w14:anchorId="6FD888D0" id="_x0000_s1032" type="#_x0000_t202" style="position:absolute;left:0;text-align:left;margin-left:252.5pt;margin-top:171.95pt;width:261pt;height: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" stroked="f">
                      <v:textbox>
                        <w:txbxContent>
                          <w:p w14:paraId="3302804C" w14:textId="5B3EAC7E" w:rsidR="00381E40" w:rsidRPr="00D54297" w:rsidRDefault="00381E40" w:rsidP="00C42F9A">
                            <w:pPr>
                              <w:spacing w:after="0" w:line="240" w:lineRule="auto"/>
                              <w:rPr>
                                <w:sz w:val="14"/>
                                <w:szCs w:val="14"/>
                                <w:lang w:val="es-NI"/>
                              </w:rPr>
                            </w:pPr>
                            <w:r w:rsidRPr="00D54297">
                              <w:rPr>
                                <w:sz w:val="14"/>
                                <w:szCs w:val="14"/>
                                <w:lang w:val="es-NI"/>
                              </w:rPr>
                              <w:t xml:space="preserve">Fuente: </w:t>
                            </w:r>
                            <w:r>
                              <w:rPr>
                                <w:sz w:val="14"/>
                                <w:szCs w:val="14"/>
                                <w:lang w:val="es-NI"/>
                              </w:rPr>
                              <w:t>Monitoreo conjunto VIH/TB</w:t>
                            </w:r>
                            <w:r w:rsidRPr="00D54297">
                              <w:rPr>
                                <w:sz w:val="14"/>
                                <w:szCs w:val="14"/>
                                <w:lang w:val="es-NI"/>
                              </w:rPr>
                              <w:t>, El Salvador 2019.</w:t>
                            </w:r>
                          </w:p>
                        </w:txbxContent>
                      </v:textbox>
                      <w10:wrap type="square"/>
                    </v:shape>
                  </w:pict>
                </mc:Fallback>
              </mc:AlternateContent>
            </w:r>
            <w:r w:rsidR="009278C5" w:rsidRPr="00005390">
              <w:rPr>
                <w:noProof/>
              </w:rPr>
              <w:drawing>
                <wp:anchor distT="0" distB="0" distL="114300" distR="114300" simplePos="0" relativeHeight="251682816" behindDoc="0" locked="0" layoutInCell="1" allowOverlap="1" wp14:anchorId="330B3159" wp14:editId="00B67A12">
                  <wp:simplePos x="0" y="0"/>
                  <wp:positionH relativeFrom="column">
                    <wp:posOffset>3210931</wp:posOffset>
                  </wp:positionH>
                  <wp:positionV relativeFrom="paragraph">
                    <wp:posOffset>8890</wp:posOffset>
                  </wp:positionV>
                  <wp:extent cx="3329305" cy="2173605"/>
                  <wp:effectExtent l="0" t="0" r="4445" b="17145"/>
                  <wp:wrapSquare wrapText="bothSides"/>
                  <wp:docPr id="18" name="Gráfico 18">
                    <a:extLst xmlns:a="http://schemas.openxmlformats.org/drawingml/2006/main">
                      <a:ext uri="{FF2B5EF4-FFF2-40B4-BE49-F238E27FC236}">
                        <a16:creationId xmlns:a16="http://schemas.microsoft.com/office/drawing/2014/main" id="{ECBDFE8B-F23B-4ACE-9F8C-B56966EBBD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9278C5" w:rsidRPr="001E0232">
              <w:rPr>
                <w:lang w:val="es-NI"/>
              </w:rPr>
              <w:t xml:space="preserve">En el país se realiza monitoreo conjunto </w:t>
            </w:r>
            <w:r>
              <w:rPr>
                <w:lang w:val="es-NI"/>
              </w:rPr>
              <w:t>VIH/TB</w:t>
            </w:r>
            <w:r w:rsidR="009278C5" w:rsidRPr="001E0232">
              <w:rPr>
                <w:lang w:val="es-NI"/>
              </w:rPr>
              <w:t xml:space="preserve"> para la vigilancia de la coinfección. Entre el 2017 y el 2019 se han notificado 563 casos de coinfección VIH/TB, esto representa el 78.2% de los casos estimados por OPS|OMS. Al 100% de los casos notificados se les ha ingresado al programa de tratamiento de TB y el 78.3% han ingresado o se han conservado recibiendo TAR. De los que ingresaron a tratamiento para TB en el 73.8% se alcanzó el éxito de tratamiento por coinfección TB|VIH y 19.3% de los notificados fallecieron. Entre el 2003 y el 2017 la mortalidad ha venido disminuyendo, consecuentemente el éxito de tratamiento ha estado aumentado. En los años recientes se observa un incremento en la mortalidad y deterioro </w:t>
            </w:r>
            <w:r w:rsidR="009278C5" w:rsidRPr="00424489">
              <w:rPr>
                <w:lang w:val="es-NI"/>
              </w:rPr>
              <w:t xml:space="preserve">en el éxito de tratamiento observándose como causas las comorbilidades de enfermedades crónicas no transmisibles; falta de cumplimiento </w:t>
            </w:r>
            <w:r w:rsidR="00427F9D" w:rsidRPr="00424489">
              <w:rPr>
                <w:lang w:val="es-NI"/>
              </w:rPr>
              <w:t>del algoritmo diagnóstico</w:t>
            </w:r>
            <w:r w:rsidR="009278C5" w:rsidRPr="00424489">
              <w:rPr>
                <w:lang w:val="es-NI"/>
              </w:rPr>
              <w:t xml:space="preserve"> de TB en personas con VIH; vinculación tardía de casos y presentaciones clínicas de TB en las personas con VIH en estadios avanzados.</w:t>
            </w:r>
            <w:r w:rsidR="008B64DE" w:rsidRPr="00424489">
              <w:rPr>
                <w:lang w:val="es-NI"/>
              </w:rPr>
              <w:t xml:space="preserve"> [Anexo 1.2</w:t>
            </w:r>
            <w:r w:rsidR="00177E7D" w:rsidRPr="00424489">
              <w:rPr>
                <w:lang w:val="es-NI"/>
              </w:rPr>
              <w:t>8</w:t>
            </w:r>
            <w:r w:rsidR="008B64DE" w:rsidRPr="00424489">
              <w:rPr>
                <w:lang w:val="es-NI"/>
              </w:rPr>
              <w:t>]</w:t>
            </w:r>
          </w:p>
          <w:p w14:paraId="428BB17D" w14:textId="05E1D1C0" w:rsidR="009278C5" w:rsidRPr="00424489" w:rsidRDefault="009278C5" w:rsidP="009278C5">
            <w:pPr>
              <w:spacing w:line="240" w:lineRule="auto"/>
              <w:jc w:val="both"/>
              <w:rPr>
                <w:lang w:val="es-NI"/>
              </w:rPr>
            </w:pPr>
            <w:r w:rsidRPr="00424489">
              <w:rPr>
                <w:lang w:val="es-NI"/>
              </w:rPr>
              <w:t>La cobertura de testeo de la prueba de VIH en las personas con TB en el 2019 es del 96.0%</w:t>
            </w:r>
            <w:r w:rsidR="003D39EC" w:rsidRPr="00424489">
              <w:rPr>
                <w:lang w:val="es-NI"/>
              </w:rPr>
              <w:t>; y del total de personas con VIH vinculadas el 55% fue tamizada para TB. [Anexo 1.2</w:t>
            </w:r>
            <w:r w:rsidR="00177E7D" w:rsidRPr="00424489">
              <w:rPr>
                <w:lang w:val="es-NI"/>
              </w:rPr>
              <w:t>8</w:t>
            </w:r>
            <w:r w:rsidR="003D39EC" w:rsidRPr="00424489">
              <w:rPr>
                <w:lang w:val="es-NI"/>
              </w:rPr>
              <w:t>]</w:t>
            </w:r>
          </w:p>
          <w:p w14:paraId="0424D344" w14:textId="77777777" w:rsidR="009278C5" w:rsidRPr="001E0232" w:rsidRDefault="009278C5" w:rsidP="009278C5">
            <w:pPr>
              <w:spacing w:line="22" w:lineRule="atLeast"/>
              <w:rPr>
                <w:lang w:val="es-NI"/>
              </w:rPr>
            </w:pPr>
            <w:r w:rsidRPr="00424489">
              <w:rPr>
                <w:lang w:val="es-NI"/>
              </w:rPr>
              <w:t>El país está trabajando para superar las brechas observadas fortaleciendo actividades de integración programáticas de TB y VIH para la atención de las personas afectadas</w:t>
            </w:r>
            <w:r w:rsidRPr="001E0232">
              <w:rPr>
                <w:lang w:val="es-NI"/>
              </w:rPr>
              <w:t>.</w:t>
            </w:r>
          </w:p>
          <w:p w14:paraId="13C99CCA" w14:textId="23B65BF8" w:rsidR="009278C5" w:rsidRPr="001E0232" w:rsidRDefault="009278C5" w:rsidP="009278C5">
            <w:pPr>
              <w:spacing w:line="22" w:lineRule="atLeast"/>
              <w:rPr>
                <w:lang w:val="es-NI"/>
              </w:rPr>
            </w:pPr>
            <w:r w:rsidRPr="001E0232">
              <w:rPr>
                <w:lang w:val="es-NI"/>
              </w:rPr>
              <w:t>Para el componente VIH, las intervenciones colaborativas VIH</w:t>
            </w:r>
            <w:r w:rsidR="005F34DC">
              <w:rPr>
                <w:lang w:val="es-NI"/>
              </w:rPr>
              <w:t>/</w:t>
            </w:r>
            <w:r w:rsidRPr="001E0232">
              <w:rPr>
                <w:lang w:val="es-NI"/>
              </w:rPr>
              <w:t>TB están incluidas en el PENM-VIH 2022-2026 y están siendo financiadas por fondos GOES.</w:t>
            </w:r>
          </w:p>
          <w:p w14:paraId="3890B6FE" w14:textId="7402C7DB" w:rsidR="009278C5" w:rsidRPr="001E0232" w:rsidRDefault="009278C5" w:rsidP="009278C5">
            <w:pPr>
              <w:spacing w:line="22" w:lineRule="atLeast"/>
              <w:rPr>
                <w:lang w:val="es-NI"/>
              </w:rPr>
            </w:pPr>
            <w:r w:rsidRPr="001E0232">
              <w:rPr>
                <w:lang w:val="es-NI"/>
              </w:rPr>
              <w:t>Para el componente de TB, las intervenciones colaborativas TB</w:t>
            </w:r>
            <w:r w:rsidR="005F34DC">
              <w:rPr>
                <w:lang w:val="es-NI"/>
              </w:rPr>
              <w:t>/</w:t>
            </w:r>
            <w:r w:rsidRPr="001E0232">
              <w:rPr>
                <w:lang w:val="es-NI"/>
              </w:rPr>
              <w:t>VIH están incluidas en el PENM-TB 2022-2026 y están siendo financiadas por fondos GOES y el cofinanciamiento del Fondo Mundial.</w:t>
            </w:r>
          </w:p>
          <w:p w14:paraId="22C8FE4D" w14:textId="77777777" w:rsidR="009278C5" w:rsidRPr="00030284" w:rsidRDefault="009278C5" w:rsidP="009278C5">
            <w:pPr>
              <w:jc w:val="both"/>
              <w:rPr>
                <w:b/>
                <w:bCs/>
                <w:lang w:val="es-NI"/>
              </w:rPr>
            </w:pPr>
            <w:r w:rsidRPr="00030284">
              <w:rPr>
                <w:b/>
                <w:bCs/>
                <w:lang w:val="es-NI"/>
              </w:rPr>
              <w:t>Mortalidad por VIH.</w:t>
            </w:r>
          </w:p>
          <w:p w14:paraId="13D08327" w14:textId="77777777" w:rsidR="009278C5" w:rsidRDefault="009278C5" w:rsidP="009278C5">
            <w:pPr>
              <w:jc w:val="both"/>
              <w:rPr>
                <w:lang w:val="es-NI"/>
              </w:rPr>
            </w:pPr>
            <w:r w:rsidRPr="00D325A6">
              <w:rPr>
                <w:lang w:val="es-NI"/>
              </w:rPr>
              <w:t xml:space="preserve">Según Spectrum, la tasa estimada de mortalidad por cada 100,000 habitantes en el período 2015 – 2019 ha oscilado entre 9 y 10 mientras que, según los registros del MINSAL (SIMMOW) la tasa ha estado comprendida entre 3 y 4 fallecidos por cada 100,000 habitantes. </w:t>
            </w:r>
          </w:p>
          <w:p w14:paraId="414424F7" w14:textId="77777777" w:rsidR="009278C5" w:rsidRDefault="009278C5" w:rsidP="009278C5">
            <w:pPr>
              <w:jc w:val="both"/>
              <w:rPr>
                <w:lang w:val="es-NI"/>
              </w:rPr>
            </w:pPr>
            <w:r w:rsidRPr="00C6063C">
              <w:rPr>
                <w:lang w:val="es-NI"/>
              </w:rPr>
              <w:t xml:space="preserve">En el período 2015-19 se notificaron un total de 1,242 fallecidos por causas relacionadas al VIH, pasando de 211 a 283 entre el 2015 y el 2017 y reduciéndose a 234 en el 2019. En el 2019, por edad y sexo resalta </w:t>
            </w:r>
            <w:r w:rsidRPr="00C6063C">
              <w:rPr>
                <w:lang w:val="es-NI"/>
              </w:rPr>
              <w:lastRenderedPageBreak/>
              <w:t>el hecho de que el 62.1% de todas las muertes acontecen en hombres de 25 a más años, que es casi el doble del grupo que le sigue en orden de frecuencia que son las mujeres de 25 o más años (33.2%)</w:t>
            </w:r>
          </w:p>
          <w:p w14:paraId="6E4B019A" w14:textId="1B547124" w:rsidR="009278C5" w:rsidRDefault="009278C5" w:rsidP="009278C5">
            <w:pPr>
              <w:jc w:val="both"/>
              <w:rPr>
                <w:lang w:val="es-NI"/>
              </w:rPr>
            </w:pPr>
            <w:r>
              <w:rPr>
                <w:lang w:val="es-NI"/>
              </w:rPr>
              <w:t>Para el año 2019, el sistema de morbimortalidad</w:t>
            </w:r>
            <w:r w:rsidR="003D39EC">
              <w:rPr>
                <w:lang w:val="es-NI"/>
              </w:rPr>
              <w:t xml:space="preserve"> en línea (SIMMOW)</w:t>
            </w:r>
            <w:r>
              <w:rPr>
                <w:lang w:val="es-NI"/>
              </w:rPr>
              <w:t xml:space="preserve"> del MINSAL reporta que de las 234 muertes relacionadas con VIH el 32.5% corresponde a mujeres, y el 67.5 a hombres, siendo la mayor proporción de afectados de una edad igual o mayor a 25 años.</w:t>
            </w:r>
          </w:p>
          <w:p w14:paraId="3F7F0ED8" w14:textId="2A0E67C3" w:rsidR="009278C5" w:rsidRPr="00703121" w:rsidRDefault="009278C5" w:rsidP="009278C5">
            <w:pPr>
              <w:spacing w:after="0"/>
              <w:jc w:val="center"/>
              <w:rPr>
                <w:b/>
                <w:bCs/>
                <w:sz w:val="20"/>
                <w:szCs w:val="20"/>
              </w:rPr>
            </w:pPr>
            <w:r w:rsidRPr="00703121">
              <w:rPr>
                <w:b/>
                <w:bCs/>
                <w:sz w:val="20"/>
                <w:szCs w:val="20"/>
                <w:lang w:bidi="es-ES"/>
              </w:rPr>
              <w:t xml:space="preserve">Tabla </w:t>
            </w:r>
            <w:r w:rsidR="002A015C">
              <w:rPr>
                <w:b/>
                <w:bCs/>
                <w:sz w:val="20"/>
                <w:szCs w:val="20"/>
                <w:lang w:bidi="es-ES"/>
              </w:rPr>
              <w:t>5</w:t>
            </w:r>
            <w:r w:rsidR="002A015C" w:rsidRPr="00703121">
              <w:rPr>
                <w:b/>
                <w:bCs/>
                <w:sz w:val="20"/>
                <w:szCs w:val="20"/>
                <w:lang w:bidi="es-ES"/>
              </w:rPr>
              <w:t>.</w:t>
            </w:r>
            <w:r w:rsidRPr="00703121">
              <w:rPr>
                <w:b/>
                <w:bCs/>
                <w:sz w:val="20"/>
                <w:szCs w:val="20"/>
                <w:lang w:bidi="es-ES"/>
              </w:rPr>
              <w:t xml:space="preserve"> El Salvador 2019. Distribución por edad y sexo de muertes por VIH/Sida./*</w:t>
            </w:r>
          </w:p>
          <w:tbl>
            <w:tblPr>
              <w:tblW w:w="4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6"/>
              <w:gridCol w:w="985"/>
              <w:gridCol w:w="1016"/>
              <w:gridCol w:w="858"/>
            </w:tblGrid>
            <w:tr w:rsidR="009278C5" w:rsidRPr="00A56294" w14:paraId="70BC99ED" w14:textId="77777777" w:rsidTr="009278C5">
              <w:trPr>
                <w:trHeight w:val="300"/>
                <w:jc w:val="center"/>
              </w:trPr>
              <w:tc>
                <w:tcPr>
                  <w:tcW w:w="1646" w:type="dxa"/>
                  <w:vMerge w:val="restart"/>
                  <w:tcBorders>
                    <w:left w:val="nil"/>
                  </w:tcBorders>
                  <w:shd w:val="clear" w:color="000000" w:fill="FFFFFF"/>
                  <w:noWrap/>
                  <w:vAlign w:val="center"/>
                  <w:hideMark/>
                </w:tcPr>
                <w:p w14:paraId="08694DDD" w14:textId="77777777" w:rsidR="009278C5" w:rsidRPr="00E10CB3" w:rsidRDefault="009278C5" w:rsidP="009278C5">
                  <w:pPr>
                    <w:spacing w:after="0" w:line="240" w:lineRule="auto"/>
                    <w:jc w:val="both"/>
                    <w:rPr>
                      <w:rFonts w:asciiTheme="minorHAnsi" w:eastAsia="Times New Roman" w:hAnsiTheme="minorHAnsi" w:cstheme="minorHAnsi"/>
                      <w:b/>
                      <w:bCs/>
                      <w:color w:val="000000"/>
                      <w:sz w:val="16"/>
                      <w:szCs w:val="16"/>
                      <w:lang w:val="es-SV" w:eastAsia="es-SV"/>
                    </w:rPr>
                  </w:pPr>
                  <w:r w:rsidRPr="00E10CB3">
                    <w:rPr>
                      <w:rFonts w:asciiTheme="minorHAnsi" w:eastAsia="Times New Roman" w:hAnsiTheme="minorHAnsi" w:cstheme="minorHAnsi"/>
                      <w:b/>
                      <w:bCs/>
                      <w:color w:val="000000"/>
                      <w:sz w:val="16"/>
                      <w:szCs w:val="16"/>
                      <w:lang w:val="es-SV" w:eastAsia="es-SV"/>
                    </w:rPr>
                    <w:t>Grupo Edad</w:t>
                  </w:r>
                </w:p>
              </w:tc>
              <w:tc>
                <w:tcPr>
                  <w:tcW w:w="2001" w:type="dxa"/>
                  <w:gridSpan w:val="2"/>
                  <w:shd w:val="clear" w:color="000000" w:fill="FFFFFF"/>
                  <w:noWrap/>
                  <w:vAlign w:val="center"/>
                  <w:hideMark/>
                </w:tcPr>
                <w:p w14:paraId="4ADCBF26" w14:textId="77777777" w:rsidR="009278C5" w:rsidRPr="00E10CB3" w:rsidRDefault="009278C5" w:rsidP="009278C5">
                  <w:pPr>
                    <w:spacing w:after="0" w:line="240" w:lineRule="auto"/>
                    <w:jc w:val="center"/>
                    <w:rPr>
                      <w:rFonts w:asciiTheme="minorHAnsi" w:eastAsia="Times New Roman" w:hAnsiTheme="minorHAnsi" w:cstheme="minorHAnsi"/>
                      <w:b/>
                      <w:bCs/>
                      <w:color w:val="000000"/>
                      <w:sz w:val="16"/>
                      <w:szCs w:val="16"/>
                      <w:lang w:val="es-SV" w:eastAsia="es-SV"/>
                    </w:rPr>
                  </w:pPr>
                  <w:r w:rsidRPr="00E10CB3">
                    <w:rPr>
                      <w:rFonts w:asciiTheme="minorHAnsi" w:eastAsia="Times New Roman" w:hAnsiTheme="minorHAnsi" w:cstheme="minorHAnsi"/>
                      <w:b/>
                      <w:bCs/>
                      <w:color w:val="000000"/>
                      <w:sz w:val="16"/>
                      <w:szCs w:val="16"/>
                      <w:lang w:val="es-SV" w:eastAsia="es-SV"/>
                    </w:rPr>
                    <w:t>Sexo</w:t>
                  </w:r>
                </w:p>
              </w:tc>
              <w:tc>
                <w:tcPr>
                  <w:tcW w:w="858" w:type="dxa"/>
                  <w:vMerge w:val="restart"/>
                  <w:tcBorders>
                    <w:right w:val="nil"/>
                  </w:tcBorders>
                  <w:shd w:val="clear" w:color="000000" w:fill="FFFFFF"/>
                  <w:vAlign w:val="center"/>
                  <w:hideMark/>
                </w:tcPr>
                <w:p w14:paraId="119DE08F" w14:textId="77777777" w:rsidR="009278C5" w:rsidRPr="00E10CB3" w:rsidRDefault="009278C5" w:rsidP="009278C5">
                  <w:pPr>
                    <w:spacing w:after="0" w:line="240" w:lineRule="auto"/>
                    <w:jc w:val="center"/>
                    <w:rPr>
                      <w:rFonts w:asciiTheme="minorHAnsi" w:eastAsia="Times New Roman" w:hAnsiTheme="minorHAnsi" w:cstheme="minorHAnsi"/>
                      <w:b/>
                      <w:bCs/>
                      <w:color w:val="000000"/>
                      <w:sz w:val="16"/>
                      <w:szCs w:val="16"/>
                      <w:lang w:val="es-SV" w:eastAsia="es-SV"/>
                    </w:rPr>
                  </w:pPr>
                  <w:r w:rsidRPr="00E10CB3">
                    <w:rPr>
                      <w:rFonts w:asciiTheme="minorHAnsi" w:eastAsia="Times New Roman" w:hAnsiTheme="minorHAnsi" w:cstheme="minorHAnsi"/>
                      <w:b/>
                      <w:bCs/>
                      <w:color w:val="000000"/>
                      <w:sz w:val="16"/>
                      <w:szCs w:val="16"/>
                      <w:lang w:val="es-SV" w:eastAsia="es-SV"/>
                    </w:rPr>
                    <w:t>Total</w:t>
                  </w:r>
                </w:p>
              </w:tc>
            </w:tr>
            <w:tr w:rsidR="009278C5" w:rsidRPr="00A56294" w14:paraId="4DED9986" w14:textId="77777777" w:rsidTr="009278C5">
              <w:trPr>
                <w:trHeight w:val="315"/>
                <w:jc w:val="center"/>
              </w:trPr>
              <w:tc>
                <w:tcPr>
                  <w:tcW w:w="1646" w:type="dxa"/>
                  <w:vMerge/>
                  <w:tcBorders>
                    <w:left w:val="nil"/>
                  </w:tcBorders>
                  <w:vAlign w:val="center"/>
                  <w:hideMark/>
                </w:tcPr>
                <w:p w14:paraId="0E69F9FC" w14:textId="77777777" w:rsidR="009278C5" w:rsidRPr="00E10CB3" w:rsidRDefault="009278C5" w:rsidP="009278C5">
                  <w:pPr>
                    <w:spacing w:after="0" w:line="240" w:lineRule="auto"/>
                    <w:jc w:val="both"/>
                    <w:rPr>
                      <w:rFonts w:asciiTheme="minorHAnsi" w:eastAsia="Times New Roman" w:hAnsiTheme="minorHAnsi" w:cstheme="minorHAnsi"/>
                      <w:color w:val="000000"/>
                      <w:sz w:val="16"/>
                      <w:szCs w:val="16"/>
                      <w:lang w:val="es-SV" w:eastAsia="es-SV"/>
                    </w:rPr>
                  </w:pPr>
                </w:p>
              </w:tc>
              <w:tc>
                <w:tcPr>
                  <w:tcW w:w="985" w:type="dxa"/>
                  <w:shd w:val="clear" w:color="000000" w:fill="FFFFFF"/>
                  <w:noWrap/>
                  <w:vAlign w:val="center"/>
                  <w:hideMark/>
                </w:tcPr>
                <w:p w14:paraId="12A7E6C8" w14:textId="77777777" w:rsidR="009278C5" w:rsidRPr="00E10CB3" w:rsidRDefault="009278C5" w:rsidP="009278C5">
                  <w:pPr>
                    <w:spacing w:after="0" w:line="240" w:lineRule="auto"/>
                    <w:jc w:val="center"/>
                    <w:rPr>
                      <w:rFonts w:asciiTheme="minorHAnsi" w:eastAsia="Times New Roman" w:hAnsiTheme="minorHAnsi" w:cstheme="minorHAnsi"/>
                      <w:b/>
                      <w:bCs/>
                      <w:color w:val="000000"/>
                      <w:sz w:val="16"/>
                      <w:szCs w:val="16"/>
                      <w:lang w:val="es-SV" w:eastAsia="es-SV"/>
                    </w:rPr>
                  </w:pPr>
                  <w:r w:rsidRPr="00E10CB3">
                    <w:rPr>
                      <w:rFonts w:asciiTheme="minorHAnsi" w:eastAsia="Times New Roman" w:hAnsiTheme="minorHAnsi" w:cstheme="minorHAnsi"/>
                      <w:b/>
                      <w:bCs/>
                      <w:color w:val="000000"/>
                      <w:sz w:val="16"/>
                      <w:szCs w:val="16"/>
                      <w:lang w:val="es-SV" w:eastAsia="es-SV"/>
                    </w:rPr>
                    <w:t>Femenino</w:t>
                  </w:r>
                </w:p>
              </w:tc>
              <w:tc>
                <w:tcPr>
                  <w:tcW w:w="1016" w:type="dxa"/>
                  <w:shd w:val="clear" w:color="000000" w:fill="FFFFFF"/>
                  <w:noWrap/>
                  <w:vAlign w:val="center"/>
                  <w:hideMark/>
                </w:tcPr>
                <w:p w14:paraId="4E4D3CE7" w14:textId="77777777" w:rsidR="009278C5" w:rsidRPr="00E10CB3" w:rsidRDefault="009278C5" w:rsidP="009278C5">
                  <w:pPr>
                    <w:spacing w:after="0" w:line="240" w:lineRule="auto"/>
                    <w:jc w:val="center"/>
                    <w:rPr>
                      <w:rFonts w:asciiTheme="minorHAnsi" w:eastAsia="Times New Roman" w:hAnsiTheme="minorHAnsi" w:cstheme="minorHAnsi"/>
                      <w:b/>
                      <w:bCs/>
                      <w:color w:val="000000"/>
                      <w:sz w:val="16"/>
                      <w:szCs w:val="16"/>
                      <w:lang w:val="es-SV" w:eastAsia="es-SV"/>
                    </w:rPr>
                  </w:pPr>
                  <w:r w:rsidRPr="00E10CB3">
                    <w:rPr>
                      <w:rFonts w:asciiTheme="minorHAnsi" w:eastAsia="Times New Roman" w:hAnsiTheme="minorHAnsi" w:cstheme="minorHAnsi"/>
                      <w:b/>
                      <w:bCs/>
                      <w:color w:val="000000"/>
                      <w:sz w:val="16"/>
                      <w:szCs w:val="16"/>
                      <w:lang w:val="es-SV" w:eastAsia="es-SV"/>
                    </w:rPr>
                    <w:t>Masculino</w:t>
                  </w:r>
                </w:p>
              </w:tc>
              <w:tc>
                <w:tcPr>
                  <w:tcW w:w="858" w:type="dxa"/>
                  <w:vMerge/>
                  <w:tcBorders>
                    <w:right w:val="nil"/>
                  </w:tcBorders>
                  <w:vAlign w:val="center"/>
                  <w:hideMark/>
                </w:tcPr>
                <w:p w14:paraId="0426573E" w14:textId="77777777" w:rsidR="009278C5" w:rsidRPr="00E10CB3" w:rsidRDefault="009278C5" w:rsidP="009278C5">
                  <w:pPr>
                    <w:spacing w:after="0" w:line="240" w:lineRule="auto"/>
                    <w:jc w:val="both"/>
                    <w:rPr>
                      <w:rFonts w:asciiTheme="minorHAnsi" w:eastAsia="Times New Roman" w:hAnsiTheme="minorHAnsi" w:cstheme="minorHAnsi"/>
                      <w:color w:val="000000"/>
                      <w:sz w:val="16"/>
                      <w:szCs w:val="16"/>
                      <w:lang w:val="es-SV" w:eastAsia="es-SV"/>
                    </w:rPr>
                  </w:pPr>
                </w:p>
              </w:tc>
            </w:tr>
            <w:tr w:rsidR="009278C5" w:rsidRPr="00A56294" w14:paraId="777A6E59" w14:textId="77777777" w:rsidTr="009278C5">
              <w:trPr>
                <w:trHeight w:val="300"/>
                <w:jc w:val="center"/>
              </w:trPr>
              <w:tc>
                <w:tcPr>
                  <w:tcW w:w="1646" w:type="dxa"/>
                  <w:tcBorders>
                    <w:left w:val="nil"/>
                  </w:tcBorders>
                  <w:shd w:val="clear" w:color="auto" w:fill="F2F2F2" w:themeFill="background1" w:themeFillShade="F2"/>
                  <w:noWrap/>
                  <w:vAlign w:val="center"/>
                  <w:hideMark/>
                </w:tcPr>
                <w:p w14:paraId="2F2785C5" w14:textId="77777777" w:rsidR="009278C5" w:rsidRPr="00E10CB3" w:rsidRDefault="009278C5" w:rsidP="009278C5">
                  <w:pPr>
                    <w:spacing w:after="0" w:line="240" w:lineRule="auto"/>
                    <w:jc w:val="both"/>
                    <w:rPr>
                      <w:rFonts w:asciiTheme="minorHAnsi" w:eastAsia="Times New Roman" w:hAnsiTheme="minorHAnsi" w:cstheme="minorHAnsi"/>
                      <w:color w:val="000000"/>
                      <w:sz w:val="16"/>
                      <w:szCs w:val="16"/>
                      <w:lang w:val="es-SV" w:eastAsia="es-SV"/>
                    </w:rPr>
                  </w:pPr>
                  <w:r w:rsidRPr="00E10CB3">
                    <w:rPr>
                      <w:rFonts w:asciiTheme="minorHAnsi" w:eastAsia="Times New Roman" w:hAnsiTheme="minorHAnsi" w:cstheme="minorHAnsi"/>
                      <w:color w:val="000000"/>
                      <w:sz w:val="16"/>
                      <w:szCs w:val="16"/>
                      <w:lang w:val="es-SV" w:eastAsia="es-SV"/>
                    </w:rPr>
                    <w:t>0 a 9</w:t>
                  </w:r>
                </w:p>
              </w:tc>
              <w:tc>
                <w:tcPr>
                  <w:tcW w:w="985" w:type="dxa"/>
                  <w:shd w:val="clear" w:color="auto" w:fill="F2F2F2" w:themeFill="background1" w:themeFillShade="F2"/>
                  <w:noWrap/>
                  <w:vAlign w:val="center"/>
                  <w:hideMark/>
                </w:tcPr>
                <w:p w14:paraId="1A43931C" w14:textId="77777777" w:rsidR="009278C5" w:rsidRPr="00E10CB3" w:rsidRDefault="009278C5" w:rsidP="009278C5">
                  <w:pPr>
                    <w:spacing w:after="0" w:line="240" w:lineRule="auto"/>
                    <w:ind w:right="362"/>
                    <w:jc w:val="right"/>
                    <w:rPr>
                      <w:rFonts w:asciiTheme="minorHAnsi" w:eastAsia="Times New Roman" w:hAnsiTheme="minorHAnsi" w:cstheme="minorHAnsi"/>
                      <w:color w:val="000000"/>
                      <w:sz w:val="16"/>
                      <w:szCs w:val="16"/>
                      <w:lang w:val="es-SV" w:eastAsia="es-SV"/>
                    </w:rPr>
                  </w:pPr>
                  <w:r w:rsidRPr="00E10CB3">
                    <w:rPr>
                      <w:rFonts w:asciiTheme="minorHAnsi" w:eastAsia="Times New Roman" w:hAnsiTheme="minorHAnsi" w:cstheme="minorHAnsi"/>
                      <w:color w:val="000000"/>
                      <w:sz w:val="16"/>
                      <w:szCs w:val="16"/>
                      <w:lang w:val="es-SV" w:eastAsia="es-SV"/>
                    </w:rPr>
                    <w:t>0</w:t>
                  </w:r>
                </w:p>
              </w:tc>
              <w:tc>
                <w:tcPr>
                  <w:tcW w:w="1016" w:type="dxa"/>
                  <w:shd w:val="clear" w:color="auto" w:fill="F2F2F2" w:themeFill="background1" w:themeFillShade="F2"/>
                  <w:noWrap/>
                  <w:vAlign w:val="center"/>
                  <w:hideMark/>
                </w:tcPr>
                <w:p w14:paraId="2D6F6A05" w14:textId="77777777" w:rsidR="009278C5" w:rsidRPr="00E10CB3" w:rsidRDefault="009278C5" w:rsidP="009278C5">
                  <w:pPr>
                    <w:spacing w:after="0" w:line="240" w:lineRule="auto"/>
                    <w:ind w:right="362"/>
                    <w:jc w:val="right"/>
                    <w:rPr>
                      <w:rFonts w:asciiTheme="minorHAnsi" w:eastAsia="Times New Roman" w:hAnsiTheme="minorHAnsi" w:cstheme="minorHAnsi"/>
                      <w:color w:val="000000"/>
                      <w:sz w:val="16"/>
                      <w:szCs w:val="16"/>
                      <w:lang w:val="es-SV" w:eastAsia="es-SV"/>
                    </w:rPr>
                  </w:pPr>
                  <w:r w:rsidRPr="00E10CB3">
                    <w:rPr>
                      <w:rFonts w:asciiTheme="minorHAnsi" w:eastAsia="Times New Roman" w:hAnsiTheme="minorHAnsi" w:cstheme="minorHAnsi"/>
                      <w:color w:val="000000"/>
                      <w:sz w:val="16"/>
                      <w:szCs w:val="16"/>
                      <w:lang w:val="es-SV" w:eastAsia="es-SV"/>
                    </w:rPr>
                    <w:t>0</w:t>
                  </w:r>
                </w:p>
              </w:tc>
              <w:tc>
                <w:tcPr>
                  <w:tcW w:w="858" w:type="dxa"/>
                  <w:tcBorders>
                    <w:right w:val="nil"/>
                  </w:tcBorders>
                  <w:shd w:val="clear" w:color="auto" w:fill="F2F2F2" w:themeFill="background1" w:themeFillShade="F2"/>
                  <w:noWrap/>
                  <w:vAlign w:val="center"/>
                  <w:hideMark/>
                </w:tcPr>
                <w:p w14:paraId="26431B48" w14:textId="77777777" w:rsidR="009278C5" w:rsidRPr="00E10CB3" w:rsidRDefault="009278C5" w:rsidP="009278C5">
                  <w:pPr>
                    <w:spacing w:after="0" w:line="240" w:lineRule="auto"/>
                    <w:ind w:right="362"/>
                    <w:jc w:val="right"/>
                    <w:rPr>
                      <w:rFonts w:asciiTheme="minorHAnsi" w:eastAsia="Times New Roman" w:hAnsiTheme="minorHAnsi" w:cstheme="minorHAnsi"/>
                      <w:color w:val="000000"/>
                      <w:sz w:val="16"/>
                      <w:szCs w:val="16"/>
                      <w:lang w:val="es-SV" w:eastAsia="es-SV"/>
                    </w:rPr>
                  </w:pPr>
                  <w:r w:rsidRPr="00E10CB3">
                    <w:rPr>
                      <w:rFonts w:asciiTheme="minorHAnsi" w:eastAsia="Times New Roman" w:hAnsiTheme="minorHAnsi" w:cstheme="minorHAnsi"/>
                      <w:color w:val="000000"/>
                      <w:sz w:val="16"/>
                      <w:szCs w:val="16"/>
                      <w:lang w:val="es-SV" w:eastAsia="es-SV"/>
                    </w:rPr>
                    <w:t>0</w:t>
                  </w:r>
                </w:p>
              </w:tc>
            </w:tr>
            <w:tr w:rsidR="009278C5" w:rsidRPr="00A56294" w14:paraId="45B97AE1" w14:textId="77777777" w:rsidTr="009278C5">
              <w:trPr>
                <w:trHeight w:val="300"/>
                <w:jc w:val="center"/>
              </w:trPr>
              <w:tc>
                <w:tcPr>
                  <w:tcW w:w="1646" w:type="dxa"/>
                  <w:tcBorders>
                    <w:left w:val="nil"/>
                  </w:tcBorders>
                  <w:shd w:val="clear" w:color="000000" w:fill="FFFFFF"/>
                  <w:noWrap/>
                  <w:vAlign w:val="center"/>
                  <w:hideMark/>
                </w:tcPr>
                <w:p w14:paraId="2EE83A54" w14:textId="77777777" w:rsidR="009278C5" w:rsidRPr="00E10CB3" w:rsidRDefault="009278C5" w:rsidP="009278C5">
                  <w:pPr>
                    <w:spacing w:after="0" w:line="240" w:lineRule="auto"/>
                    <w:jc w:val="both"/>
                    <w:rPr>
                      <w:rFonts w:asciiTheme="minorHAnsi" w:eastAsia="Times New Roman" w:hAnsiTheme="minorHAnsi" w:cstheme="minorHAnsi"/>
                      <w:color w:val="000000"/>
                      <w:sz w:val="16"/>
                      <w:szCs w:val="16"/>
                      <w:lang w:val="es-SV" w:eastAsia="es-SV"/>
                    </w:rPr>
                  </w:pPr>
                  <w:r w:rsidRPr="00E10CB3">
                    <w:rPr>
                      <w:rFonts w:asciiTheme="minorHAnsi" w:eastAsia="Times New Roman" w:hAnsiTheme="minorHAnsi" w:cstheme="minorHAnsi"/>
                      <w:color w:val="000000"/>
                      <w:sz w:val="16"/>
                      <w:szCs w:val="16"/>
                      <w:lang w:val="es-SV" w:eastAsia="es-SV"/>
                    </w:rPr>
                    <w:t>10 a 17</w:t>
                  </w:r>
                </w:p>
              </w:tc>
              <w:tc>
                <w:tcPr>
                  <w:tcW w:w="985" w:type="dxa"/>
                  <w:shd w:val="clear" w:color="000000" w:fill="FFFFFF"/>
                  <w:noWrap/>
                  <w:vAlign w:val="center"/>
                  <w:hideMark/>
                </w:tcPr>
                <w:p w14:paraId="1E1274DF" w14:textId="77777777" w:rsidR="009278C5" w:rsidRPr="00E10CB3" w:rsidRDefault="009278C5" w:rsidP="009278C5">
                  <w:pPr>
                    <w:spacing w:after="0" w:line="240" w:lineRule="auto"/>
                    <w:ind w:right="362"/>
                    <w:jc w:val="right"/>
                    <w:rPr>
                      <w:rFonts w:asciiTheme="minorHAnsi" w:eastAsia="Times New Roman" w:hAnsiTheme="minorHAnsi" w:cstheme="minorHAnsi"/>
                      <w:color w:val="000000"/>
                      <w:sz w:val="16"/>
                      <w:szCs w:val="16"/>
                      <w:lang w:val="es-SV" w:eastAsia="es-SV"/>
                    </w:rPr>
                  </w:pPr>
                  <w:r w:rsidRPr="00E10CB3">
                    <w:rPr>
                      <w:rFonts w:asciiTheme="minorHAnsi" w:eastAsia="Times New Roman" w:hAnsiTheme="minorHAnsi" w:cstheme="minorHAnsi"/>
                      <w:color w:val="000000"/>
                      <w:sz w:val="16"/>
                      <w:szCs w:val="16"/>
                      <w:lang w:val="es-SV" w:eastAsia="es-SV"/>
                    </w:rPr>
                    <w:t>0</w:t>
                  </w:r>
                </w:p>
              </w:tc>
              <w:tc>
                <w:tcPr>
                  <w:tcW w:w="1016" w:type="dxa"/>
                  <w:shd w:val="clear" w:color="000000" w:fill="FFFFFF"/>
                  <w:noWrap/>
                  <w:vAlign w:val="center"/>
                  <w:hideMark/>
                </w:tcPr>
                <w:p w14:paraId="451A4602" w14:textId="77777777" w:rsidR="009278C5" w:rsidRPr="00E10CB3" w:rsidRDefault="009278C5" w:rsidP="009278C5">
                  <w:pPr>
                    <w:spacing w:after="0" w:line="240" w:lineRule="auto"/>
                    <w:ind w:right="362"/>
                    <w:jc w:val="right"/>
                    <w:rPr>
                      <w:rFonts w:asciiTheme="minorHAnsi" w:eastAsia="Times New Roman" w:hAnsiTheme="minorHAnsi" w:cstheme="minorHAnsi"/>
                      <w:color w:val="000000"/>
                      <w:sz w:val="16"/>
                      <w:szCs w:val="16"/>
                      <w:lang w:val="es-SV" w:eastAsia="es-SV"/>
                    </w:rPr>
                  </w:pPr>
                  <w:r w:rsidRPr="00E10CB3">
                    <w:rPr>
                      <w:rFonts w:asciiTheme="minorHAnsi" w:eastAsia="Times New Roman" w:hAnsiTheme="minorHAnsi" w:cstheme="minorHAnsi"/>
                      <w:color w:val="000000"/>
                      <w:sz w:val="16"/>
                      <w:szCs w:val="16"/>
                      <w:lang w:val="es-SV" w:eastAsia="es-SV"/>
                    </w:rPr>
                    <w:t>1</w:t>
                  </w:r>
                </w:p>
              </w:tc>
              <w:tc>
                <w:tcPr>
                  <w:tcW w:w="858" w:type="dxa"/>
                  <w:tcBorders>
                    <w:right w:val="nil"/>
                  </w:tcBorders>
                  <w:shd w:val="clear" w:color="000000" w:fill="FFFFFF"/>
                  <w:noWrap/>
                  <w:vAlign w:val="center"/>
                  <w:hideMark/>
                </w:tcPr>
                <w:p w14:paraId="1BFCA102" w14:textId="77777777" w:rsidR="009278C5" w:rsidRPr="00E10CB3" w:rsidRDefault="009278C5" w:rsidP="009278C5">
                  <w:pPr>
                    <w:spacing w:after="0" w:line="240" w:lineRule="auto"/>
                    <w:ind w:right="362"/>
                    <w:jc w:val="right"/>
                    <w:rPr>
                      <w:rFonts w:asciiTheme="minorHAnsi" w:eastAsia="Times New Roman" w:hAnsiTheme="minorHAnsi" w:cstheme="minorHAnsi"/>
                      <w:color w:val="000000"/>
                      <w:sz w:val="16"/>
                      <w:szCs w:val="16"/>
                      <w:lang w:val="es-SV" w:eastAsia="es-SV"/>
                    </w:rPr>
                  </w:pPr>
                  <w:r w:rsidRPr="00E10CB3">
                    <w:rPr>
                      <w:rFonts w:asciiTheme="minorHAnsi" w:eastAsia="Times New Roman" w:hAnsiTheme="minorHAnsi" w:cstheme="minorHAnsi"/>
                      <w:color w:val="000000"/>
                      <w:sz w:val="16"/>
                      <w:szCs w:val="16"/>
                      <w:lang w:val="es-SV" w:eastAsia="es-SV"/>
                    </w:rPr>
                    <w:t>1</w:t>
                  </w:r>
                </w:p>
              </w:tc>
            </w:tr>
            <w:tr w:rsidR="009278C5" w:rsidRPr="00A56294" w14:paraId="0789C7D5" w14:textId="77777777" w:rsidTr="009278C5">
              <w:trPr>
                <w:trHeight w:val="300"/>
                <w:jc w:val="center"/>
              </w:trPr>
              <w:tc>
                <w:tcPr>
                  <w:tcW w:w="1646" w:type="dxa"/>
                  <w:tcBorders>
                    <w:left w:val="nil"/>
                  </w:tcBorders>
                  <w:shd w:val="clear" w:color="auto" w:fill="F2F2F2" w:themeFill="background1" w:themeFillShade="F2"/>
                  <w:noWrap/>
                  <w:vAlign w:val="center"/>
                  <w:hideMark/>
                </w:tcPr>
                <w:p w14:paraId="77ABE992" w14:textId="77777777" w:rsidR="009278C5" w:rsidRPr="00E10CB3" w:rsidRDefault="009278C5" w:rsidP="009278C5">
                  <w:pPr>
                    <w:spacing w:after="0" w:line="240" w:lineRule="auto"/>
                    <w:jc w:val="both"/>
                    <w:rPr>
                      <w:rFonts w:asciiTheme="minorHAnsi" w:eastAsia="Times New Roman" w:hAnsiTheme="minorHAnsi" w:cstheme="minorHAnsi"/>
                      <w:color w:val="000000"/>
                      <w:sz w:val="16"/>
                      <w:szCs w:val="16"/>
                      <w:lang w:val="es-SV" w:eastAsia="es-SV"/>
                    </w:rPr>
                  </w:pPr>
                  <w:r w:rsidRPr="00E10CB3">
                    <w:rPr>
                      <w:rFonts w:asciiTheme="minorHAnsi" w:eastAsia="Times New Roman" w:hAnsiTheme="minorHAnsi" w:cstheme="minorHAnsi"/>
                      <w:color w:val="000000"/>
                      <w:sz w:val="16"/>
                      <w:szCs w:val="16"/>
                      <w:lang w:val="es-SV" w:eastAsia="es-SV"/>
                    </w:rPr>
                    <w:t>18 a 24</w:t>
                  </w:r>
                </w:p>
              </w:tc>
              <w:tc>
                <w:tcPr>
                  <w:tcW w:w="985" w:type="dxa"/>
                  <w:shd w:val="clear" w:color="auto" w:fill="F2F2F2" w:themeFill="background1" w:themeFillShade="F2"/>
                  <w:noWrap/>
                  <w:vAlign w:val="center"/>
                  <w:hideMark/>
                </w:tcPr>
                <w:p w14:paraId="192C6C18" w14:textId="77777777" w:rsidR="009278C5" w:rsidRPr="00E10CB3" w:rsidRDefault="009278C5" w:rsidP="009278C5">
                  <w:pPr>
                    <w:spacing w:after="0" w:line="240" w:lineRule="auto"/>
                    <w:ind w:right="362"/>
                    <w:jc w:val="right"/>
                    <w:rPr>
                      <w:rFonts w:asciiTheme="minorHAnsi" w:eastAsia="Times New Roman" w:hAnsiTheme="minorHAnsi" w:cstheme="minorHAnsi"/>
                      <w:color w:val="000000"/>
                      <w:sz w:val="16"/>
                      <w:szCs w:val="16"/>
                      <w:lang w:val="es-SV" w:eastAsia="es-SV"/>
                    </w:rPr>
                  </w:pPr>
                  <w:r w:rsidRPr="00E10CB3">
                    <w:rPr>
                      <w:rFonts w:asciiTheme="minorHAnsi" w:eastAsia="Times New Roman" w:hAnsiTheme="minorHAnsi" w:cstheme="minorHAnsi"/>
                      <w:color w:val="000000"/>
                      <w:sz w:val="16"/>
                      <w:szCs w:val="16"/>
                      <w:lang w:val="es-SV" w:eastAsia="es-SV"/>
                    </w:rPr>
                    <w:t>3</w:t>
                  </w:r>
                </w:p>
              </w:tc>
              <w:tc>
                <w:tcPr>
                  <w:tcW w:w="1016" w:type="dxa"/>
                  <w:shd w:val="clear" w:color="auto" w:fill="F2F2F2" w:themeFill="background1" w:themeFillShade="F2"/>
                  <w:noWrap/>
                  <w:vAlign w:val="center"/>
                  <w:hideMark/>
                </w:tcPr>
                <w:p w14:paraId="583B977B" w14:textId="77777777" w:rsidR="009278C5" w:rsidRPr="00E10CB3" w:rsidRDefault="009278C5" w:rsidP="009278C5">
                  <w:pPr>
                    <w:spacing w:after="0" w:line="240" w:lineRule="auto"/>
                    <w:ind w:right="362"/>
                    <w:jc w:val="right"/>
                    <w:rPr>
                      <w:rFonts w:asciiTheme="minorHAnsi" w:eastAsia="Times New Roman" w:hAnsiTheme="minorHAnsi" w:cstheme="minorHAnsi"/>
                      <w:color w:val="000000"/>
                      <w:sz w:val="16"/>
                      <w:szCs w:val="16"/>
                      <w:lang w:val="es-SV" w:eastAsia="es-SV"/>
                    </w:rPr>
                  </w:pPr>
                  <w:r w:rsidRPr="00E10CB3">
                    <w:rPr>
                      <w:rFonts w:asciiTheme="minorHAnsi" w:eastAsia="Times New Roman" w:hAnsiTheme="minorHAnsi" w:cstheme="minorHAnsi"/>
                      <w:color w:val="000000"/>
                      <w:sz w:val="16"/>
                      <w:szCs w:val="16"/>
                      <w:lang w:val="es-SV" w:eastAsia="es-SV"/>
                    </w:rPr>
                    <w:t>2</w:t>
                  </w:r>
                </w:p>
              </w:tc>
              <w:tc>
                <w:tcPr>
                  <w:tcW w:w="858" w:type="dxa"/>
                  <w:tcBorders>
                    <w:right w:val="nil"/>
                  </w:tcBorders>
                  <w:shd w:val="clear" w:color="auto" w:fill="F2F2F2" w:themeFill="background1" w:themeFillShade="F2"/>
                  <w:noWrap/>
                  <w:vAlign w:val="center"/>
                  <w:hideMark/>
                </w:tcPr>
                <w:p w14:paraId="012F1D75" w14:textId="77777777" w:rsidR="009278C5" w:rsidRPr="00E10CB3" w:rsidRDefault="009278C5" w:rsidP="009278C5">
                  <w:pPr>
                    <w:spacing w:after="0" w:line="240" w:lineRule="auto"/>
                    <w:ind w:right="362"/>
                    <w:jc w:val="right"/>
                    <w:rPr>
                      <w:rFonts w:asciiTheme="minorHAnsi" w:eastAsia="Times New Roman" w:hAnsiTheme="minorHAnsi" w:cstheme="minorHAnsi"/>
                      <w:color w:val="000000"/>
                      <w:sz w:val="16"/>
                      <w:szCs w:val="16"/>
                      <w:lang w:val="es-SV" w:eastAsia="es-SV"/>
                    </w:rPr>
                  </w:pPr>
                  <w:r w:rsidRPr="00E10CB3">
                    <w:rPr>
                      <w:rFonts w:asciiTheme="minorHAnsi" w:eastAsia="Times New Roman" w:hAnsiTheme="minorHAnsi" w:cstheme="minorHAnsi"/>
                      <w:color w:val="000000"/>
                      <w:sz w:val="16"/>
                      <w:szCs w:val="16"/>
                      <w:lang w:val="es-SV" w:eastAsia="es-SV"/>
                    </w:rPr>
                    <w:t>5</w:t>
                  </w:r>
                </w:p>
              </w:tc>
            </w:tr>
            <w:tr w:rsidR="009278C5" w:rsidRPr="00A56294" w14:paraId="52BCDFE4" w14:textId="77777777" w:rsidTr="009278C5">
              <w:trPr>
                <w:trHeight w:val="315"/>
                <w:jc w:val="center"/>
              </w:trPr>
              <w:tc>
                <w:tcPr>
                  <w:tcW w:w="1646" w:type="dxa"/>
                  <w:tcBorders>
                    <w:left w:val="nil"/>
                  </w:tcBorders>
                  <w:shd w:val="clear" w:color="000000" w:fill="FFFFFF"/>
                  <w:noWrap/>
                  <w:vAlign w:val="center"/>
                  <w:hideMark/>
                </w:tcPr>
                <w:p w14:paraId="4BC3DDF1" w14:textId="77777777" w:rsidR="009278C5" w:rsidRPr="00E10CB3" w:rsidRDefault="009278C5" w:rsidP="009278C5">
                  <w:pPr>
                    <w:spacing w:after="0" w:line="240" w:lineRule="auto"/>
                    <w:jc w:val="both"/>
                    <w:rPr>
                      <w:rFonts w:asciiTheme="minorHAnsi" w:eastAsia="Times New Roman" w:hAnsiTheme="minorHAnsi" w:cstheme="minorHAnsi"/>
                      <w:color w:val="000000"/>
                      <w:sz w:val="16"/>
                      <w:szCs w:val="16"/>
                      <w:lang w:val="es-SV" w:eastAsia="es-SV"/>
                    </w:rPr>
                  </w:pPr>
                  <w:r w:rsidRPr="00E10CB3">
                    <w:rPr>
                      <w:rFonts w:asciiTheme="minorHAnsi" w:eastAsia="Times New Roman" w:hAnsiTheme="minorHAnsi" w:cstheme="minorHAnsi"/>
                      <w:color w:val="000000"/>
                      <w:sz w:val="16"/>
                      <w:szCs w:val="16"/>
                      <w:lang w:val="es-SV" w:eastAsia="es-SV"/>
                    </w:rPr>
                    <w:t>Igual o mayor a 25</w:t>
                  </w:r>
                </w:p>
              </w:tc>
              <w:tc>
                <w:tcPr>
                  <w:tcW w:w="985" w:type="dxa"/>
                  <w:shd w:val="clear" w:color="000000" w:fill="FFFFFF"/>
                  <w:noWrap/>
                  <w:vAlign w:val="center"/>
                  <w:hideMark/>
                </w:tcPr>
                <w:p w14:paraId="3426484C" w14:textId="77777777" w:rsidR="009278C5" w:rsidRPr="00E10CB3" w:rsidRDefault="009278C5" w:rsidP="009278C5">
                  <w:pPr>
                    <w:spacing w:after="0" w:line="240" w:lineRule="auto"/>
                    <w:ind w:right="362"/>
                    <w:jc w:val="right"/>
                    <w:rPr>
                      <w:rFonts w:asciiTheme="minorHAnsi" w:eastAsia="Times New Roman" w:hAnsiTheme="minorHAnsi" w:cstheme="minorHAnsi"/>
                      <w:color w:val="000000"/>
                      <w:sz w:val="16"/>
                      <w:szCs w:val="16"/>
                      <w:lang w:val="es-SV" w:eastAsia="es-SV"/>
                    </w:rPr>
                  </w:pPr>
                  <w:r w:rsidRPr="00E10CB3">
                    <w:rPr>
                      <w:rFonts w:asciiTheme="minorHAnsi" w:eastAsia="Times New Roman" w:hAnsiTheme="minorHAnsi" w:cstheme="minorHAnsi"/>
                      <w:color w:val="000000"/>
                      <w:sz w:val="16"/>
                      <w:szCs w:val="16"/>
                      <w:lang w:val="es-SV" w:eastAsia="es-SV"/>
                    </w:rPr>
                    <w:t>73</w:t>
                  </w:r>
                </w:p>
              </w:tc>
              <w:tc>
                <w:tcPr>
                  <w:tcW w:w="1016" w:type="dxa"/>
                  <w:shd w:val="clear" w:color="000000" w:fill="FFFFFF"/>
                  <w:noWrap/>
                  <w:vAlign w:val="center"/>
                  <w:hideMark/>
                </w:tcPr>
                <w:p w14:paraId="3BB05065" w14:textId="77777777" w:rsidR="009278C5" w:rsidRPr="00E10CB3" w:rsidRDefault="009278C5" w:rsidP="009278C5">
                  <w:pPr>
                    <w:spacing w:after="0" w:line="240" w:lineRule="auto"/>
                    <w:ind w:right="362"/>
                    <w:jc w:val="right"/>
                    <w:rPr>
                      <w:rFonts w:asciiTheme="minorHAnsi" w:eastAsia="Times New Roman" w:hAnsiTheme="minorHAnsi" w:cstheme="minorHAnsi"/>
                      <w:color w:val="000000"/>
                      <w:sz w:val="16"/>
                      <w:szCs w:val="16"/>
                      <w:lang w:val="es-SV" w:eastAsia="es-SV"/>
                    </w:rPr>
                  </w:pPr>
                  <w:r w:rsidRPr="00E10CB3">
                    <w:rPr>
                      <w:rFonts w:asciiTheme="minorHAnsi" w:eastAsia="Times New Roman" w:hAnsiTheme="minorHAnsi" w:cstheme="minorHAnsi"/>
                      <w:color w:val="000000"/>
                      <w:sz w:val="16"/>
                      <w:szCs w:val="16"/>
                      <w:lang w:val="es-SV" w:eastAsia="es-SV"/>
                    </w:rPr>
                    <w:t>155</w:t>
                  </w:r>
                </w:p>
              </w:tc>
              <w:tc>
                <w:tcPr>
                  <w:tcW w:w="858" w:type="dxa"/>
                  <w:tcBorders>
                    <w:right w:val="nil"/>
                  </w:tcBorders>
                  <w:shd w:val="clear" w:color="000000" w:fill="FFFFFF"/>
                  <w:noWrap/>
                  <w:vAlign w:val="center"/>
                  <w:hideMark/>
                </w:tcPr>
                <w:p w14:paraId="760902C9" w14:textId="77777777" w:rsidR="009278C5" w:rsidRPr="00E10CB3" w:rsidRDefault="009278C5" w:rsidP="009278C5">
                  <w:pPr>
                    <w:spacing w:after="0" w:line="240" w:lineRule="auto"/>
                    <w:ind w:right="362"/>
                    <w:jc w:val="right"/>
                    <w:rPr>
                      <w:rFonts w:asciiTheme="minorHAnsi" w:eastAsia="Times New Roman" w:hAnsiTheme="minorHAnsi" w:cstheme="minorHAnsi"/>
                      <w:color w:val="000000"/>
                      <w:sz w:val="16"/>
                      <w:szCs w:val="16"/>
                      <w:lang w:val="es-SV" w:eastAsia="es-SV"/>
                    </w:rPr>
                  </w:pPr>
                  <w:r w:rsidRPr="00E10CB3">
                    <w:rPr>
                      <w:rFonts w:asciiTheme="minorHAnsi" w:eastAsia="Times New Roman" w:hAnsiTheme="minorHAnsi" w:cstheme="minorHAnsi"/>
                      <w:color w:val="000000"/>
                      <w:sz w:val="16"/>
                      <w:szCs w:val="16"/>
                      <w:lang w:val="es-SV" w:eastAsia="es-SV"/>
                    </w:rPr>
                    <w:t>228</w:t>
                  </w:r>
                </w:p>
              </w:tc>
            </w:tr>
            <w:tr w:rsidR="009278C5" w:rsidRPr="00A56294" w14:paraId="6F022D72" w14:textId="77777777" w:rsidTr="009278C5">
              <w:trPr>
                <w:trHeight w:val="315"/>
                <w:jc w:val="center"/>
              </w:trPr>
              <w:tc>
                <w:tcPr>
                  <w:tcW w:w="1646" w:type="dxa"/>
                  <w:tcBorders>
                    <w:left w:val="nil"/>
                  </w:tcBorders>
                  <w:shd w:val="clear" w:color="auto" w:fill="BFBFBF" w:themeFill="background1" w:themeFillShade="BF"/>
                  <w:noWrap/>
                  <w:vAlign w:val="center"/>
                  <w:hideMark/>
                </w:tcPr>
                <w:p w14:paraId="32E605DF" w14:textId="77777777" w:rsidR="009278C5" w:rsidRPr="00E10CB3" w:rsidRDefault="009278C5" w:rsidP="009278C5">
                  <w:pPr>
                    <w:spacing w:after="0" w:line="240" w:lineRule="auto"/>
                    <w:jc w:val="both"/>
                    <w:rPr>
                      <w:rFonts w:asciiTheme="minorHAnsi" w:eastAsia="Times New Roman" w:hAnsiTheme="minorHAnsi" w:cstheme="minorHAnsi"/>
                      <w:b/>
                      <w:bCs/>
                      <w:color w:val="000000"/>
                      <w:sz w:val="16"/>
                      <w:szCs w:val="16"/>
                      <w:lang w:val="es-SV" w:eastAsia="es-SV"/>
                    </w:rPr>
                  </w:pPr>
                  <w:r w:rsidRPr="00E10CB3">
                    <w:rPr>
                      <w:rFonts w:asciiTheme="minorHAnsi" w:eastAsia="Times New Roman" w:hAnsiTheme="minorHAnsi" w:cstheme="minorHAnsi"/>
                      <w:b/>
                      <w:bCs/>
                      <w:color w:val="000000"/>
                      <w:sz w:val="16"/>
                      <w:szCs w:val="16"/>
                      <w:lang w:val="es-SV" w:eastAsia="es-SV"/>
                    </w:rPr>
                    <w:t>Total</w:t>
                  </w:r>
                </w:p>
              </w:tc>
              <w:tc>
                <w:tcPr>
                  <w:tcW w:w="985" w:type="dxa"/>
                  <w:shd w:val="clear" w:color="auto" w:fill="BFBFBF" w:themeFill="background1" w:themeFillShade="BF"/>
                  <w:noWrap/>
                  <w:vAlign w:val="center"/>
                  <w:hideMark/>
                </w:tcPr>
                <w:p w14:paraId="3D7BFFE6" w14:textId="77777777" w:rsidR="009278C5" w:rsidRPr="00E10CB3" w:rsidRDefault="009278C5" w:rsidP="009278C5">
                  <w:pPr>
                    <w:spacing w:after="0" w:line="240" w:lineRule="auto"/>
                    <w:ind w:right="362"/>
                    <w:jc w:val="right"/>
                    <w:rPr>
                      <w:rFonts w:asciiTheme="minorHAnsi" w:eastAsia="Times New Roman" w:hAnsiTheme="minorHAnsi" w:cstheme="minorHAnsi"/>
                      <w:b/>
                      <w:bCs/>
                      <w:color w:val="000000"/>
                      <w:sz w:val="16"/>
                      <w:szCs w:val="16"/>
                      <w:lang w:val="es-SV" w:eastAsia="es-SV"/>
                    </w:rPr>
                  </w:pPr>
                  <w:r w:rsidRPr="00E10CB3">
                    <w:rPr>
                      <w:rFonts w:asciiTheme="minorHAnsi" w:eastAsia="Times New Roman" w:hAnsiTheme="minorHAnsi" w:cstheme="minorHAnsi"/>
                      <w:b/>
                      <w:bCs/>
                      <w:color w:val="000000"/>
                      <w:sz w:val="16"/>
                      <w:szCs w:val="16"/>
                      <w:lang w:val="es-SV" w:eastAsia="es-SV"/>
                    </w:rPr>
                    <w:t>76</w:t>
                  </w:r>
                </w:p>
              </w:tc>
              <w:tc>
                <w:tcPr>
                  <w:tcW w:w="1016" w:type="dxa"/>
                  <w:shd w:val="clear" w:color="auto" w:fill="BFBFBF" w:themeFill="background1" w:themeFillShade="BF"/>
                  <w:noWrap/>
                  <w:vAlign w:val="center"/>
                  <w:hideMark/>
                </w:tcPr>
                <w:p w14:paraId="5914E3C2" w14:textId="77777777" w:rsidR="009278C5" w:rsidRPr="00E10CB3" w:rsidRDefault="009278C5" w:rsidP="009278C5">
                  <w:pPr>
                    <w:spacing w:after="0" w:line="240" w:lineRule="auto"/>
                    <w:ind w:right="362"/>
                    <w:jc w:val="right"/>
                    <w:rPr>
                      <w:rFonts w:asciiTheme="minorHAnsi" w:eastAsia="Times New Roman" w:hAnsiTheme="minorHAnsi" w:cstheme="minorHAnsi"/>
                      <w:b/>
                      <w:bCs/>
                      <w:color w:val="000000"/>
                      <w:sz w:val="16"/>
                      <w:szCs w:val="16"/>
                      <w:lang w:val="es-SV" w:eastAsia="es-SV"/>
                    </w:rPr>
                  </w:pPr>
                  <w:r w:rsidRPr="00E10CB3">
                    <w:rPr>
                      <w:rFonts w:asciiTheme="minorHAnsi" w:eastAsia="Times New Roman" w:hAnsiTheme="minorHAnsi" w:cstheme="minorHAnsi"/>
                      <w:b/>
                      <w:bCs/>
                      <w:color w:val="000000"/>
                      <w:sz w:val="16"/>
                      <w:szCs w:val="16"/>
                      <w:lang w:val="es-SV" w:eastAsia="es-SV"/>
                    </w:rPr>
                    <w:t>158</w:t>
                  </w:r>
                </w:p>
              </w:tc>
              <w:tc>
                <w:tcPr>
                  <w:tcW w:w="858" w:type="dxa"/>
                  <w:tcBorders>
                    <w:right w:val="nil"/>
                  </w:tcBorders>
                  <w:shd w:val="clear" w:color="auto" w:fill="BFBFBF" w:themeFill="background1" w:themeFillShade="BF"/>
                  <w:noWrap/>
                  <w:vAlign w:val="center"/>
                  <w:hideMark/>
                </w:tcPr>
                <w:p w14:paraId="11727514" w14:textId="77777777" w:rsidR="009278C5" w:rsidRPr="00E10CB3" w:rsidRDefault="009278C5" w:rsidP="009278C5">
                  <w:pPr>
                    <w:spacing w:after="0" w:line="240" w:lineRule="auto"/>
                    <w:ind w:right="362"/>
                    <w:jc w:val="right"/>
                    <w:rPr>
                      <w:rFonts w:asciiTheme="minorHAnsi" w:eastAsia="Times New Roman" w:hAnsiTheme="minorHAnsi" w:cstheme="minorHAnsi"/>
                      <w:b/>
                      <w:bCs/>
                      <w:color w:val="000000"/>
                      <w:sz w:val="16"/>
                      <w:szCs w:val="16"/>
                      <w:lang w:val="es-SV" w:eastAsia="es-SV"/>
                    </w:rPr>
                  </w:pPr>
                  <w:r w:rsidRPr="00E10CB3">
                    <w:rPr>
                      <w:rFonts w:asciiTheme="minorHAnsi" w:eastAsia="Times New Roman" w:hAnsiTheme="minorHAnsi" w:cstheme="minorHAnsi"/>
                      <w:b/>
                      <w:bCs/>
                      <w:color w:val="000000"/>
                      <w:sz w:val="16"/>
                      <w:szCs w:val="16"/>
                      <w:lang w:val="es-SV" w:eastAsia="es-SV"/>
                    </w:rPr>
                    <w:t>234</w:t>
                  </w:r>
                </w:p>
              </w:tc>
            </w:tr>
          </w:tbl>
          <w:p w14:paraId="41965C8F" w14:textId="77777777" w:rsidR="009278C5" w:rsidRPr="006A389F" w:rsidRDefault="009278C5" w:rsidP="009278C5">
            <w:pPr>
              <w:spacing w:after="0" w:line="240" w:lineRule="auto"/>
              <w:ind w:left="1058"/>
              <w:jc w:val="both"/>
              <w:rPr>
                <w:sz w:val="14"/>
                <w:szCs w:val="14"/>
                <w:lang w:bidi="es-ES"/>
              </w:rPr>
            </w:pPr>
            <w:r w:rsidRPr="006A389F">
              <w:rPr>
                <w:sz w:val="14"/>
                <w:szCs w:val="14"/>
                <w:lang w:bidi="es-ES"/>
              </w:rPr>
              <w:t>*/ Se excluye un extranjero.</w:t>
            </w:r>
          </w:p>
          <w:p w14:paraId="0943399A" w14:textId="118542DB" w:rsidR="009278C5" w:rsidRPr="0017614A" w:rsidRDefault="009278C5" w:rsidP="003D39EC">
            <w:pPr>
              <w:spacing w:after="0" w:line="240" w:lineRule="auto"/>
              <w:ind w:left="1058"/>
              <w:jc w:val="both"/>
              <w:rPr>
                <w:rFonts w:cs="Arial"/>
                <w:lang w:val="es-NI"/>
              </w:rPr>
            </w:pPr>
            <w:r w:rsidRPr="006A389F">
              <w:rPr>
                <w:sz w:val="14"/>
                <w:szCs w:val="14"/>
                <w:lang w:bidi="es-ES"/>
              </w:rPr>
              <w:t xml:space="preserve">Fuente: Sistema de </w:t>
            </w:r>
            <w:proofErr w:type="spellStart"/>
            <w:r w:rsidRPr="006A389F">
              <w:rPr>
                <w:sz w:val="14"/>
                <w:szCs w:val="14"/>
                <w:lang w:bidi="es-ES"/>
              </w:rPr>
              <w:t>morbi</w:t>
            </w:r>
            <w:proofErr w:type="spellEnd"/>
            <w:r w:rsidRPr="006A389F">
              <w:rPr>
                <w:sz w:val="14"/>
                <w:szCs w:val="14"/>
                <w:lang w:bidi="es-ES"/>
              </w:rPr>
              <w:t xml:space="preserve"> mortalidad en línea (SIMMOW).</w:t>
            </w:r>
          </w:p>
        </w:tc>
      </w:tr>
    </w:tbl>
    <w:p w14:paraId="413D59C4" w14:textId="77777777" w:rsidR="00485066" w:rsidRPr="0017614A" w:rsidRDefault="00485066" w:rsidP="001F7F10">
      <w:pPr>
        <w:spacing w:after="0"/>
        <w:rPr>
          <w:rFonts w:cs="Arial"/>
          <w:bCs/>
          <w:lang w:val="es-NI"/>
        </w:rPr>
      </w:pPr>
    </w:p>
    <w:p w14:paraId="1E9618A8" w14:textId="66E2D3F2" w:rsidR="00485066" w:rsidRPr="00841157" w:rsidRDefault="00485066" w:rsidP="001F7F10">
      <w:pPr>
        <w:spacing w:after="0"/>
        <w:jc w:val="both"/>
        <w:rPr>
          <w:rFonts w:cs="Arial"/>
        </w:rPr>
      </w:pPr>
      <w:r w:rsidRPr="00BF4BEE">
        <w:rPr>
          <w:rFonts w:cs="Arial"/>
          <w:lang w:bidi="es-ES"/>
        </w:rPr>
        <w:t>Habida cuenta del contexto nacional, el monto de la asignación del Fondo Mundial, los datos disponibles más recientes y las directrices de la carta de asignación:</w:t>
      </w:r>
    </w:p>
    <w:p w14:paraId="5796F9C0" w14:textId="55F80D05" w:rsidR="00CB63FE" w:rsidRPr="00841157" w:rsidRDefault="00CB63FE" w:rsidP="00BE0F0C">
      <w:pPr>
        <w:spacing w:after="0"/>
        <w:rPr>
          <w:rFonts w:cs="Arial"/>
        </w:rPr>
      </w:pPr>
    </w:p>
    <w:p w14:paraId="22D17666" w14:textId="1236D915" w:rsidR="00CB63FE" w:rsidRPr="00841157" w:rsidRDefault="001D5CEF" w:rsidP="00561767">
      <w:pPr>
        <w:spacing w:after="0"/>
        <w:ind w:left="270" w:hanging="270"/>
        <w:jc w:val="both"/>
      </w:pPr>
      <w:r w:rsidRPr="00BF4BEE">
        <w:rPr>
          <w:rFonts w:cs="Arial"/>
          <w:lang w:bidi="es-ES"/>
        </w:rPr>
        <w:t>b) Haga un resumen de</w:t>
      </w:r>
      <w:r w:rsidRPr="00BF4BEE">
        <w:rPr>
          <w:rFonts w:cs="Arial"/>
          <w:b/>
          <w:lang w:bidi="es-ES"/>
        </w:rPr>
        <w:t xml:space="preserve"> la metodología </w:t>
      </w:r>
      <w:r w:rsidR="000B0F95">
        <w:rPr>
          <w:rFonts w:cs="Arial"/>
          <w:b/>
          <w:lang w:bidi="es-ES"/>
        </w:rPr>
        <w:t xml:space="preserve">utilizada </w:t>
      </w:r>
      <w:r w:rsidRPr="00BF4BEE">
        <w:rPr>
          <w:rFonts w:cs="Arial"/>
          <w:b/>
          <w:lang w:bidi="es-ES"/>
        </w:rPr>
        <w:t>para otorgar prioridad</w:t>
      </w:r>
      <w:r w:rsidRPr="00BF4BEE">
        <w:rPr>
          <w:rFonts w:cs="Arial"/>
          <w:lang w:bidi="es-ES"/>
        </w:rPr>
        <w:t xml:space="preserve"> a los módulos e intervenciones</w:t>
      </w:r>
      <w:r w:rsidR="000B0F95">
        <w:rPr>
          <w:rFonts w:cs="Arial"/>
          <w:lang w:bidi="es-ES"/>
        </w:rPr>
        <w:t xml:space="preserve"> propuestos</w:t>
      </w:r>
      <w:r w:rsidRPr="00BF4BEE">
        <w:rPr>
          <w:rFonts w:cs="Arial"/>
          <w:lang w:bidi="es-ES"/>
        </w:rPr>
        <w:t xml:space="preserve"> (o, si se trata de «</w:t>
      </w:r>
      <w:r w:rsidR="003962E5">
        <w:rPr>
          <w:rFonts w:cs="Arial"/>
          <w:lang w:bidi="es-ES"/>
        </w:rPr>
        <w:t>financiamiento</w:t>
      </w:r>
      <w:r w:rsidR="00323FC5" w:rsidRPr="00BF4BEE">
        <w:rPr>
          <w:rFonts w:cs="Arial"/>
          <w:lang w:bidi="es-ES"/>
        </w:rPr>
        <w:t xml:space="preserve"> </w:t>
      </w:r>
      <w:r w:rsidRPr="00BF4BEE">
        <w:rPr>
          <w:rFonts w:cs="Arial"/>
          <w:lang w:bidi="es-ES"/>
        </w:rPr>
        <w:t xml:space="preserve">por resultados», los indicadores de desempeño o hitos). </w:t>
      </w:r>
    </w:p>
    <w:p w14:paraId="6BF04C29" w14:textId="77777777" w:rsidR="00C011D1" w:rsidRPr="00841157" w:rsidRDefault="00C011D1" w:rsidP="00561767">
      <w:pPr>
        <w:spacing w:after="0"/>
        <w:ind w:left="270" w:hanging="270"/>
        <w:jc w:val="both"/>
        <w:rPr>
          <w:rFonts w:cs="Arial"/>
          <w:bCs/>
          <w:iCs/>
        </w:rPr>
      </w:pPr>
    </w:p>
    <w:tbl>
      <w:tblPr>
        <w:tblStyle w:val="TableGrid"/>
        <w:tblW w:w="0" w:type="auto"/>
        <w:tblLook w:val="04A0" w:firstRow="1" w:lastRow="0" w:firstColumn="1" w:lastColumn="0" w:noHBand="0" w:noVBand="1"/>
      </w:tblPr>
      <w:tblGrid>
        <w:gridCol w:w="10456"/>
      </w:tblGrid>
      <w:tr w:rsidR="00CB63FE" w:rsidRPr="00424489" w14:paraId="1E016E79" w14:textId="77777777" w:rsidTr="00CB63FE">
        <w:tc>
          <w:tcPr>
            <w:tcW w:w="10790" w:type="dxa"/>
            <w:tcBorders>
              <w:top w:val="single" w:sz="4" w:space="0" w:color="auto"/>
              <w:left w:val="single" w:sz="4" w:space="0" w:color="auto"/>
              <w:bottom w:val="single" w:sz="4" w:space="0" w:color="auto"/>
              <w:right w:val="single" w:sz="4" w:space="0" w:color="auto"/>
            </w:tcBorders>
          </w:tcPr>
          <w:p w14:paraId="35899975" w14:textId="77777777" w:rsidR="005E00FB" w:rsidRPr="00424489" w:rsidRDefault="005E00FB" w:rsidP="00E77F78">
            <w:pPr>
              <w:jc w:val="both"/>
              <w:rPr>
                <w:rFonts w:cs="Arial"/>
                <w:lang w:val="es-NI"/>
              </w:rPr>
            </w:pPr>
            <w:r w:rsidRPr="00424489">
              <w:rPr>
                <w:rFonts w:cs="Arial"/>
                <w:lang w:val="es-NI"/>
              </w:rPr>
              <w:t xml:space="preserve">Las intervenciones se han priorizado tomando en cuenta los aportes, discusiones y propuestas brindadas por los participantes en las siete mesas de diálogo nacional multisectorial que el país organizó, en las que se contó con la participación de 291 personas. En ellas se motivó a los participantes a que brindaran aportes para la actualización del PENM 2022-2026 y a la solicitud de financiamiento al Fondo Mundial para el período 2022-2024. Las mesas se organizaron según población y temática: </w:t>
            </w:r>
          </w:p>
          <w:p w14:paraId="7AD0E774" w14:textId="77777777" w:rsidR="005E00FB" w:rsidRPr="00424489" w:rsidRDefault="005E00FB" w:rsidP="00E77F78">
            <w:pPr>
              <w:jc w:val="both"/>
              <w:rPr>
                <w:rFonts w:cs="Arial"/>
                <w:lang w:val="es-NI"/>
              </w:rPr>
            </w:pPr>
            <w:r w:rsidRPr="00424489">
              <w:rPr>
                <w:rFonts w:cs="Arial"/>
                <w:lang w:val="es-NI"/>
              </w:rPr>
              <w:t>1.</w:t>
            </w:r>
            <w:r w:rsidRPr="00424489">
              <w:rPr>
                <w:rFonts w:cs="Arial"/>
                <w:lang w:val="es-NI"/>
              </w:rPr>
              <w:tab/>
              <w:t>Técnicos del Programa Nacional,</w:t>
            </w:r>
          </w:p>
          <w:p w14:paraId="3B4C580F" w14:textId="77777777" w:rsidR="005E00FB" w:rsidRPr="00424489" w:rsidRDefault="005E00FB" w:rsidP="00E77F78">
            <w:pPr>
              <w:jc w:val="both"/>
              <w:rPr>
                <w:rFonts w:cs="Arial"/>
                <w:lang w:val="es-NI"/>
              </w:rPr>
            </w:pPr>
            <w:r w:rsidRPr="00424489">
              <w:rPr>
                <w:rFonts w:cs="Arial"/>
                <w:lang w:val="es-NI"/>
              </w:rPr>
              <w:t>2.</w:t>
            </w:r>
            <w:r w:rsidRPr="00424489">
              <w:rPr>
                <w:rFonts w:cs="Arial"/>
                <w:lang w:val="es-NI"/>
              </w:rPr>
              <w:tab/>
              <w:t>Poblaciones Clave,</w:t>
            </w:r>
          </w:p>
          <w:p w14:paraId="7ADB084B" w14:textId="77777777" w:rsidR="005E00FB" w:rsidRPr="00424489" w:rsidRDefault="005E00FB" w:rsidP="00E77F78">
            <w:pPr>
              <w:jc w:val="both"/>
              <w:rPr>
                <w:rFonts w:cs="Arial"/>
                <w:lang w:val="es-NI"/>
              </w:rPr>
            </w:pPr>
            <w:r w:rsidRPr="00424489">
              <w:rPr>
                <w:rFonts w:cs="Arial"/>
                <w:lang w:val="es-NI"/>
              </w:rPr>
              <w:t>3.</w:t>
            </w:r>
            <w:r w:rsidRPr="00424489">
              <w:rPr>
                <w:rFonts w:cs="Arial"/>
                <w:lang w:val="es-NI"/>
              </w:rPr>
              <w:tab/>
              <w:t>Juventudes, incluido de poblaciones clave,</w:t>
            </w:r>
          </w:p>
          <w:p w14:paraId="3FDA2513" w14:textId="77777777" w:rsidR="005E00FB" w:rsidRPr="00424489" w:rsidRDefault="005E00FB" w:rsidP="00E77F78">
            <w:pPr>
              <w:jc w:val="both"/>
              <w:rPr>
                <w:rFonts w:cs="Arial"/>
                <w:lang w:val="es-NI"/>
              </w:rPr>
            </w:pPr>
            <w:r w:rsidRPr="00424489">
              <w:rPr>
                <w:rFonts w:cs="Arial"/>
                <w:lang w:val="es-NI"/>
              </w:rPr>
              <w:t>4.</w:t>
            </w:r>
            <w:r w:rsidRPr="00424489">
              <w:rPr>
                <w:rFonts w:cs="Arial"/>
                <w:lang w:val="es-NI"/>
              </w:rPr>
              <w:tab/>
              <w:t>Personas con VIH,</w:t>
            </w:r>
          </w:p>
          <w:p w14:paraId="2ECD1F3F" w14:textId="77777777" w:rsidR="005E00FB" w:rsidRPr="00424489" w:rsidRDefault="005E00FB" w:rsidP="00E77F78">
            <w:pPr>
              <w:jc w:val="both"/>
              <w:rPr>
                <w:rFonts w:cs="Arial"/>
                <w:lang w:val="es-NI"/>
              </w:rPr>
            </w:pPr>
            <w:r w:rsidRPr="00424489">
              <w:rPr>
                <w:rFonts w:cs="Arial"/>
                <w:lang w:val="es-NI"/>
              </w:rPr>
              <w:t>5.</w:t>
            </w:r>
            <w:r w:rsidRPr="00424489">
              <w:rPr>
                <w:rFonts w:cs="Arial"/>
                <w:lang w:val="es-NI"/>
              </w:rPr>
              <w:tab/>
              <w:t>Actores en Derechos Humanos y VIH,</w:t>
            </w:r>
          </w:p>
          <w:p w14:paraId="0E348975" w14:textId="77777777" w:rsidR="005E00FB" w:rsidRPr="00424489" w:rsidRDefault="005E00FB" w:rsidP="00E77F78">
            <w:pPr>
              <w:jc w:val="both"/>
              <w:rPr>
                <w:rFonts w:cs="Arial"/>
                <w:lang w:val="es-NI"/>
              </w:rPr>
            </w:pPr>
            <w:r w:rsidRPr="00424489">
              <w:rPr>
                <w:rFonts w:cs="Arial"/>
                <w:lang w:val="es-NI"/>
              </w:rPr>
              <w:t>6.</w:t>
            </w:r>
            <w:r w:rsidRPr="00424489">
              <w:rPr>
                <w:rFonts w:cs="Arial"/>
                <w:lang w:val="es-NI"/>
              </w:rPr>
              <w:tab/>
              <w:t>Clínicas de Atención Integral y</w:t>
            </w:r>
          </w:p>
          <w:p w14:paraId="108A119E" w14:textId="77777777" w:rsidR="005E00FB" w:rsidRPr="00424489" w:rsidRDefault="005E00FB" w:rsidP="00E77F78">
            <w:pPr>
              <w:jc w:val="both"/>
              <w:rPr>
                <w:rFonts w:cs="Arial"/>
                <w:lang w:val="es-NI"/>
              </w:rPr>
            </w:pPr>
            <w:r w:rsidRPr="00424489">
              <w:rPr>
                <w:rFonts w:cs="Arial"/>
                <w:lang w:val="es-NI"/>
              </w:rPr>
              <w:t>7.</w:t>
            </w:r>
            <w:r w:rsidRPr="00424489">
              <w:rPr>
                <w:rFonts w:cs="Arial"/>
                <w:lang w:val="es-NI"/>
              </w:rPr>
              <w:tab/>
              <w:t>Clínicas VICITS.</w:t>
            </w:r>
          </w:p>
          <w:p w14:paraId="1BD29226" w14:textId="77777777" w:rsidR="005E00FB" w:rsidRPr="00424489" w:rsidRDefault="005E00FB" w:rsidP="00E77F78">
            <w:pPr>
              <w:jc w:val="both"/>
              <w:rPr>
                <w:rFonts w:cs="Arial"/>
                <w:lang w:val="es-NI"/>
              </w:rPr>
            </w:pPr>
            <w:r w:rsidRPr="00424489">
              <w:rPr>
                <w:rFonts w:cs="Arial"/>
                <w:lang w:val="es-NI"/>
              </w:rPr>
              <w:t xml:space="preserve">Los facilitadores de las mesas de diálogos se capacitaron para la aplicación de metodología estándar, utilizando una guía de cinco preguntas para favorecer la discusión y la obtención de propuestas razonadas a la luz del quehacer de los actores y las recomendaciones para tener un mejor rendimiento de los recursos que estarán disponibles. Las preguntas (aquí con el ejemplo para la mesa de personas con VIH) con que se guiaron las mesas fueron: </w:t>
            </w:r>
          </w:p>
          <w:p w14:paraId="783D74AC" w14:textId="7FF8E88E" w:rsidR="005E00FB" w:rsidRPr="00424489" w:rsidRDefault="005E00FB" w:rsidP="00E77F78">
            <w:pPr>
              <w:jc w:val="both"/>
              <w:rPr>
                <w:rFonts w:cs="Arial"/>
                <w:lang w:val="es-NI"/>
              </w:rPr>
            </w:pPr>
            <w:r w:rsidRPr="00424489">
              <w:rPr>
                <w:rFonts w:cs="Arial"/>
                <w:lang w:val="es-NI"/>
              </w:rPr>
              <w:t xml:space="preserve">1.- ¿En qué pilares de la cascada del continuo de la atención considera que desde el trabajo de las organizaciones de </w:t>
            </w:r>
            <w:r w:rsidR="0000088D" w:rsidRPr="00424489">
              <w:rPr>
                <w:rFonts w:cs="Arial"/>
                <w:lang w:val="es-NI"/>
              </w:rPr>
              <w:t>personas con</w:t>
            </w:r>
            <w:r w:rsidR="00CA7ECE" w:rsidRPr="00424489">
              <w:rPr>
                <w:rFonts w:cs="Arial"/>
                <w:lang w:val="es-NI"/>
              </w:rPr>
              <w:t xml:space="preserve"> VIH</w:t>
            </w:r>
            <w:r w:rsidRPr="00424489">
              <w:rPr>
                <w:rFonts w:cs="Arial"/>
                <w:lang w:val="es-NI"/>
              </w:rPr>
              <w:t xml:space="preserve"> contribuyen a la cascada del continuo de la atención de VIH? Explique.</w:t>
            </w:r>
          </w:p>
          <w:p w14:paraId="68B1E584" w14:textId="20C72AB0" w:rsidR="005E00FB" w:rsidRPr="00424489" w:rsidRDefault="005E00FB" w:rsidP="00E77F78">
            <w:pPr>
              <w:jc w:val="both"/>
              <w:rPr>
                <w:rFonts w:cs="Arial"/>
                <w:lang w:val="es-NI"/>
              </w:rPr>
            </w:pPr>
            <w:r w:rsidRPr="00424489">
              <w:rPr>
                <w:rFonts w:cs="Arial"/>
                <w:lang w:val="es-NI"/>
              </w:rPr>
              <w:t xml:space="preserve">2.- ¿Qué estrategias se han implementado desde las organizaciones de </w:t>
            </w:r>
            <w:r w:rsidR="00CA7ECE" w:rsidRPr="00424489">
              <w:rPr>
                <w:rFonts w:cs="Arial"/>
                <w:lang w:val="es-NI"/>
              </w:rPr>
              <w:t>personas con VIH</w:t>
            </w:r>
            <w:r w:rsidRPr="00424489">
              <w:rPr>
                <w:rFonts w:cs="Arial"/>
                <w:lang w:val="es-NI"/>
              </w:rPr>
              <w:t xml:space="preserve"> en apoyo al pilar de diagnóstico y Vinculación? Explique.</w:t>
            </w:r>
          </w:p>
          <w:p w14:paraId="0BBEDCB0" w14:textId="5EE8B727" w:rsidR="005E00FB" w:rsidRPr="00424489" w:rsidRDefault="005E00FB" w:rsidP="00E77F78">
            <w:pPr>
              <w:jc w:val="both"/>
              <w:rPr>
                <w:rFonts w:cs="Arial"/>
                <w:lang w:val="es-NI"/>
              </w:rPr>
            </w:pPr>
            <w:r w:rsidRPr="00424489">
              <w:rPr>
                <w:rFonts w:cs="Arial"/>
                <w:lang w:val="es-NI"/>
              </w:rPr>
              <w:t xml:space="preserve">3.- ¿Pensando en la mejora de la atención y un abordaje óptimo en las </w:t>
            </w:r>
            <w:r w:rsidR="00CA7ECE" w:rsidRPr="00424489">
              <w:rPr>
                <w:rFonts w:cs="Arial"/>
                <w:lang w:val="es-NI"/>
              </w:rPr>
              <w:t>personas con VIH</w:t>
            </w:r>
            <w:r w:rsidRPr="00424489">
              <w:rPr>
                <w:rFonts w:cs="Arial"/>
                <w:lang w:val="es-NI"/>
              </w:rPr>
              <w:t>, que estrategias propone en apoyo a los pilares de la Cascada del Continuo de la Atención, y que instituciones o sectores pueden estar involucrados? Explique.</w:t>
            </w:r>
          </w:p>
          <w:p w14:paraId="3424F659" w14:textId="2C081FF4" w:rsidR="005E00FB" w:rsidRPr="00424489" w:rsidRDefault="005E00FB" w:rsidP="00E77F78">
            <w:pPr>
              <w:jc w:val="both"/>
              <w:rPr>
                <w:rFonts w:cs="Arial"/>
                <w:lang w:val="es-NI"/>
              </w:rPr>
            </w:pPr>
            <w:r w:rsidRPr="00424489">
              <w:rPr>
                <w:rFonts w:cs="Arial"/>
                <w:lang w:val="es-NI"/>
              </w:rPr>
              <w:t xml:space="preserve">4.- ¿Cómo considera que podrían establecerse meta de trabajo y cumplimiento de indicadores para un trabajo más efectivo en </w:t>
            </w:r>
            <w:r w:rsidR="00CA7ECE" w:rsidRPr="00424489">
              <w:rPr>
                <w:rFonts w:cs="Arial"/>
                <w:lang w:val="es-NI"/>
              </w:rPr>
              <w:t>personas con VIH</w:t>
            </w:r>
            <w:r w:rsidRPr="00424489">
              <w:rPr>
                <w:rFonts w:cs="Arial"/>
                <w:lang w:val="es-NI"/>
              </w:rPr>
              <w:t>?</w:t>
            </w:r>
          </w:p>
          <w:p w14:paraId="090B86D5" w14:textId="77777777" w:rsidR="005E00FB" w:rsidRPr="00424489" w:rsidRDefault="005E00FB" w:rsidP="00E77F78">
            <w:pPr>
              <w:jc w:val="both"/>
              <w:rPr>
                <w:rFonts w:cs="Arial"/>
                <w:lang w:val="es-NI"/>
              </w:rPr>
            </w:pPr>
            <w:r w:rsidRPr="00424489">
              <w:rPr>
                <w:rFonts w:cs="Arial"/>
                <w:lang w:val="es-NI"/>
              </w:rPr>
              <w:lastRenderedPageBreak/>
              <w:t>5.- ¿Qué recursos necesitaría, para la implementación de la estrategia en el numeral anterior; puntualice cada uno de los insumos?</w:t>
            </w:r>
          </w:p>
          <w:p w14:paraId="1A404C55" w14:textId="77777777" w:rsidR="005E00FB" w:rsidRPr="00424489" w:rsidRDefault="005E00FB" w:rsidP="00E77F78">
            <w:pPr>
              <w:jc w:val="both"/>
              <w:rPr>
                <w:rFonts w:cs="Arial"/>
                <w:lang w:val="es-NI"/>
              </w:rPr>
            </w:pPr>
            <w:r w:rsidRPr="00424489">
              <w:rPr>
                <w:rFonts w:cs="Arial"/>
                <w:lang w:val="es-NI"/>
              </w:rPr>
              <w:t>Los aportes brindados contribuyeron a la actualización del PENM 2022-2026, su enfoque, visión y objetivos.</w:t>
            </w:r>
          </w:p>
          <w:p w14:paraId="2FBD2023" w14:textId="77777777" w:rsidR="005E00FB" w:rsidRPr="00424489" w:rsidRDefault="005E00FB" w:rsidP="00E77F78">
            <w:pPr>
              <w:jc w:val="both"/>
              <w:rPr>
                <w:rFonts w:cs="Arial"/>
                <w:lang w:val="es-NI"/>
              </w:rPr>
            </w:pPr>
            <w:r w:rsidRPr="00424489">
              <w:rPr>
                <w:rFonts w:cs="Arial"/>
                <w:lang w:val="es-NI"/>
              </w:rPr>
              <w:t>Tanto en las mesas de diálogo como en las sesiones del equipo técnico de propuesta, para la priorización de módulos e intervenciones se tomaron en cuenta los aspectos siguientes:</w:t>
            </w:r>
          </w:p>
          <w:p w14:paraId="0586AE98" w14:textId="77302FB0" w:rsidR="005E00FB" w:rsidRPr="00F71938" w:rsidRDefault="005E00FB" w:rsidP="00F71938">
            <w:pPr>
              <w:pStyle w:val="ListParagraph"/>
              <w:numPr>
                <w:ilvl w:val="0"/>
                <w:numId w:val="78"/>
              </w:numPr>
              <w:jc w:val="both"/>
              <w:rPr>
                <w:rFonts w:cs="Arial"/>
                <w:lang w:val="es-NI"/>
              </w:rPr>
            </w:pPr>
            <w:r w:rsidRPr="00F71938">
              <w:rPr>
                <w:rFonts w:cs="Arial"/>
                <w:lang w:val="es-NI"/>
              </w:rPr>
              <w:t>Análisis de la información relacionada a las brechas de la cascada de atención;</w:t>
            </w:r>
          </w:p>
          <w:p w14:paraId="1AE4A276" w14:textId="27D30D31" w:rsidR="005E00FB" w:rsidRPr="00F71938" w:rsidRDefault="005E00FB" w:rsidP="00F71938">
            <w:pPr>
              <w:pStyle w:val="ListParagraph"/>
              <w:numPr>
                <w:ilvl w:val="0"/>
                <w:numId w:val="78"/>
              </w:numPr>
              <w:jc w:val="both"/>
              <w:rPr>
                <w:rFonts w:cs="Arial"/>
                <w:lang w:val="es-NI"/>
              </w:rPr>
            </w:pPr>
            <w:r w:rsidRPr="00F71938">
              <w:rPr>
                <w:rFonts w:cs="Arial"/>
                <w:lang w:val="es-NI"/>
              </w:rPr>
              <w:t>Recomendaciones de evaluaciones internacionales independientes (incluso la evaluación de APGM financiada por el Fondo mundial);</w:t>
            </w:r>
          </w:p>
          <w:p w14:paraId="503946E8" w14:textId="75FCAB9F" w:rsidR="005E00FB" w:rsidRPr="00F71938" w:rsidRDefault="005E00FB" w:rsidP="00F71938">
            <w:pPr>
              <w:pStyle w:val="ListParagraph"/>
              <w:numPr>
                <w:ilvl w:val="0"/>
                <w:numId w:val="78"/>
              </w:numPr>
              <w:jc w:val="both"/>
              <w:rPr>
                <w:rFonts w:cs="Arial"/>
                <w:lang w:val="es-NI"/>
              </w:rPr>
            </w:pPr>
            <w:r w:rsidRPr="00F71938">
              <w:rPr>
                <w:rFonts w:cs="Arial"/>
                <w:lang w:val="es-NI"/>
              </w:rPr>
              <w:t>La estrategia nacional de sostenibilidad y plan de acción para la sostenibilidad de la respuesta al VIH 2019-2023;</w:t>
            </w:r>
          </w:p>
          <w:p w14:paraId="40621B68" w14:textId="3EF7524C" w:rsidR="005E00FB" w:rsidRPr="00F71938" w:rsidRDefault="005E00FB" w:rsidP="00F71938">
            <w:pPr>
              <w:pStyle w:val="ListParagraph"/>
              <w:numPr>
                <w:ilvl w:val="0"/>
                <w:numId w:val="78"/>
              </w:numPr>
              <w:jc w:val="both"/>
              <w:rPr>
                <w:rFonts w:cs="Arial"/>
                <w:lang w:val="es-NI"/>
              </w:rPr>
            </w:pPr>
            <w:r w:rsidRPr="00F71938">
              <w:rPr>
                <w:rFonts w:cs="Arial"/>
                <w:lang w:val="es-NI"/>
              </w:rPr>
              <w:t>Los compromisos internacionales suscritos por el país;</w:t>
            </w:r>
          </w:p>
          <w:p w14:paraId="0EC2388E" w14:textId="0917547A" w:rsidR="005E00FB" w:rsidRPr="00F71938" w:rsidRDefault="005E00FB" w:rsidP="00F71938">
            <w:pPr>
              <w:pStyle w:val="ListParagraph"/>
              <w:numPr>
                <w:ilvl w:val="0"/>
                <w:numId w:val="78"/>
              </w:numPr>
              <w:jc w:val="both"/>
              <w:rPr>
                <w:rFonts w:cs="Arial"/>
                <w:lang w:val="es-NI"/>
              </w:rPr>
            </w:pPr>
            <w:r w:rsidRPr="00F71938">
              <w:rPr>
                <w:rFonts w:cs="Arial"/>
                <w:lang w:val="es-NI"/>
              </w:rPr>
              <w:t xml:space="preserve">Aportes al cumplimiento del PENM 2016-2021, y contribución a las metas y objetivos del PENM 2022-2026; </w:t>
            </w:r>
          </w:p>
          <w:p w14:paraId="4C0055E9" w14:textId="2E7428CD" w:rsidR="005E00FB" w:rsidRPr="00F71938" w:rsidRDefault="005E00FB" w:rsidP="00F71938">
            <w:pPr>
              <w:pStyle w:val="ListParagraph"/>
              <w:numPr>
                <w:ilvl w:val="0"/>
                <w:numId w:val="78"/>
              </w:numPr>
              <w:jc w:val="both"/>
              <w:rPr>
                <w:rFonts w:cs="Arial"/>
                <w:lang w:val="es-NI"/>
              </w:rPr>
            </w:pPr>
            <w:r w:rsidRPr="00F71938">
              <w:rPr>
                <w:rFonts w:cs="Arial"/>
                <w:lang w:val="es-NI"/>
              </w:rPr>
              <w:t>Mayor impacto y costo beneficio.</w:t>
            </w:r>
          </w:p>
          <w:p w14:paraId="43EC9992" w14:textId="77777777" w:rsidR="005E00FB" w:rsidRPr="00424489" w:rsidRDefault="005E00FB" w:rsidP="00E77F78">
            <w:pPr>
              <w:jc w:val="both"/>
              <w:rPr>
                <w:rFonts w:cs="Arial"/>
                <w:lang w:val="es-NI"/>
              </w:rPr>
            </w:pPr>
            <w:r w:rsidRPr="00424489">
              <w:rPr>
                <w:rFonts w:cs="Arial"/>
                <w:lang w:val="es-NI"/>
              </w:rPr>
              <w:t xml:space="preserve">Bajo la conducción del comité de propuestas, de acuerdo con la afinidad con el tema o sector de población al que pertenece, se procedió a formar grupos de trabajo para la priorización, tomando como criterios, los aportes de las mesas, contrastando con las recomendaciones de las evaluaciones externas y recomendaciones globales. </w:t>
            </w:r>
          </w:p>
          <w:p w14:paraId="1CF92B5E" w14:textId="0843F6B9" w:rsidR="00E91EF5" w:rsidRPr="00424489" w:rsidRDefault="005E00FB" w:rsidP="00E77F78">
            <w:pPr>
              <w:jc w:val="both"/>
              <w:rPr>
                <w:rFonts w:cs="Arial"/>
                <w:lang w:val="es-NI"/>
              </w:rPr>
            </w:pPr>
            <w:r w:rsidRPr="00424489">
              <w:rPr>
                <w:rFonts w:cs="Arial"/>
                <w:lang w:val="es-NI"/>
              </w:rPr>
              <w:t xml:space="preserve">Las estrategias que surgieron de esta priorización fueron presentadas por el Comité de Propuestas al pleno del </w:t>
            </w:r>
            <w:r w:rsidR="006D0B25" w:rsidRPr="00424489">
              <w:rPr>
                <w:rFonts w:cs="Arial"/>
                <w:lang w:val="es-NI"/>
              </w:rPr>
              <w:t>MCP-ES</w:t>
            </w:r>
            <w:r w:rsidRPr="00424489">
              <w:rPr>
                <w:rFonts w:cs="Arial"/>
                <w:lang w:val="es-NI"/>
              </w:rPr>
              <w:t>-ES y de la Comisión Nacional de VIH, recibiendo el aval de ambas instancias.</w:t>
            </w:r>
            <w:r w:rsidR="008D25C3" w:rsidRPr="00424489">
              <w:rPr>
                <w:rFonts w:cs="Arial"/>
                <w:lang w:val="es-NI"/>
              </w:rPr>
              <w:t xml:space="preserve"> [Anexo 1.29]</w:t>
            </w:r>
          </w:p>
        </w:tc>
      </w:tr>
    </w:tbl>
    <w:p w14:paraId="28186397" w14:textId="2C83039B" w:rsidR="00CB63FE" w:rsidRPr="00424489" w:rsidRDefault="00CB63FE" w:rsidP="008C21CF">
      <w:pPr>
        <w:spacing w:after="0"/>
        <w:rPr>
          <w:rFonts w:cs="Arial"/>
          <w:lang w:val="es-NI"/>
        </w:rPr>
      </w:pPr>
    </w:p>
    <w:p w14:paraId="36F2F3C0" w14:textId="77777777" w:rsidR="0057038C" w:rsidRDefault="0057038C" w:rsidP="0057038C">
      <w:pPr>
        <w:spacing w:after="0"/>
        <w:rPr>
          <w:lang w:val="es-NI"/>
        </w:rPr>
      </w:pPr>
      <w:r w:rsidRPr="00424489">
        <w:rPr>
          <w:lang w:val="es-NI"/>
        </w:rPr>
        <w:t>Luego del proceso de priorización con un enfoque de derechos humanos para garantizar una adecuada atención en salud a las</w:t>
      </w:r>
      <w:r>
        <w:rPr>
          <w:lang w:val="es-NI"/>
        </w:rPr>
        <w:t xml:space="preserve"> poblaciones vulnerables, se han definido las intervenciones que a continuación se detallan:</w:t>
      </w:r>
    </w:p>
    <w:p w14:paraId="392E0E9A" w14:textId="77777777" w:rsidR="0057038C" w:rsidRPr="00815549" w:rsidRDefault="0057038C" w:rsidP="008C21CF">
      <w:pPr>
        <w:spacing w:after="0"/>
        <w:rPr>
          <w:rFonts w:cs="Arial"/>
          <w:lang w:val="es-NI"/>
        </w:rPr>
      </w:pPr>
    </w:p>
    <w:p w14:paraId="55305E18" w14:textId="471C7518" w:rsidR="00810CCB" w:rsidRDefault="00071C82" w:rsidP="00025BC8">
      <w:pPr>
        <w:pStyle w:val="ListParagraph"/>
        <w:numPr>
          <w:ilvl w:val="0"/>
          <w:numId w:val="23"/>
        </w:numPr>
        <w:spacing w:after="0"/>
        <w:ind w:left="360" w:hanging="270"/>
        <w:jc w:val="both"/>
        <w:rPr>
          <w:rFonts w:cs="Arial"/>
        </w:rPr>
      </w:pPr>
      <w:r>
        <w:rPr>
          <w:rFonts w:cs="Arial"/>
          <w:lang w:bidi="es-ES"/>
        </w:rPr>
        <w:t xml:space="preserve">Cumplimente </w:t>
      </w:r>
      <w:r w:rsidRPr="00F71938">
        <w:rPr>
          <w:rFonts w:cs="Arial"/>
          <w:bCs/>
          <w:lang w:bidi="es-ES"/>
        </w:rPr>
        <w:t>una tabla por cada componente de enfermedad</w:t>
      </w:r>
      <w:r>
        <w:rPr>
          <w:rFonts w:cs="Arial"/>
          <w:lang w:bidi="es-ES"/>
        </w:rPr>
        <w:t xml:space="preserve"> y otra tabla para la programación integrada o transversal (como los módulos de tuberculosis y VIH o de los sistemas para la salud </w:t>
      </w:r>
      <w:r w:rsidR="00323FC5">
        <w:rPr>
          <w:rFonts w:cs="Arial"/>
          <w:lang w:bidi="es-ES"/>
        </w:rPr>
        <w:t xml:space="preserve">resilientes </w:t>
      </w:r>
      <w:r>
        <w:rPr>
          <w:rFonts w:cs="Arial"/>
          <w:lang w:bidi="es-ES"/>
        </w:rPr>
        <w:t>y sostenibles [SSRS]) con el fin de describir las áreas a las que se ha dado preferencia en esta solicitud de financiamiento.</w:t>
      </w:r>
    </w:p>
    <w:p w14:paraId="120FC2FD" w14:textId="77777777" w:rsidR="0057038C" w:rsidRDefault="0057038C" w:rsidP="0057038C">
      <w:pPr>
        <w:spacing w:after="0"/>
        <w:ind w:left="90"/>
        <w:jc w:val="both"/>
        <w:rPr>
          <w:rFonts w:cs="Arial"/>
        </w:rPr>
        <w:sectPr w:rsidR="0057038C" w:rsidSect="00F5709E">
          <w:headerReference w:type="even" r:id="rId26"/>
          <w:headerReference w:type="default" r:id="rId27"/>
          <w:footerReference w:type="even" r:id="rId28"/>
          <w:footerReference w:type="default" r:id="rId29"/>
          <w:headerReference w:type="first" r:id="rId30"/>
          <w:footerReference w:type="first" r:id="rId31"/>
          <w:pgSz w:w="11906" w:h="16838" w:code="9"/>
          <w:pgMar w:top="720" w:right="720" w:bottom="720" w:left="720" w:header="720" w:footer="288" w:gutter="0"/>
          <w:cols w:space="720"/>
          <w:titlePg/>
          <w:docGrid w:linePitch="360"/>
        </w:sectPr>
      </w:pPr>
    </w:p>
    <w:p w14:paraId="61FA372F" w14:textId="77777777" w:rsidR="0057038C" w:rsidRPr="003F0B7A" w:rsidRDefault="0057038C" w:rsidP="0057038C">
      <w:pPr>
        <w:spacing w:line="240" w:lineRule="auto"/>
        <w:jc w:val="center"/>
        <w:rPr>
          <w:lang w:val="es-NI"/>
        </w:rPr>
      </w:pPr>
      <w:bookmarkStart w:id="2" w:name="_Hlk63010783"/>
      <w:r w:rsidRPr="003F0B7A">
        <w:rPr>
          <w:rFonts w:eastAsia="Times New Roman"/>
          <w:b/>
          <w:bCs/>
          <w:szCs w:val="26"/>
          <w:lang w:val="es-BO"/>
        </w:rPr>
        <w:lastRenderedPageBreak/>
        <w:t>Descripción de los Módulos de Implementación y sus cambios programáticos</w:t>
      </w:r>
    </w:p>
    <w:tbl>
      <w:tblPr>
        <w:tblW w:w="15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175"/>
        <w:gridCol w:w="6007"/>
        <w:gridCol w:w="2872"/>
        <w:gridCol w:w="2156"/>
      </w:tblGrid>
      <w:tr w:rsidR="0057038C" w:rsidRPr="007E74BF" w14:paraId="1A2EDB32" w14:textId="77777777" w:rsidTr="00E93A12">
        <w:trPr>
          <w:cantSplit/>
          <w:trHeight w:val="1134"/>
          <w:tblHeader/>
        </w:trPr>
        <w:tc>
          <w:tcPr>
            <w:tcW w:w="715" w:type="dxa"/>
            <w:shd w:val="clear" w:color="auto" w:fill="8EAADB"/>
            <w:textDirection w:val="btLr"/>
            <w:vAlign w:val="center"/>
          </w:tcPr>
          <w:p w14:paraId="5723E9E1" w14:textId="77777777" w:rsidR="0057038C" w:rsidRPr="006E25E0" w:rsidRDefault="0057038C" w:rsidP="0057038C">
            <w:pPr>
              <w:spacing w:after="0" w:line="240" w:lineRule="auto"/>
              <w:ind w:left="113" w:right="113"/>
              <w:jc w:val="center"/>
              <w:rPr>
                <w:rFonts w:eastAsia="Calibri"/>
                <w:sz w:val="16"/>
                <w:szCs w:val="16"/>
                <w:lang w:val="es-NI"/>
              </w:rPr>
            </w:pPr>
            <w:bookmarkStart w:id="3" w:name="_Hlk63010694"/>
            <w:bookmarkStart w:id="4" w:name="_Hlk63178768"/>
            <w:r w:rsidRPr="006E25E0">
              <w:rPr>
                <w:rFonts w:eastAsia="Times New Roman"/>
                <w:b/>
                <w:sz w:val="16"/>
                <w:szCs w:val="16"/>
                <w:lang w:val="es-NI" w:eastAsia="es-SV"/>
              </w:rPr>
              <w:t>Módulo</w:t>
            </w:r>
          </w:p>
        </w:tc>
        <w:tc>
          <w:tcPr>
            <w:tcW w:w="4175" w:type="dxa"/>
            <w:shd w:val="clear" w:color="auto" w:fill="8EAADB"/>
            <w:vAlign w:val="center"/>
          </w:tcPr>
          <w:p w14:paraId="17D0347B" w14:textId="77777777" w:rsidR="0057038C" w:rsidRPr="006E25E0" w:rsidRDefault="0057038C" w:rsidP="0057038C">
            <w:pPr>
              <w:spacing w:after="0" w:line="240" w:lineRule="auto"/>
              <w:jc w:val="center"/>
              <w:rPr>
                <w:rFonts w:eastAsia="Calibri"/>
                <w:sz w:val="16"/>
                <w:szCs w:val="16"/>
                <w:lang w:val="es-NI"/>
              </w:rPr>
            </w:pPr>
            <w:r w:rsidRPr="006E25E0">
              <w:rPr>
                <w:rFonts w:eastAsia="Times New Roman"/>
                <w:b/>
                <w:sz w:val="16"/>
                <w:szCs w:val="16"/>
                <w:lang w:val="es-NI" w:eastAsia="es-SV"/>
              </w:rPr>
              <w:t>Intervención</w:t>
            </w:r>
            <w:r>
              <w:rPr>
                <w:rFonts w:eastAsia="Times New Roman"/>
                <w:b/>
                <w:sz w:val="16"/>
                <w:szCs w:val="16"/>
                <w:lang w:val="es-NI" w:eastAsia="es-SV"/>
              </w:rPr>
              <w:t xml:space="preserve"> y población prioritaria</w:t>
            </w:r>
          </w:p>
        </w:tc>
        <w:tc>
          <w:tcPr>
            <w:tcW w:w="6007" w:type="dxa"/>
            <w:shd w:val="clear" w:color="auto" w:fill="8EAADB"/>
            <w:vAlign w:val="center"/>
          </w:tcPr>
          <w:p w14:paraId="297A210F" w14:textId="77777777" w:rsidR="0057038C" w:rsidRPr="006E25E0" w:rsidRDefault="0057038C" w:rsidP="0057038C">
            <w:pPr>
              <w:spacing w:after="0" w:line="240" w:lineRule="auto"/>
              <w:jc w:val="center"/>
              <w:rPr>
                <w:rFonts w:eastAsia="Calibri"/>
                <w:sz w:val="16"/>
                <w:szCs w:val="16"/>
                <w:lang w:val="es-NI"/>
              </w:rPr>
            </w:pPr>
            <w:r w:rsidRPr="006E25E0">
              <w:rPr>
                <w:rFonts w:eastAsia="Times New Roman"/>
                <w:b/>
                <w:sz w:val="16"/>
                <w:szCs w:val="16"/>
                <w:lang w:val="es-NI" w:eastAsia="es-SV"/>
              </w:rPr>
              <w:t>Descripción</w:t>
            </w:r>
            <w:r>
              <w:rPr>
                <w:rFonts w:eastAsia="Times New Roman"/>
                <w:b/>
                <w:sz w:val="16"/>
                <w:szCs w:val="16"/>
                <w:lang w:val="es-NI" w:eastAsia="es-SV"/>
              </w:rPr>
              <w:t xml:space="preserve"> y obstáculos e inequidades</w:t>
            </w:r>
          </w:p>
        </w:tc>
        <w:tc>
          <w:tcPr>
            <w:tcW w:w="2872" w:type="dxa"/>
            <w:shd w:val="clear" w:color="auto" w:fill="8EAADB"/>
            <w:vAlign w:val="center"/>
          </w:tcPr>
          <w:p w14:paraId="2D501B97" w14:textId="77777777" w:rsidR="0057038C" w:rsidRDefault="0057038C" w:rsidP="0057038C">
            <w:pPr>
              <w:spacing w:after="0" w:line="240" w:lineRule="auto"/>
              <w:ind w:right="-106"/>
              <w:jc w:val="center"/>
              <w:rPr>
                <w:rFonts w:eastAsia="Times New Roman"/>
                <w:b/>
                <w:sz w:val="16"/>
                <w:szCs w:val="16"/>
                <w:lang w:val="es-NI" w:eastAsia="es-SV"/>
              </w:rPr>
            </w:pPr>
            <w:r w:rsidRPr="006E25E0">
              <w:rPr>
                <w:rFonts w:eastAsia="Times New Roman"/>
                <w:b/>
                <w:sz w:val="16"/>
                <w:szCs w:val="16"/>
                <w:lang w:val="es-NI" w:eastAsia="es-SV"/>
              </w:rPr>
              <w:t>Metas propuestas según marco de desempeño</w:t>
            </w:r>
            <w:r>
              <w:rPr>
                <w:rFonts w:eastAsia="Times New Roman"/>
                <w:b/>
                <w:sz w:val="16"/>
                <w:szCs w:val="16"/>
                <w:lang w:val="es-NI" w:eastAsia="es-SV"/>
              </w:rPr>
              <w:t xml:space="preserve"> y resultado esperado</w:t>
            </w:r>
          </w:p>
          <w:p w14:paraId="4D531623" w14:textId="2C110DC4" w:rsidR="0048021D" w:rsidRPr="006E25E0" w:rsidRDefault="008E25D9" w:rsidP="0057038C">
            <w:pPr>
              <w:spacing w:after="0" w:line="240" w:lineRule="auto"/>
              <w:ind w:right="-106"/>
              <w:jc w:val="center"/>
              <w:rPr>
                <w:rFonts w:eastAsia="Calibri"/>
                <w:sz w:val="16"/>
                <w:szCs w:val="16"/>
                <w:lang w:val="es-NI"/>
              </w:rPr>
            </w:pPr>
            <w:r w:rsidRPr="00424489">
              <w:rPr>
                <w:rFonts w:eastAsia="Calibri"/>
                <w:sz w:val="16"/>
                <w:szCs w:val="16"/>
                <w:lang w:val="es-NI"/>
              </w:rPr>
              <w:t>[Anexo 1.34]</w:t>
            </w:r>
          </w:p>
        </w:tc>
        <w:tc>
          <w:tcPr>
            <w:tcW w:w="2156" w:type="dxa"/>
            <w:shd w:val="clear" w:color="auto" w:fill="8EAADB"/>
            <w:vAlign w:val="center"/>
          </w:tcPr>
          <w:p w14:paraId="078526D1" w14:textId="77777777" w:rsidR="0057038C" w:rsidRPr="006E25E0" w:rsidRDefault="0057038C" w:rsidP="0057038C">
            <w:pPr>
              <w:spacing w:after="0" w:line="240" w:lineRule="auto"/>
              <w:ind w:right="-106"/>
              <w:jc w:val="center"/>
              <w:rPr>
                <w:rFonts w:eastAsia="Times New Roman"/>
                <w:b/>
                <w:sz w:val="16"/>
                <w:szCs w:val="16"/>
                <w:lang w:val="es-NI" w:eastAsia="es-SV"/>
              </w:rPr>
            </w:pPr>
            <w:r w:rsidRPr="006E25E0">
              <w:rPr>
                <w:rFonts w:eastAsia="Times New Roman"/>
                <w:b/>
                <w:sz w:val="16"/>
                <w:szCs w:val="16"/>
                <w:lang w:val="es-NI" w:eastAsia="es-SV"/>
              </w:rPr>
              <w:t xml:space="preserve">Costos </w:t>
            </w:r>
          </w:p>
        </w:tc>
      </w:tr>
      <w:bookmarkEnd w:id="3"/>
      <w:tr w:rsidR="0057038C" w:rsidRPr="005B110C" w14:paraId="54AE1541" w14:textId="77777777" w:rsidTr="0057038C">
        <w:tc>
          <w:tcPr>
            <w:tcW w:w="715" w:type="dxa"/>
            <w:vMerge w:val="restart"/>
            <w:shd w:val="clear" w:color="auto" w:fill="FFEDD2" w:themeFill="accent6" w:themeFillTint="33"/>
            <w:textDirection w:val="btLr"/>
            <w:vAlign w:val="center"/>
          </w:tcPr>
          <w:p w14:paraId="129BDAA5" w14:textId="77777777" w:rsidR="0057038C" w:rsidRPr="006E25E0" w:rsidRDefault="0057038C" w:rsidP="0057038C">
            <w:pPr>
              <w:spacing w:after="0" w:line="240" w:lineRule="auto"/>
              <w:ind w:left="113" w:right="113"/>
              <w:jc w:val="center"/>
              <w:rPr>
                <w:rFonts w:eastAsia="Calibri"/>
                <w:sz w:val="16"/>
                <w:szCs w:val="16"/>
                <w:lang w:val="es-NI"/>
              </w:rPr>
            </w:pPr>
            <w:r w:rsidRPr="00DC4F8C">
              <w:rPr>
                <w:rFonts w:eastAsia="Calibri"/>
                <w:b/>
                <w:sz w:val="16"/>
                <w:szCs w:val="16"/>
                <w:lang w:val="es-NI" w:eastAsia="es-BO"/>
              </w:rPr>
              <w:t>Prevención</w:t>
            </w:r>
          </w:p>
        </w:tc>
        <w:tc>
          <w:tcPr>
            <w:tcW w:w="4175" w:type="dxa"/>
            <w:shd w:val="clear" w:color="auto" w:fill="auto"/>
          </w:tcPr>
          <w:p w14:paraId="001F9861" w14:textId="77777777" w:rsidR="0057038C" w:rsidRDefault="0057038C" w:rsidP="00617951">
            <w:pPr>
              <w:pStyle w:val="ListParagraph"/>
              <w:numPr>
                <w:ilvl w:val="0"/>
                <w:numId w:val="41"/>
              </w:numPr>
              <w:spacing w:after="0" w:line="240" w:lineRule="auto"/>
              <w:ind w:left="714" w:hanging="357"/>
              <w:contextualSpacing w:val="0"/>
              <w:jc w:val="both"/>
              <w:rPr>
                <w:rFonts w:eastAsia="Times New Roman"/>
                <w:b/>
                <w:i/>
                <w:sz w:val="16"/>
                <w:szCs w:val="16"/>
                <w:lang w:val="es-NI" w:eastAsia="es-SV"/>
              </w:rPr>
            </w:pPr>
            <w:r w:rsidRPr="004525C0">
              <w:rPr>
                <w:rFonts w:eastAsia="Times New Roman"/>
                <w:b/>
                <w:i/>
                <w:sz w:val="16"/>
                <w:szCs w:val="16"/>
                <w:lang w:val="es-NI" w:eastAsia="es-SV"/>
              </w:rPr>
              <w:t>PrEP</w:t>
            </w:r>
          </w:p>
          <w:p w14:paraId="572569B3" w14:textId="77777777" w:rsidR="0057038C" w:rsidRPr="001E0232" w:rsidRDefault="0057038C" w:rsidP="0057038C">
            <w:pPr>
              <w:spacing w:after="60" w:line="240" w:lineRule="auto"/>
              <w:ind w:left="1020"/>
              <w:jc w:val="both"/>
              <w:rPr>
                <w:rFonts w:eastAsia="Times New Roman"/>
                <w:bCs/>
                <w:i/>
                <w:sz w:val="16"/>
                <w:szCs w:val="16"/>
                <w:lang w:val="es-NI" w:eastAsia="es-SV"/>
              </w:rPr>
            </w:pPr>
            <w:r w:rsidRPr="001E0232">
              <w:rPr>
                <w:rFonts w:eastAsia="Times New Roman"/>
                <w:bCs/>
                <w:i/>
                <w:sz w:val="16"/>
                <w:szCs w:val="16"/>
                <w:lang w:val="es-NI" w:eastAsia="es-SV"/>
              </w:rPr>
              <w:t>Población prioritaria: HSH, Mujeres Trans.</w:t>
            </w:r>
          </w:p>
          <w:p w14:paraId="5154D52A" w14:textId="77777777" w:rsidR="0057038C" w:rsidRDefault="0057038C" w:rsidP="00617951">
            <w:pPr>
              <w:pStyle w:val="ListParagraph"/>
              <w:numPr>
                <w:ilvl w:val="0"/>
                <w:numId w:val="41"/>
              </w:numPr>
              <w:spacing w:after="0" w:line="240" w:lineRule="auto"/>
              <w:ind w:left="714" w:hanging="357"/>
              <w:contextualSpacing w:val="0"/>
              <w:jc w:val="both"/>
              <w:rPr>
                <w:rFonts w:eastAsia="Times New Roman"/>
                <w:b/>
                <w:i/>
                <w:sz w:val="16"/>
                <w:szCs w:val="16"/>
                <w:lang w:val="es-NI" w:eastAsia="es-SV"/>
              </w:rPr>
            </w:pPr>
            <w:r w:rsidRPr="004525C0">
              <w:rPr>
                <w:rFonts w:eastAsia="Times New Roman"/>
                <w:b/>
                <w:i/>
                <w:sz w:val="16"/>
                <w:szCs w:val="16"/>
                <w:lang w:val="es-NI" w:eastAsia="es-SV"/>
              </w:rPr>
              <w:t>Intervenciones para cambio de comportamiento</w:t>
            </w:r>
          </w:p>
          <w:p w14:paraId="3E828C04" w14:textId="77777777" w:rsidR="0057038C" w:rsidRPr="001E0232" w:rsidRDefault="0057038C" w:rsidP="0057038C">
            <w:pPr>
              <w:spacing w:after="60" w:line="240" w:lineRule="auto"/>
              <w:ind w:left="1020"/>
              <w:jc w:val="both"/>
              <w:rPr>
                <w:rFonts w:eastAsia="Times New Roman"/>
                <w:bCs/>
                <w:i/>
                <w:sz w:val="16"/>
                <w:szCs w:val="16"/>
                <w:lang w:val="es-NI" w:eastAsia="es-SV"/>
              </w:rPr>
            </w:pPr>
            <w:r w:rsidRPr="001E0232">
              <w:rPr>
                <w:rFonts w:eastAsia="Times New Roman"/>
                <w:bCs/>
                <w:i/>
                <w:sz w:val="16"/>
                <w:szCs w:val="16"/>
                <w:lang w:val="es-NI" w:eastAsia="es-SV"/>
              </w:rPr>
              <w:t>Población prioritaria: HSH, Mujeres Trans, MTS</w:t>
            </w:r>
          </w:p>
          <w:p w14:paraId="3142548A" w14:textId="77777777" w:rsidR="0057038C" w:rsidRPr="00DC4F8C" w:rsidRDefault="0057038C" w:rsidP="00617951">
            <w:pPr>
              <w:pStyle w:val="ListParagraph"/>
              <w:numPr>
                <w:ilvl w:val="0"/>
                <w:numId w:val="41"/>
              </w:numPr>
              <w:spacing w:after="0" w:line="240" w:lineRule="auto"/>
              <w:ind w:left="714" w:hanging="357"/>
              <w:contextualSpacing w:val="0"/>
              <w:jc w:val="both"/>
              <w:rPr>
                <w:rFonts w:eastAsia="Times New Roman"/>
                <w:b/>
                <w:i/>
                <w:sz w:val="16"/>
                <w:szCs w:val="16"/>
                <w:lang w:val="es-NI" w:eastAsia="es-SV"/>
              </w:rPr>
            </w:pPr>
            <w:r w:rsidRPr="00DC4F8C">
              <w:rPr>
                <w:rFonts w:eastAsia="Times New Roman"/>
                <w:b/>
                <w:i/>
                <w:sz w:val="16"/>
                <w:szCs w:val="16"/>
                <w:lang w:val="es-NI" w:eastAsia="es-SV"/>
              </w:rPr>
              <w:t>Programa de preservativos y lubricantes</w:t>
            </w:r>
          </w:p>
          <w:p w14:paraId="58B1F8DD" w14:textId="77777777" w:rsidR="0057038C" w:rsidRPr="001E0232" w:rsidRDefault="0057038C" w:rsidP="0057038C">
            <w:pPr>
              <w:spacing w:after="60" w:line="240" w:lineRule="auto"/>
              <w:ind w:left="1020"/>
              <w:jc w:val="both"/>
              <w:rPr>
                <w:rFonts w:eastAsia="Times New Roman"/>
                <w:bCs/>
                <w:i/>
                <w:sz w:val="16"/>
                <w:szCs w:val="16"/>
                <w:lang w:val="es-NI" w:eastAsia="es-SV"/>
              </w:rPr>
            </w:pPr>
            <w:r w:rsidRPr="001E0232">
              <w:rPr>
                <w:rFonts w:eastAsia="Times New Roman"/>
                <w:bCs/>
                <w:i/>
                <w:sz w:val="16"/>
                <w:szCs w:val="16"/>
                <w:lang w:val="es-NI" w:eastAsia="es-SV"/>
              </w:rPr>
              <w:t>Población prioritaria: HSH, Mujeres Trans, MTS</w:t>
            </w:r>
          </w:p>
          <w:p w14:paraId="3EA5221B" w14:textId="77777777" w:rsidR="0057038C" w:rsidRPr="006E25E0" w:rsidRDefault="0057038C" w:rsidP="0057038C">
            <w:pPr>
              <w:spacing w:after="60" w:line="240" w:lineRule="auto"/>
              <w:jc w:val="both"/>
              <w:rPr>
                <w:rFonts w:eastAsia="Calibri"/>
                <w:sz w:val="16"/>
                <w:szCs w:val="16"/>
                <w:lang w:val="es-NI" w:eastAsia="es-SV"/>
              </w:rPr>
            </w:pPr>
            <w:r w:rsidRPr="006E25E0">
              <w:rPr>
                <w:rFonts w:eastAsia="Times New Roman"/>
                <w:sz w:val="16"/>
                <w:szCs w:val="16"/>
                <w:lang w:val="es-NI" w:eastAsia="es-SV"/>
              </w:rPr>
              <w:t>Se desarrollará una nueva adaptación de la</w:t>
            </w:r>
            <w:r w:rsidRPr="006E25E0">
              <w:rPr>
                <w:rFonts w:eastAsia="Calibri"/>
                <w:sz w:val="16"/>
                <w:szCs w:val="16"/>
                <w:lang w:val="es-NI" w:eastAsia="es-SV"/>
              </w:rPr>
              <w:t xml:space="preserve"> </w:t>
            </w:r>
            <w:r w:rsidRPr="006E25E0">
              <w:rPr>
                <w:rFonts w:eastAsia="Calibri"/>
                <w:b/>
                <w:sz w:val="16"/>
                <w:szCs w:val="16"/>
                <w:lang w:val="es-NI" w:eastAsia="es-SV"/>
              </w:rPr>
              <w:t>Estrategia de Prevención combinada adaptada</w:t>
            </w:r>
            <w:r w:rsidRPr="006E25E0">
              <w:rPr>
                <w:rFonts w:eastAsia="Calibri"/>
                <w:sz w:val="16"/>
                <w:szCs w:val="16"/>
                <w:lang w:val="es-NI" w:eastAsia="es-SV"/>
              </w:rPr>
              <w:t xml:space="preserve">, la cual será implementada por el RP Plan International y sus SR, esta se realizará a través del </w:t>
            </w:r>
            <w:r w:rsidRPr="006E25E0">
              <w:rPr>
                <w:rFonts w:eastAsia="Calibri"/>
                <w:b/>
                <w:noProof/>
                <w:sz w:val="16"/>
                <w:szCs w:val="16"/>
                <w:lang w:val="es-NI" w:eastAsia="es-SV"/>
              </w:rPr>
              <w:t xml:space="preserve">abordaje cara a cara </w:t>
            </w:r>
            <w:r w:rsidRPr="006E25E0">
              <w:rPr>
                <w:rFonts w:eastAsia="Calibri"/>
                <w:noProof/>
                <w:sz w:val="16"/>
                <w:szCs w:val="16"/>
                <w:lang w:val="es-NI" w:eastAsia="es-SV"/>
              </w:rPr>
              <w:t>a través de diferentes modalidades</w:t>
            </w:r>
            <w:r w:rsidRPr="006E25E0">
              <w:rPr>
                <w:rFonts w:eastAsia="Calibri"/>
                <w:b/>
                <w:noProof/>
                <w:sz w:val="16"/>
                <w:szCs w:val="16"/>
                <w:lang w:val="es-NI" w:eastAsia="es-SV"/>
              </w:rPr>
              <w:t>: SRs, Abordaje en línea y Servicos Amigables.</w:t>
            </w:r>
          </w:p>
          <w:p w14:paraId="601A4E42" w14:textId="4B6818FB" w:rsidR="0057038C" w:rsidRPr="006E25E0" w:rsidRDefault="0057038C" w:rsidP="0057038C">
            <w:pPr>
              <w:tabs>
                <w:tab w:val="left" w:pos="211"/>
              </w:tabs>
              <w:spacing w:after="60" w:line="240" w:lineRule="auto"/>
              <w:jc w:val="both"/>
              <w:rPr>
                <w:rFonts w:eastAsia="Calibri"/>
                <w:sz w:val="16"/>
                <w:szCs w:val="16"/>
                <w:lang w:val="es-NI" w:eastAsia="es-SV"/>
              </w:rPr>
            </w:pPr>
            <w:r w:rsidRPr="006E25E0">
              <w:rPr>
                <w:rFonts w:eastAsia="Calibri"/>
                <w:sz w:val="16"/>
                <w:szCs w:val="16"/>
                <w:lang w:val="es-NI" w:eastAsia="es-SV"/>
              </w:rPr>
              <w:t xml:space="preserve">Se propone que el paquete de prevención incluya la entrega en dos (2) abordajes independientes durante un año de una intervención de </w:t>
            </w:r>
            <w:proofErr w:type="spellStart"/>
            <w:r w:rsidRPr="00B9218C">
              <w:rPr>
                <w:rFonts w:eastAsia="Calibri"/>
                <w:sz w:val="16"/>
                <w:szCs w:val="16"/>
                <w:lang w:val="x-none"/>
              </w:rPr>
              <w:t>Comunicación</w:t>
            </w:r>
            <w:proofErr w:type="spellEnd"/>
            <w:r w:rsidRPr="00B9218C">
              <w:rPr>
                <w:rFonts w:eastAsia="Calibri"/>
                <w:sz w:val="16"/>
                <w:szCs w:val="16"/>
                <w:lang w:val="x-none"/>
              </w:rPr>
              <w:t xml:space="preserve"> para el </w:t>
            </w:r>
            <w:proofErr w:type="spellStart"/>
            <w:r w:rsidRPr="00B9218C">
              <w:rPr>
                <w:rFonts w:eastAsia="Calibri"/>
                <w:sz w:val="16"/>
                <w:szCs w:val="16"/>
                <w:lang w:val="x-none"/>
              </w:rPr>
              <w:t>cambio</w:t>
            </w:r>
            <w:proofErr w:type="spellEnd"/>
            <w:r w:rsidRPr="00B9218C">
              <w:rPr>
                <w:rFonts w:eastAsia="Calibri"/>
                <w:sz w:val="16"/>
                <w:szCs w:val="16"/>
                <w:lang w:val="x-none"/>
              </w:rPr>
              <w:t xml:space="preserve"> de comportamiento </w:t>
            </w:r>
            <w:r>
              <w:rPr>
                <w:rFonts w:eastAsia="Calibri"/>
                <w:sz w:val="16"/>
                <w:szCs w:val="16"/>
              </w:rPr>
              <w:t>–</w:t>
            </w:r>
            <w:r w:rsidRPr="00155EB9">
              <w:rPr>
                <w:rFonts w:eastAsia="Calibri"/>
                <w:sz w:val="16"/>
                <w:szCs w:val="16"/>
              </w:rPr>
              <w:t xml:space="preserve"> </w:t>
            </w:r>
            <w:r w:rsidRPr="006E25E0">
              <w:rPr>
                <w:rFonts w:eastAsia="Calibri"/>
                <w:sz w:val="16"/>
                <w:szCs w:val="16"/>
                <w:lang w:val="es-NI" w:eastAsia="es-SV"/>
              </w:rPr>
              <w:t>CCC</w:t>
            </w:r>
            <w:r>
              <w:rPr>
                <w:rFonts w:eastAsia="Calibri"/>
                <w:sz w:val="16"/>
                <w:szCs w:val="16"/>
                <w:lang w:val="es-NI" w:eastAsia="es-SV"/>
              </w:rPr>
              <w:t xml:space="preserve">- </w:t>
            </w:r>
            <w:r w:rsidRPr="006E25E0">
              <w:rPr>
                <w:rFonts w:eastAsia="Calibri"/>
                <w:sz w:val="16"/>
                <w:szCs w:val="16"/>
                <w:lang w:val="es-NI" w:eastAsia="es-SV"/>
              </w:rPr>
              <w:t>(entrevista motivacional para el cambio de comportamiento, por ejemplo) realizada en forma presencial o virtual (en línea), más la entrega de condones y lubricantes en cantidad determinada por el tipo de población.</w:t>
            </w:r>
          </w:p>
          <w:p w14:paraId="6C391BC1" w14:textId="51B3841A" w:rsidR="0057038C" w:rsidRPr="007420A6" w:rsidRDefault="0057038C" w:rsidP="0057038C">
            <w:pPr>
              <w:spacing w:line="240" w:lineRule="auto"/>
              <w:rPr>
                <w:rFonts w:eastAsia="Calibri"/>
                <w:sz w:val="16"/>
                <w:szCs w:val="16"/>
                <w:lang w:val="es-NI" w:eastAsia="es-SV"/>
              </w:rPr>
            </w:pPr>
            <w:r w:rsidRPr="006E25E0">
              <w:rPr>
                <w:rFonts w:eastAsia="Calibri"/>
                <w:sz w:val="16"/>
                <w:szCs w:val="16"/>
                <w:lang w:val="es-NI" w:eastAsia="es-SV"/>
              </w:rPr>
              <w:t xml:space="preserve">La metodología contempla que la persona intervenida tiene acceso a tres </w:t>
            </w:r>
            <w:r w:rsidRPr="00424489">
              <w:rPr>
                <w:rFonts w:eastAsia="Calibri"/>
                <w:sz w:val="16"/>
                <w:szCs w:val="16"/>
                <w:lang w:val="es-NI" w:eastAsia="es-SV"/>
              </w:rPr>
              <w:t xml:space="preserve">componentes: </w:t>
            </w:r>
            <w:r w:rsidRPr="00424489">
              <w:rPr>
                <w:rFonts w:eastAsia="Calibri"/>
                <w:b/>
                <w:bCs/>
                <w:sz w:val="16"/>
                <w:szCs w:val="16"/>
                <w:lang w:val="es-NI" w:eastAsia="es-SV"/>
              </w:rPr>
              <w:t>Elemental, Biomédico y Complementario.</w:t>
            </w:r>
            <w:r w:rsidR="007420A6" w:rsidRPr="00424489">
              <w:rPr>
                <w:rFonts w:eastAsia="Calibri"/>
                <w:b/>
                <w:bCs/>
                <w:sz w:val="16"/>
                <w:szCs w:val="16"/>
                <w:lang w:val="es-NI" w:eastAsia="es-SV"/>
              </w:rPr>
              <w:t xml:space="preserve"> </w:t>
            </w:r>
            <w:r w:rsidR="007420A6" w:rsidRPr="00424489">
              <w:rPr>
                <w:rFonts w:eastAsia="Calibri"/>
                <w:sz w:val="16"/>
                <w:szCs w:val="16"/>
                <w:lang w:val="es-NI" w:eastAsia="es-SV"/>
              </w:rPr>
              <w:t>[Anexo 1.</w:t>
            </w:r>
            <w:r w:rsidR="008D25C3" w:rsidRPr="00424489">
              <w:rPr>
                <w:rFonts w:eastAsia="Calibri"/>
                <w:sz w:val="16"/>
                <w:szCs w:val="16"/>
                <w:lang w:val="es-NI" w:eastAsia="es-SV"/>
              </w:rPr>
              <w:t>30</w:t>
            </w:r>
            <w:r w:rsidR="007420A6" w:rsidRPr="00424489">
              <w:rPr>
                <w:rFonts w:eastAsia="Calibri"/>
                <w:sz w:val="16"/>
                <w:szCs w:val="16"/>
                <w:lang w:val="es-NI" w:eastAsia="es-SV"/>
              </w:rPr>
              <w:t>]</w:t>
            </w:r>
          </w:p>
          <w:p w14:paraId="795D4161" w14:textId="77777777" w:rsidR="0057038C" w:rsidRDefault="0057038C" w:rsidP="00617951">
            <w:pPr>
              <w:pStyle w:val="ListParagraph"/>
              <w:numPr>
                <w:ilvl w:val="0"/>
                <w:numId w:val="41"/>
              </w:numPr>
              <w:spacing w:after="0" w:line="240" w:lineRule="auto"/>
              <w:ind w:left="714" w:hanging="357"/>
              <w:contextualSpacing w:val="0"/>
              <w:jc w:val="both"/>
              <w:rPr>
                <w:rFonts w:eastAsia="Times New Roman"/>
                <w:b/>
                <w:i/>
                <w:sz w:val="16"/>
                <w:szCs w:val="16"/>
                <w:lang w:val="es-NI" w:eastAsia="es-SV"/>
              </w:rPr>
            </w:pPr>
            <w:r w:rsidRPr="00DC4F8C">
              <w:rPr>
                <w:rFonts w:eastAsia="Times New Roman"/>
                <w:b/>
                <w:i/>
                <w:sz w:val="16"/>
                <w:szCs w:val="16"/>
                <w:lang w:val="es-NI" w:eastAsia="es-SV"/>
              </w:rPr>
              <w:t>Servicios de salud sexual y reproductiva, incluyendo las ITS</w:t>
            </w:r>
          </w:p>
          <w:p w14:paraId="09A21C2E" w14:textId="77777777" w:rsidR="0057038C" w:rsidRPr="001E0232" w:rsidRDefault="0057038C" w:rsidP="0057038C">
            <w:pPr>
              <w:spacing w:after="60" w:line="240" w:lineRule="auto"/>
              <w:ind w:left="1020"/>
              <w:jc w:val="both"/>
              <w:rPr>
                <w:rFonts w:eastAsia="Times New Roman"/>
                <w:bCs/>
                <w:i/>
                <w:sz w:val="16"/>
                <w:szCs w:val="16"/>
                <w:lang w:val="es-NI" w:eastAsia="es-SV"/>
              </w:rPr>
            </w:pPr>
            <w:r w:rsidRPr="001E0232">
              <w:rPr>
                <w:rFonts w:eastAsia="Times New Roman"/>
                <w:bCs/>
                <w:i/>
                <w:sz w:val="16"/>
                <w:szCs w:val="16"/>
                <w:lang w:val="es-NI" w:eastAsia="es-SV"/>
              </w:rPr>
              <w:t>Población prioritaria: HSH, Mujeres Trans, MTS</w:t>
            </w:r>
          </w:p>
          <w:p w14:paraId="2B1FC097" w14:textId="77777777" w:rsidR="0057038C" w:rsidRPr="00DC4F8C" w:rsidRDefault="0057038C" w:rsidP="00617951">
            <w:pPr>
              <w:pStyle w:val="ListParagraph"/>
              <w:numPr>
                <w:ilvl w:val="0"/>
                <w:numId w:val="41"/>
              </w:numPr>
              <w:spacing w:after="0" w:line="240" w:lineRule="auto"/>
              <w:ind w:left="714" w:hanging="357"/>
              <w:contextualSpacing w:val="0"/>
              <w:jc w:val="both"/>
              <w:rPr>
                <w:rFonts w:eastAsia="Times New Roman"/>
                <w:b/>
                <w:i/>
                <w:sz w:val="16"/>
                <w:szCs w:val="16"/>
                <w:lang w:val="es-NI" w:eastAsia="es-SV"/>
              </w:rPr>
            </w:pPr>
            <w:r w:rsidRPr="00DC4F8C">
              <w:rPr>
                <w:rFonts w:eastAsia="Times New Roman"/>
                <w:b/>
                <w:i/>
                <w:sz w:val="16"/>
                <w:szCs w:val="16"/>
                <w:lang w:val="es-NI" w:eastAsia="es-SV"/>
              </w:rPr>
              <w:t>Prevención y manejo de coinfecciones y comorbilidades (prevención)</w:t>
            </w:r>
          </w:p>
          <w:p w14:paraId="7C2C3D50" w14:textId="77777777" w:rsidR="0057038C" w:rsidRPr="001D42C1" w:rsidRDefault="0057038C" w:rsidP="0057038C">
            <w:pPr>
              <w:spacing w:after="60" w:line="240" w:lineRule="auto"/>
              <w:ind w:left="1020"/>
              <w:jc w:val="both"/>
              <w:rPr>
                <w:rFonts w:eastAsia="Times New Roman"/>
                <w:b/>
                <w:iCs/>
                <w:sz w:val="16"/>
                <w:szCs w:val="16"/>
                <w:lang w:val="es-NI" w:eastAsia="es-SV"/>
              </w:rPr>
            </w:pPr>
            <w:r w:rsidRPr="001E0232">
              <w:rPr>
                <w:rFonts w:eastAsia="Times New Roman"/>
                <w:bCs/>
                <w:i/>
                <w:sz w:val="16"/>
                <w:szCs w:val="16"/>
                <w:lang w:val="es-NI" w:eastAsia="es-SV"/>
              </w:rPr>
              <w:t>Población prioritaria: HSH, Mujeres Trans, MTS</w:t>
            </w:r>
            <w:r>
              <w:rPr>
                <w:rFonts w:eastAsia="Times New Roman"/>
                <w:b/>
                <w:iCs/>
                <w:sz w:val="16"/>
                <w:szCs w:val="16"/>
                <w:lang w:val="es-NI" w:eastAsia="es-SV"/>
              </w:rPr>
              <w:t>.</w:t>
            </w:r>
          </w:p>
        </w:tc>
        <w:tc>
          <w:tcPr>
            <w:tcW w:w="6007" w:type="dxa"/>
            <w:shd w:val="clear" w:color="auto" w:fill="auto"/>
          </w:tcPr>
          <w:p w14:paraId="48392BCF" w14:textId="77777777" w:rsidR="0057038C" w:rsidRDefault="0057038C" w:rsidP="00617951">
            <w:pPr>
              <w:pStyle w:val="ListParagraph"/>
              <w:numPr>
                <w:ilvl w:val="0"/>
                <w:numId w:val="53"/>
              </w:numPr>
              <w:spacing w:line="240" w:lineRule="auto"/>
              <w:jc w:val="both"/>
              <w:rPr>
                <w:rFonts w:eastAsia="Times New Roman"/>
                <w:sz w:val="16"/>
                <w:szCs w:val="16"/>
                <w:lang w:val="es-NI" w:eastAsia="es-SV"/>
              </w:rPr>
            </w:pPr>
            <w:r w:rsidRPr="00576187">
              <w:rPr>
                <w:rFonts w:eastAsia="Times New Roman"/>
                <w:sz w:val="16"/>
                <w:szCs w:val="16"/>
                <w:lang w:val="es-NI" w:eastAsia="es-SV"/>
              </w:rPr>
              <w:t>A partir del año 2022 el país iniciará un pilotaje con la intervención de PrEP la cual se estará proporcionando a poblaciones clave a nivel de 9 clínicas VICITS dándole seguimiento a cambio de comportamiento y adherencia, todo esto previa capacitación al personal como a los usuarios</w:t>
            </w:r>
            <w:r w:rsidRPr="00655EB7">
              <w:rPr>
                <w:rFonts w:eastAsia="Times New Roman"/>
                <w:sz w:val="16"/>
                <w:szCs w:val="16"/>
                <w:lang w:val="es-NI" w:eastAsia="es-SV"/>
              </w:rPr>
              <w:t>.</w:t>
            </w:r>
          </w:p>
          <w:p w14:paraId="545286E1" w14:textId="77777777" w:rsidR="0057038C" w:rsidRPr="00655EB7" w:rsidRDefault="0057038C" w:rsidP="0057038C">
            <w:pPr>
              <w:pStyle w:val="ListParagraph"/>
              <w:spacing w:line="240" w:lineRule="auto"/>
              <w:jc w:val="both"/>
              <w:rPr>
                <w:rFonts w:eastAsia="Times New Roman"/>
                <w:sz w:val="16"/>
                <w:szCs w:val="16"/>
                <w:lang w:val="es-NI" w:eastAsia="es-SV"/>
              </w:rPr>
            </w:pPr>
          </w:p>
          <w:p w14:paraId="7D0D480A" w14:textId="77777777" w:rsidR="0057038C" w:rsidRPr="00655EB7" w:rsidRDefault="0057038C" w:rsidP="00617951">
            <w:pPr>
              <w:pStyle w:val="ListParagraph"/>
              <w:numPr>
                <w:ilvl w:val="0"/>
                <w:numId w:val="53"/>
              </w:numPr>
              <w:spacing w:after="0" w:line="240" w:lineRule="auto"/>
              <w:jc w:val="both"/>
              <w:rPr>
                <w:rFonts w:eastAsia="Calibri"/>
                <w:sz w:val="16"/>
                <w:szCs w:val="16"/>
                <w:lang w:val="es-NI" w:eastAsia="es-SV"/>
              </w:rPr>
            </w:pPr>
            <w:r>
              <w:rPr>
                <w:rFonts w:eastAsia="Calibri"/>
                <w:sz w:val="16"/>
                <w:szCs w:val="16"/>
                <w:lang w:val="es-NI" w:eastAsia="es-SV"/>
              </w:rPr>
              <w:t xml:space="preserve">y 3. </w:t>
            </w:r>
            <w:r w:rsidRPr="00655EB7">
              <w:rPr>
                <w:rFonts w:eastAsia="Calibri"/>
                <w:sz w:val="16"/>
                <w:szCs w:val="16"/>
                <w:lang w:val="es-NI" w:eastAsia="es-SV"/>
              </w:rPr>
              <w:t xml:space="preserve">Se considera persona alcanzada de la </w:t>
            </w:r>
            <w:r w:rsidRPr="00655EB7">
              <w:rPr>
                <w:rFonts w:eastAsia="Calibri"/>
                <w:b/>
                <w:sz w:val="16"/>
                <w:szCs w:val="16"/>
                <w:lang w:val="es-NI" w:eastAsia="es-SV"/>
              </w:rPr>
              <w:t>población HSH,</w:t>
            </w:r>
            <w:r w:rsidRPr="00655EB7">
              <w:rPr>
                <w:rFonts w:eastAsia="Calibri"/>
                <w:sz w:val="16"/>
                <w:szCs w:val="16"/>
                <w:lang w:val="es-NI" w:eastAsia="es-SV"/>
              </w:rPr>
              <w:t xml:space="preserve"> cuando se ha entregado un </w:t>
            </w:r>
            <w:r w:rsidRPr="00655EB7">
              <w:rPr>
                <w:rFonts w:eastAsia="Calibri"/>
                <w:sz w:val="16"/>
                <w:szCs w:val="16"/>
                <w:u w:val="single"/>
                <w:lang w:val="es-NI" w:eastAsia="es-SV"/>
              </w:rPr>
              <w:t xml:space="preserve">paquete de prevención </w:t>
            </w:r>
            <w:r w:rsidRPr="00655EB7">
              <w:rPr>
                <w:rFonts w:eastAsia="Calibri"/>
                <w:sz w:val="16"/>
                <w:szCs w:val="16"/>
                <w:lang w:val="es-NI" w:eastAsia="es-SV"/>
              </w:rPr>
              <w:t>que incluye:</w:t>
            </w:r>
          </w:p>
          <w:p w14:paraId="0191B3D4" w14:textId="77777777" w:rsidR="0057038C" w:rsidRPr="006E25E0" w:rsidRDefault="0057038C" w:rsidP="00617951">
            <w:pPr>
              <w:numPr>
                <w:ilvl w:val="0"/>
                <w:numId w:val="30"/>
              </w:numPr>
              <w:tabs>
                <w:tab w:val="left" w:pos="211"/>
              </w:tabs>
              <w:spacing w:after="0" w:line="240" w:lineRule="auto"/>
              <w:ind w:left="35" w:firstLine="31"/>
              <w:contextualSpacing/>
              <w:jc w:val="both"/>
              <w:rPr>
                <w:rFonts w:eastAsia="Calibri"/>
                <w:sz w:val="16"/>
                <w:szCs w:val="16"/>
                <w:lang w:val="x-none"/>
              </w:rPr>
            </w:pPr>
            <w:r w:rsidRPr="006E25E0">
              <w:rPr>
                <w:rFonts w:eastAsia="Calibri"/>
                <w:sz w:val="16"/>
                <w:szCs w:val="16"/>
                <w:lang w:val="x-none"/>
              </w:rPr>
              <w:t xml:space="preserve">Al </w:t>
            </w:r>
            <w:proofErr w:type="spellStart"/>
            <w:r w:rsidRPr="006E25E0">
              <w:rPr>
                <w:rFonts w:eastAsia="Calibri"/>
                <w:sz w:val="16"/>
                <w:szCs w:val="16"/>
                <w:lang w:val="x-none"/>
              </w:rPr>
              <w:t>menos</w:t>
            </w:r>
            <w:proofErr w:type="spellEnd"/>
            <w:r w:rsidRPr="006E25E0">
              <w:rPr>
                <w:rFonts w:eastAsia="Calibri"/>
                <w:sz w:val="16"/>
                <w:szCs w:val="16"/>
                <w:lang w:val="x-none"/>
              </w:rPr>
              <w:t xml:space="preserve"> </w:t>
            </w:r>
            <w:r w:rsidRPr="006E25E0">
              <w:rPr>
                <w:rFonts w:eastAsia="Calibri"/>
                <w:sz w:val="16"/>
                <w:szCs w:val="16"/>
                <w:lang w:val="es-NI"/>
              </w:rPr>
              <w:t>2</w:t>
            </w:r>
            <w:r w:rsidRPr="006E25E0">
              <w:rPr>
                <w:rFonts w:eastAsia="Calibri"/>
                <w:sz w:val="16"/>
                <w:szCs w:val="16"/>
                <w:lang w:val="x-none"/>
              </w:rPr>
              <w:t xml:space="preserve"> </w:t>
            </w:r>
            <w:proofErr w:type="spellStart"/>
            <w:r w:rsidRPr="006E25E0">
              <w:rPr>
                <w:rFonts w:eastAsia="Calibri"/>
                <w:sz w:val="16"/>
                <w:szCs w:val="16"/>
                <w:lang w:val="x-none"/>
              </w:rPr>
              <w:t>intervención</w:t>
            </w:r>
            <w:proofErr w:type="spellEnd"/>
            <w:r w:rsidRPr="006E25E0">
              <w:rPr>
                <w:rFonts w:eastAsia="Calibri"/>
                <w:sz w:val="16"/>
                <w:szCs w:val="16"/>
                <w:lang w:val="x-none"/>
              </w:rPr>
              <w:t xml:space="preserve"> de CCC</w:t>
            </w:r>
          </w:p>
          <w:p w14:paraId="4DAC79CC" w14:textId="77777777" w:rsidR="0057038C" w:rsidRPr="006E25E0" w:rsidRDefault="0057038C" w:rsidP="00617951">
            <w:pPr>
              <w:numPr>
                <w:ilvl w:val="0"/>
                <w:numId w:val="30"/>
              </w:numPr>
              <w:tabs>
                <w:tab w:val="left" w:pos="211"/>
              </w:tabs>
              <w:spacing w:after="0" w:line="240" w:lineRule="auto"/>
              <w:ind w:left="35" w:firstLine="31"/>
              <w:contextualSpacing/>
              <w:jc w:val="both"/>
              <w:rPr>
                <w:rFonts w:eastAsia="Calibri"/>
                <w:sz w:val="16"/>
                <w:szCs w:val="16"/>
                <w:lang w:val="x-none"/>
              </w:rPr>
            </w:pPr>
            <w:r w:rsidRPr="006E25E0">
              <w:rPr>
                <w:rFonts w:eastAsia="Calibri"/>
                <w:sz w:val="16"/>
                <w:szCs w:val="16"/>
                <w:lang w:val="x-none"/>
              </w:rPr>
              <w:t>48 condones</w:t>
            </w:r>
          </w:p>
          <w:p w14:paraId="6CC96046" w14:textId="77777777" w:rsidR="0057038C" w:rsidRPr="006E25E0" w:rsidRDefault="0057038C" w:rsidP="00617951">
            <w:pPr>
              <w:numPr>
                <w:ilvl w:val="0"/>
                <w:numId w:val="30"/>
              </w:numPr>
              <w:tabs>
                <w:tab w:val="left" w:pos="211"/>
              </w:tabs>
              <w:spacing w:after="0" w:line="240" w:lineRule="auto"/>
              <w:ind w:left="35" w:firstLine="31"/>
              <w:contextualSpacing/>
              <w:jc w:val="both"/>
              <w:rPr>
                <w:rFonts w:eastAsia="Calibri"/>
                <w:sz w:val="16"/>
                <w:szCs w:val="16"/>
                <w:lang w:val="x-none"/>
              </w:rPr>
            </w:pPr>
            <w:r w:rsidRPr="006E25E0">
              <w:rPr>
                <w:rFonts w:eastAsia="Calibri"/>
                <w:sz w:val="16"/>
                <w:szCs w:val="16"/>
                <w:lang w:val="x-none"/>
              </w:rPr>
              <w:t xml:space="preserve">3 </w:t>
            </w:r>
            <w:proofErr w:type="spellStart"/>
            <w:r w:rsidRPr="006E25E0">
              <w:rPr>
                <w:rFonts w:eastAsia="Calibri"/>
                <w:sz w:val="16"/>
                <w:szCs w:val="16"/>
                <w:lang w:val="x-none"/>
              </w:rPr>
              <w:t>lubricantes</w:t>
            </w:r>
            <w:proofErr w:type="spellEnd"/>
            <w:r w:rsidRPr="006E25E0">
              <w:rPr>
                <w:rFonts w:eastAsia="Calibri"/>
                <w:sz w:val="16"/>
                <w:szCs w:val="16"/>
                <w:lang w:val="x-none"/>
              </w:rPr>
              <w:t xml:space="preserve"> en </w:t>
            </w:r>
            <w:proofErr w:type="spellStart"/>
            <w:r w:rsidRPr="006E25E0">
              <w:rPr>
                <w:rFonts w:eastAsia="Calibri"/>
                <w:sz w:val="16"/>
                <w:szCs w:val="16"/>
                <w:lang w:val="x-none"/>
              </w:rPr>
              <w:t>tubo</w:t>
            </w:r>
            <w:proofErr w:type="spellEnd"/>
          </w:p>
          <w:p w14:paraId="047F4895" w14:textId="77777777" w:rsidR="0057038C" w:rsidRPr="006E25E0" w:rsidRDefault="0057038C" w:rsidP="00617951">
            <w:pPr>
              <w:numPr>
                <w:ilvl w:val="0"/>
                <w:numId w:val="30"/>
              </w:numPr>
              <w:tabs>
                <w:tab w:val="left" w:pos="211"/>
              </w:tabs>
              <w:spacing w:after="0" w:line="240" w:lineRule="auto"/>
              <w:ind w:left="35" w:firstLine="31"/>
              <w:contextualSpacing/>
              <w:jc w:val="both"/>
              <w:rPr>
                <w:rFonts w:eastAsia="Calibri"/>
                <w:sz w:val="16"/>
                <w:szCs w:val="16"/>
                <w:lang w:val="x-none"/>
              </w:rPr>
            </w:pPr>
            <w:r w:rsidRPr="006E25E0">
              <w:rPr>
                <w:rFonts w:eastAsia="Calibri"/>
                <w:sz w:val="16"/>
                <w:szCs w:val="16"/>
                <w:lang w:val="x-none"/>
              </w:rPr>
              <w:t xml:space="preserve">20 </w:t>
            </w:r>
            <w:proofErr w:type="spellStart"/>
            <w:r w:rsidRPr="006E25E0">
              <w:rPr>
                <w:rFonts w:eastAsia="Calibri"/>
                <w:sz w:val="16"/>
                <w:szCs w:val="16"/>
                <w:lang w:val="x-none"/>
              </w:rPr>
              <w:t>lubricantes</w:t>
            </w:r>
            <w:proofErr w:type="spellEnd"/>
            <w:r w:rsidRPr="006E25E0">
              <w:rPr>
                <w:rFonts w:eastAsia="Calibri"/>
                <w:sz w:val="16"/>
                <w:szCs w:val="16"/>
                <w:lang w:val="x-none"/>
              </w:rPr>
              <w:t xml:space="preserve"> en </w:t>
            </w:r>
            <w:proofErr w:type="spellStart"/>
            <w:r w:rsidRPr="006E25E0">
              <w:rPr>
                <w:rFonts w:eastAsia="Calibri"/>
                <w:sz w:val="16"/>
                <w:szCs w:val="16"/>
                <w:lang w:val="x-none"/>
              </w:rPr>
              <w:t>sobres</w:t>
            </w:r>
            <w:proofErr w:type="spellEnd"/>
          </w:p>
          <w:p w14:paraId="22102604" w14:textId="77777777" w:rsidR="0057038C" w:rsidRPr="006E25E0" w:rsidRDefault="0057038C" w:rsidP="0057038C">
            <w:pPr>
              <w:spacing w:before="180" w:after="0" w:line="240" w:lineRule="auto"/>
              <w:jc w:val="both"/>
              <w:rPr>
                <w:rFonts w:eastAsia="Calibri"/>
                <w:sz w:val="16"/>
                <w:szCs w:val="16"/>
                <w:u w:val="single"/>
                <w:lang w:val="es-NI" w:eastAsia="es-SV"/>
              </w:rPr>
            </w:pPr>
            <w:r w:rsidRPr="006E25E0">
              <w:rPr>
                <w:rFonts w:eastAsia="Calibri"/>
                <w:sz w:val="16"/>
                <w:szCs w:val="16"/>
                <w:lang w:val="es-NI" w:eastAsia="es-SV"/>
              </w:rPr>
              <w:t xml:space="preserve">Se considera persona alcanzada de la </w:t>
            </w:r>
            <w:r w:rsidRPr="006E25E0">
              <w:rPr>
                <w:rFonts w:eastAsia="Calibri"/>
                <w:b/>
                <w:sz w:val="16"/>
                <w:szCs w:val="16"/>
                <w:lang w:val="es-NI" w:eastAsia="es-SV"/>
              </w:rPr>
              <w:t>población MTrans,</w:t>
            </w:r>
            <w:r w:rsidRPr="006E25E0">
              <w:rPr>
                <w:rFonts w:eastAsia="Calibri"/>
                <w:sz w:val="16"/>
                <w:szCs w:val="16"/>
                <w:lang w:val="es-NI" w:eastAsia="es-SV"/>
              </w:rPr>
              <w:t xml:space="preserve"> cuando se ha entregado un </w:t>
            </w:r>
            <w:r w:rsidRPr="006E25E0">
              <w:rPr>
                <w:rFonts w:eastAsia="Calibri"/>
                <w:sz w:val="16"/>
                <w:szCs w:val="16"/>
                <w:u w:val="single"/>
                <w:lang w:val="es-NI" w:eastAsia="es-SV"/>
              </w:rPr>
              <w:t>paquete de prevención que incluye:</w:t>
            </w:r>
          </w:p>
          <w:p w14:paraId="608F2F88" w14:textId="77777777" w:rsidR="0057038C" w:rsidRPr="006E25E0" w:rsidRDefault="0057038C" w:rsidP="00617951">
            <w:pPr>
              <w:numPr>
                <w:ilvl w:val="0"/>
                <w:numId w:val="30"/>
              </w:numPr>
              <w:tabs>
                <w:tab w:val="left" w:pos="211"/>
              </w:tabs>
              <w:spacing w:after="0" w:line="240" w:lineRule="auto"/>
              <w:ind w:left="349" w:hanging="283"/>
              <w:contextualSpacing/>
              <w:jc w:val="both"/>
              <w:rPr>
                <w:rFonts w:eastAsia="Calibri"/>
                <w:sz w:val="16"/>
                <w:szCs w:val="16"/>
                <w:lang w:val="x-none"/>
              </w:rPr>
            </w:pPr>
            <w:r w:rsidRPr="006E25E0">
              <w:rPr>
                <w:rFonts w:eastAsia="Calibri"/>
                <w:sz w:val="16"/>
                <w:szCs w:val="16"/>
                <w:lang w:val="x-none"/>
              </w:rPr>
              <w:t xml:space="preserve">Al </w:t>
            </w:r>
            <w:proofErr w:type="spellStart"/>
            <w:r w:rsidRPr="006E25E0">
              <w:rPr>
                <w:rFonts w:eastAsia="Calibri"/>
                <w:sz w:val="16"/>
                <w:szCs w:val="16"/>
                <w:lang w:val="x-none"/>
              </w:rPr>
              <w:t>menos</w:t>
            </w:r>
            <w:proofErr w:type="spellEnd"/>
            <w:r w:rsidRPr="006E25E0">
              <w:rPr>
                <w:rFonts w:eastAsia="Calibri"/>
                <w:sz w:val="16"/>
                <w:szCs w:val="16"/>
                <w:lang w:val="x-none"/>
              </w:rPr>
              <w:t xml:space="preserve"> </w:t>
            </w:r>
            <w:r w:rsidRPr="006E25E0">
              <w:rPr>
                <w:rFonts w:eastAsia="Calibri"/>
                <w:sz w:val="16"/>
                <w:szCs w:val="16"/>
                <w:lang w:val="es-NI"/>
              </w:rPr>
              <w:t>2</w:t>
            </w:r>
            <w:r w:rsidRPr="006E25E0">
              <w:rPr>
                <w:rFonts w:eastAsia="Calibri"/>
                <w:sz w:val="16"/>
                <w:szCs w:val="16"/>
                <w:lang w:val="x-none"/>
              </w:rPr>
              <w:t xml:space="preserve"> </w:t>
            </w:r>
            <w:proofErr w:type="spellStart"/>
            <w:r w:rsidRPr="006E25E0">
              <w:rPr>
                <w:rFonts w:eastAsia="Calibri"/>
                <w:sz w:val="16"/>
                <w:szCs w:val="16"/>
                <w:lang w:val="x-none"/>
              </w:rPr>
              <w:t>intervención</w:t>
            </w:r>
            <w:proofErr w:type="spellEnd"/>
            <w:r w:rsidRPr="006E25E0">
              <w:rPr>
                <w:rFonts w:eastAsia="Calibri"/>
                <w:sz w:val="16"/>
                <w:szCs w:val="16"/>
                <w:lang w:val="x-none"/>
              </w:rPr>
              <w:t xml:space="preserve"> de CCC</w:t>
            </w:r>
          </w:p>
          <w:p w14:paraId="701F6A91" w14:textId="77777777" w:rsidR="0057038C" w:rsidRPr="006E25E0" w:rsidRDefault="0057038C" w:rsidP="00617951">
            <w:pPr>
              <w:numPr>
                <w:ilvl w:val="0"/>
                <w:numId w:val="30"/>
              </w:numPr>
              <w:tabs>
                <w:tab w:val="left" w:pos="211"/>
              </w:tabs>
              <w:spacing w:after="0" w:line="240" w:lineRule="auto"/>
              <w:ind w:left="349" w:hanging="283"/>
              <w:contextualSpacing/>
              <w:jc w:val="both"/>
              <w:rPr>
                <w:rFonts w:eastAsia="Calibri"/>
                <w:sz w:val="16"/>
                <w:szCs w:val="16"/>
                <w:lang w:val="x-none"/>
              </w:rPr>
            </w:pPr>
            <w:r w:rsidRPr="006E25E0">
              <w:rPr>
                <w:rFonts w:eastAsia="Calibri"/>
                <w:sz w:val="16"/>
                <w:szCs w:val="16"/>
                <w:lang w:val="es-NI"/>
              </w:rPr>
              <w:t>144</w:t>
            </w:r>
            <w:r w:rsidRPr="006E25E0">
              <w:rPr>
                <w:rFonts w:eastAsia="Calibri"/>
                <w:sz w:val="16"/>
                <w:szCs w:val="16"/>
                <w:lang w:val="x-none"/>
              </w:rPr>
              <w:t xml:space="preserve"> condones</w:t>
            </w:r>
          </w:p>
          <w:p w14:paraId="004827AD" w14:textId="77777777" w:rsidR="0057038C" w:rsidRPr="006E25E0" w:rsidRDefault="0057038C" w:rsidP="00617951">
            <w:pPr>
              <w:numPr>
                <w:ilvl w:val="0"/>
                <w:numId w:val="30"/>
              </w:numPr>
              <w:tabs>
                <w:tab w:val="left" w:pos="211"/>
              </w:tabs>
              <w:spacing w:after="0" w:line="240" w:lineRule="auto"/>
              <w:ind w:left="349" w:hanging="283"/>
              <w:contextualSpacing/>
              <w:jc w:val="both"/>
              <w:rPr>
                <w:rFonts w:eastAsia="Calibri"/>
                <w:sz w:val="16"/>
                <w:szCs w:val="16"/>
                <w:lang w:val="x-none"/>
              </w:rPr>
            </w:pPr>
            <w:r w:rsidRPr="006E25E0">
              <w:rPr>
                <w:rFonts w:eastAsia="Calibri"/>
                <w:sz w:val="16"/>
                <w:szCs w:val="16"/>
                <w:lang w:val="es-NI"/>
              </w:rPr>
              <w:t>6</w:t>
            </w:r>
            <w:r w:rsidRPr="006E25E0">
              <w:rPr>
                <w:rFonts w:eastAsia="Calibri"/>
                <w:sz w:val="16"/>
                <w:szCs w:val="16"/>
                <w:lang w:val="x-none"/>
              </w:rPr>
              <w:t xml:space="preserve"> </w:t>
            </w:r>
            <w:proofErr w:type="spellStart"/>
            <w:r w:rsidRPr="006E25E0">
              <w:rPr>
                <w:rFonts w:eastAsia="Calibri"/>
                <w:sz w:val="16"/>
                <w:szCs w:val="16"/>
                <w:lang w:val="x-none"/>
              </w:rPr>
              <w:t>lubricantes</w:t>
            </w:r>
            <w:proofErr w:type="spellEnd"/>
            <w:r w:rsidRPr="006E25E0">
              <w:rPr>
                <w:rFonts w:eastAsia="Calibri"/>
                <w:sz w:val="16"/>
                <w:szCs w:val="16"/>
                <w:lang w:val="x-none"/>
              </w:rPr>
              <w:t xml:space="preserve"> en </w:t>
            </w:r>
            <w:proofErr w:type="spellStart"/>
            <w:r w:rsidRPr="006E25E0">
              <w:rPr>
                <w:rFonts w:eastAsia="Calibri"/>
                <w:sz w:val="16"/>
                <w:szCs w:val="16"/>
                <w:lang w:val="x-none"/>
              </w:rPr>
              <w:t>tubo</w:t>
            </w:r>
            <w:proofErr w:type="spellEnd"/>
          </w:p>
          <w:p w14:paraId="6B26DA02" w14:textId="77777777" w:rsidR="0057038C" w:rsidRPr="006E25E0" w:rsidRDefault="0057038C" w:rsidP="0057038C">
            <w:pPr>
              <w:spacing w:before="180" w:after="0" w:line="240" w:lineRule="auto"/>
              <w:rPr>
                <w:rFonts w:eastAsia="Calibri"/>
                <w:sz w:val="16"/>
                <w:szCs w:val="16"/>
                <w:lang w:val="es-NI" w:eastAsia="es-SV"/>
              </w:rPr>
            </w:pPr>
            <w:r w:rsidRPr="006E25E0">
              <w:rPr>
                <w:rFonts w:eastAsia="Calibri"/>
                <w:sz w:val="16"/>
                <w:szCs w:val="16"/>
                <w:lang w:val="es-NI" w:eastAsia="es-SV"/>
              </w:rPr>
              <w:t xml:space="preserve">Se considera persona alcanzada de la </w:t>
            </w:r>
            <w:r w:rsidRPr="006E25E0">
              <w:rPr>
                <w:rFonts w:eastAsia="Calibri"/>
                <w:b/>
                <w:sz w:val="16"/>
                <w:szCs w:val="16"/>
                <w:lang w:val="es-NI" w:eastAsia="es-SV"/>
              </w:rPr>
              <w:t xml:space="preserve">población MTS, </w:t>
            </w:r>
            <w:r w:rsidRPr="006E25E0">
              <w:rPr>
                <w:rFonts w:eastAsia="Calibri"/>
                <w:sz w:val="16"/>
                <w:szCs w:val="16"/>
                <w:lang w:val="es-NI" w:eastAsia="es-SV"/>
              </w:rPr>
              <w:t xml:space="preserve">cuando se ha entregado un </w:t>
            </w:r>
            <w:r w:rsidRPr="006E25E0">
              <w:rPr>
                <w:rFonts w:eastAsia="Calibri"/>
                <w:sz w:val="16"/>
                <w:szCs w:val="16"/>
                <w:u w:val="single"/>
                <w:lang w:val="es-NI" w:eastAsia="es-SV"/>
              </w:rPr>
              <w:t>paquete de servicios</w:t>
            </w:r>
            <w:r w:rsidRPr="006E25E0">
              <w:rPr>
                <w:rFonts w:eastAsia="Calibri"/>
                <w:sz w:val="16"/>
                <w:szCs w:val="16"/>
                <w:lang w:val="es-NI" w:eastAsia="es-SV"/>
              </w:rPr>
              <w:t xml:space="preserve"> que incluye:</w:t>
            </w:r>
          </w:p>
          <w:p w14:paraId="4C86677A" w14:textId="77777777" w:rsidR="0057038C" w:rsidRPr="006E25E0" w:rsidRDefault="0057038C" w:rsidP="00617951">
            <w:pPr>
              <w:numPr>
                <w:ilvl w:val="0"/>
                <w:numId w:val="30"/>
              </w:numPr>
              <w:tabs>
                <w:tab w:val="left" w:pos="211"/>
              </w:tabs>
              <w:spacing w:after="0" w:line="240" w:lineRule="auto"/>
              <w:ind w:left="349" w:hanging="283"/>
              <w:contextualSpacing/>
              <w:jc w:val="both"/>
              <w:rPr>
                <w:rFonts w:eastAsia="Calibri"/>
                <w:sz w:val="16"/>
                <w:szCs w:val="16"/>
                <w:lang w:val="x-none"/>
              </w:rPr>
            </w:pPr>
            <w:r w:rsidRPr="006E25E0">
              <w:rPr>
                <w:rFonts w:eastAsia="Calibri"/>
                <w:sz w:val="16"/>
                <w:szCs w:val="16"/>
                <w:lang w:val="x-none"/>
              </w:rPr>
              <w:t xml:space="preserve">Al </w:t>
            </w:r>
            <w:proofErr w:type="spellStart"/>
            <w:r w:rsidRPr="006E25E0">
              <w:rPr>
                <w:rFonts w:eastAsia="Calibri"/>
                <w:sz w:val="16"/>
                <w:szCs w:val="16"/>
                <w:lang w:val="x-none"/>
              </w:rPr>
              <w:t>menos</w:t>
            </w:r>
            <w:proofErr w:type="spellEnd"/>
            <w:r w:rsidRPr="006E25E0">
              <w:rPr>
                <w:rFonts w:eastAsia="Calibri"/>
                <w:sz w:val="16"/>
                <w:szCs w:val="16"/>
                <w:lang w:val="x-none"/>
              </w:rPr>
              <w:t xml:space="preserve"> 2 </w:t>
            </w:r>
            <w:proofErr w:type="spellStart"/>
            <w:r w:rsidRPr="006E25E0">
              <w:rPr>
                <w:rFonts w:eastAsia="Calibri"/>
                <w:sz w:val="16"/>
                <w:szCs w:val="16"/>
                <w:lang w:val="x-none"/>
              </w:rPr>
              <w:t>intervención</w:t>
            </w:r>
            <w:proofErr w:type="spellEnd"/>
            <w:r w:rsidRPr="006E25E0">
              <w:rPr>
                <w:rFonts w:eastAsia="Calibri"/>
                <w:sz w:val="16"/>
                <w:szCs w:val="16"/>
                <w:lang w:val="x-none"/>
              </w:rPr>
              <w:t xml:space="preserve"> de CCC</w:t>
            </w:r>
          </w:p>
          <w:p w14:paraId="5B3C98FF" w14:textId="77777777" w:rsidR="0057038C" w:rsidRPr="006E25E0" w:rsidRDefault="0057038C" w:rsidP="00617951">
            <w:pPr>
              <w:numPr>
                <w:ilvl w:val="0"/>
                <w:numId w:val="30"/>
              </w:numPr>
              <w:tabs>
                <w:tab w:val="left" w:pos="211"/>
              </w:tabs>
              <w:spacing w:after="0" w:line="240" w:lineRule="auto"/>
              <w:ind w:left="349" w:hanging="283"/>
              <w:contextualSpacing/>
              <w:jc w:val="both"/>
              <w:rPr>
                <w:rFonts w:eastAsia="Calibri"/>
                <w:sz w:val="16"/>
                <w:szCs w:val="16"/>
                <w:lang w:val="x-none"/>
              </w:rPr>
            </w:pPr>
            <w:r w:rsidRPr="006E25E0">
              <w:rPr>
                <w:rFonts w:eastAsia="Calibri"/>
                <w:sz w:val="16"/>
                <w:szCs w:val="16"/>
                <w:lang w:val="x-none"/>
              </w:rPr>
              <w:t>144 condones</w:t>
            </w:r>
          </w:p>
          <w:p w14:paraId="3EC65B22" w14:textId="77777777" w:rsidR="0057038C" w:rsidRPr="006E25E0" w:rsidRDefault="0057038C" w:rsidP="00617951">
            <w:pPr>
              <w:numPr>
                <w:ilvl w:val="0"/>
                <w:numId w:val="30"/>
              </w:numPr>
              <w:tabs>
                <w:tab w:val="left" w:pos="211"/>
              </w:tabs>
              <w:spacing w:after="0" w:line="240" w:lineRule="auto"/>
              <w:ind w:left="349" w:hanging="283"/>
              <w:contextualSpacing/>
              <w:jc w:val="both"/>
              <w:rPr>
                <w:rFonts w:eastAsia="Calibri"/>
                <w:sz w:val="16"/>
                <w:szCs w:val="16"/>
                <w:lang w:val="x-none"/>
              </w:rPr>
            </w:pPr>
            <w:r w:rsidRPr="006E25E0">
              <w:rPr>
                <w:rFonts w:eastAsia="Calibri"/>
                <w:sz w:val="16"/>
                <w:szCs w:val="16"/>
                <w:lang w:val="x-none"/>
              </w:rPr>
              <w:t xml:space="preserve">4 </w:t>
            </w:r>
            <w:proofErr w:type="spellStart"/>
            <w:r w:rsidRPr="006E25E0">
              <w:rPr>
                <w:rFonts w:eastAsia="Calibri"/>
                <w:sz w:val="16"/>
                <w:szCs w:val="16"/>
                <w:lang w:val="x-none"/>
              </w:rPr>
              <w:t>lubricantes</w:t>
            </w:r>
            <w:proofErr w:type="spellEnd"/>
            <w:r w:rsidRPr="006E25E0">
              <w:rPr>
                <w:rFonts w:eastAsia="Calibri"/>
                <w:sz w:val="16"/>
                <w:szCs w:val="16"/>
                <w:lang w:val="x-none"/>
              </w:rPr>
              <w:t xml:space="preserve"> en </w:t>
            </w:r>
            <w:proofErr w:type="spellStart"/>
            <w:r w:rsidRPr="006E25E0">
              <w:rPr>
                <w:rFonts w:eastAsia="Calibri"/>
                <w:sz w:val="16"/>
                <w:szCs w:val="16"/>
                <w:lang w:val="x-none"/>
              </w:rPr>
              <w:t>tubo</w:t>
            </w:r>
            <w:proofErr w:type="spellEnd"/>
          </w:p>
          <w:p w14:paraId="5AA301CA" w14:textId="77777777" w:rsidR="0057038C" w:rsidRDefault="0057038C" w:rsidP="00617951">
            <w:pPr>
              <w:numPr>
                <w:ilvl w:val="0"/>
                <w:numId w:val="30"/>
              </w:numPr>
              <w:tabs>
                <w:tab w:val="left" w:pos="211"/>
              </w:tabs>
              <w:spacing w:after="0" w:line="240" w:lineRule="auto"/>
              <w:ind w:left="349" w:hanging="283"/>
              <w:contextualSpacing/>
              <w:jc w:val="both"/>
              <w:rPr>
                <w:rFonts w:eastAsia="Calibri"/>
                <w:sz w:val="16"/>
                <w:szCs w:val="16"/>
                <w:lang w:val="es-NI"/>
              </w:rPr>
            </w:pPr>
            <w:r w:rsidRPr="006E25E0">
              <w:rPr>
                <w:rFonts w:eastAsia="Calibri"/>
                <w:sz w:val="16"/>
                <w:szCs w:val="16"/>
                <w:lang w:val="es-NI"/>
              </w:rPr>
              <w:t>26 lubricantes en sobre</w:t>
            </w:r>
          </w:p>
          <w:p w14:paraId="3A888570" w14:textId="77777777" w:rsidR="0057038C" w:rsidRDefault="0057038C" w:rsidP="0057038C">
            <w:pPr>
              <w:tabs>
                <w:tab w:val="left" w:pos="211"/>
              </w:tabs>
              <w:spacing w:after="0" w:line="240" w:lineRule="auto"/>
              <w:contextualSpacing/>
              <w:jc w:val="both"/>
              <w:rPr>
                <w:rFonts w:eastAsia="Calibri"/>
                <w:sz w:val="16"/>
                <w:szCs w:val="16"/>
                <w:lang w:val="es-NI"/>
              </w:rPr>
            </w:pPr>
          </w:p>
          <w:p w14:paraId="2273F879" w14:textId="77777777" w:rsidR="0057038C" w:rsidRPr="006E25E0" w:rsidRDefault="0057038C" w:rsidP="0057038C">
            <w:pPr>
              <w:tabs>
                <w:tab w:val="left" w:pos="211"/>
              </w:tabs>
              <w:spacing w:after="0" w:line="240" w:lineRule="auto"/>
              <w:jc w:val="both"/>
              <w:rPr>
                <w:rFonts w:eastAsia="Calibri"/>
                <w:b/>
                <w:bCs/>
                <w:sz w:val="16"/>
                <w:szCs w:val="16"/>
                <w:lang w:val="es-NI"/>
              </w:rPr>
            </w:pPr>
            <w:r w:rsidRPr="006E25E0">
              <w:rPr>
                <w:rFonts w:eastAsia="Calibri"/>
                <w:b/>
                <w:bCs/>
                <w:sz w:val="16"/>
                <w:szCs w:val="16"/>
                <w:lang w:val="es-NI"/>
              </w:rPr>
              <w:t>Cambios propuestos</w:t>
            </w:r>
          </w:p>
          <w:p w14:paraId="56100B2E" w14:textId="77777777" w:rsidR="0057038C" w:rsidRPr="006E25E0" w:rsidRDefault="0057038C" w:rsidP="0057038C">
            <w:pPr>
              <w:autoSpaceDE w:val="0"/>
              <w:autoSpaceDN w:val="0"/>
              <w:adjustRightInd w:val="0"/>
              <w:spacing w:after="60" w:line="240" w:lineRule="auto"/>
              <w:jc w:val="both"/>
              <w:rPr>
                <w:rFonts w:eastAsia="Calibri"/>
                <w:bCs/>
                <w:sz w:val="16"/>
                <w:szCs w:val="16"/>
                <w:lang w:val="es-BO" w:eastAsia="es-SV"/>
              </w:rPr>
            </w:pPr>
            <w:r>
              <w:rPr>
                <w:rFonts w:eastAsia="Calibri"/>
                <w:b/>
                <w:bCs/>
                <w:sz w:val="16"/>
                <w:szCs w:val="16"/>
                <w:lang w:val="es-BO" w:eastAsia="es-SV"/>
              </w:rPr>
              <w:t xml:space="preserve">- </w:t>
            </w:r>
            <w:r w:rsidRPr="006E25E0">
              <w:rPr>
                <w:rFonts w:eastAsia="Calibri"/>
                <w:sz w:val="16"/>
                <w:szCs w:val="16"/>
                <w:lang w:val="es-BO" w:eastAsia="es-SV"/>
              </w:rPr>
              <w:t xml:space="preserve"> Se implementarán </w:t>
            </w:r>
            <w:r w:rsidRPr="006E25E0">
              <w:rPr>
                <w:rFonts w:eastAsia="Calibri"/>
                <w:b/>
                <w:sz w:val="16"/>
                <w:szCs w:val="16"/>
                <w:lang w:val="es-BO" w:eastAsia="es-SV"/>
              </w:rPr>
              <w:t>Servicios Amigables</w:t>
            </w:r>
            <w:r w:rsidRPr="006E25E0">
              <w:rPr>
                <w:rFonts w:eastAsia="Calibri"/>
                <w:bCs/>
                <w:sz w:val="16"/>
                <w:szCs w:val="16"/>
                <w:lang w:val="es-BO" w:eastAsia="es-SV"/>
              </w:rPr>
              <w:t>.</w:t>
            </w:r>
          </w:p>
          <w:p w14:paraId="4089B9A7" w14:textId="77777777" w:rsidR="0057038C" w:rsidRPr="006E25E0" w:rsidRDefault="0057038C" w:rsidP="0057038C">
            <w:pPr>
              <w:autoSpaceDE w:val="0"/>
              <w:autoSpaceDN w:val="0"/>
              <w:adjustRightInd w:val="0"/>
              <w:spacing w:after="60" w:line="240" w:lineRule="auto"/>
              <w:jc w:val="both"/>
              <w:rPr>
                <w:rFonts w:eastAsia="Calibri"/>
                <w:bCs/>
                <w:sz w:val="16"/>
                <w:szCs w:val="16"/>
                <w:lang w:val="es-BO" w:eastAsia="es-SV"/>
              </w:rPr>
            </w:pPr>
            <w:r>
              <w:rPr>
                <w:rFonts w:eastAsia="Calibri"/>
                <w:b/>
                <w:sz w:val="16"/>
                <w:szCs w:val="16"/>
                <w:lang w:val="es-BO" w:eastAsia="es-SV"/>
              </w:rPr>
              <w:t xml:space="preserve">- </w:t>
            </w:r>
            <w:r w:rsidRPr="006E25E0">
              <w:rPr>
                <w:rFonts w:eastAsia="Calibri"/>
                <w:bCs/>
                <w:sz w:val="16"/>
                <w:szCs w:val="16"/>
                <w:lang w:val="es-BO" w:eastAsia="es-SV"/>
              </w:rPr>
              <w:t xml:space="preserve"> Se implementará el </w:t>
            </w:r>
            <w:r w:rsidRPr="006E25E0">
              <w:rPr>
                <w:rFonts w:eastAsia="Calibri"/>
                <w:b/>
                <w:sz w:val="16"/>
                <w:szCs w:val="16"/>
                <w:lang w:val="es-BO" w:eastAsia="es-SV"/>
              </w:rPr>
              <w:t>Abordaje en línea</w:t>
            </w:r>
            <w:r w:rsidRPr="006E25E0">
              <w:rPr>
                <w:rFonts w:eastAsia="Calibri"/>
                <w:bCs/>
                <w:sz w:val="16"/>
                <w:szCs w:val="16"/>
                <w:lang w:val="es-BO" w:eastAsia="es-SV"/>
              </w:rPr>
              <w:t xml:space="preserve">, </w:t>
            </w:r>
            <w:r w:rsidRPr="006E25E0">
              <w:rPr>
                <w:rFonts w:eastAsia="Calibri"/>
                <w:sz w:val="16"/>
                <w:szCs w:val="16"/>
                <w:lang w:val="es-NI"/>
              </w:rPr>
              <w:t xml:space="preserve"> </w:t>
            </w:r>
            <w:r w:rsidRPr="006E25E0">
              <w:rPr>
                <w:rFonts w:eastAsia="Calibri"/>
                <w:bCs/>
                <w:sz w:val="16"/>
                <w:szCs w:val="16"/>
                <w:lang w:val="es-BO" w:eastAsia="es-SV"/>
              </w:rPr>
              <w:t>se plantea la expansión de la estrategia de abordaje de cara a cara, para hacer ofrecida por medios en línea</w:t>
            </w:r>
            <w:r>
              <w:rPr>
                <w:rFonts w:eastAsia="Calibri"/>
                <w:bCs/>
                <w:sz w:val="16"/>
                <w:szCs w:val="16"/>
                <w:lang w:val="es-BO" w:eastAsia="es-SV"/>
              </w:rPr>
              <w:t>, con entrega posterior de los condones y lubricantes</w:t>
            </w:r>
            <w:r w:rsidRPr="006E25E0">
              <w:rPr>
                <w:rFonts w:eastAsia="Calibri"/>
                <w:bCs/>
                <w:sz w:val="16"/>
                <w:szCs w:val="16"/>
                <w:lang w:val="es-BO" w:eastAsia="es-SV"/>
              </w:rPr>
              <w:t>.</w:t>
            </w:r>
          </w:p>
          <w:p w14:paraId="7EA4229E" w14:textId="77777777" w:rsidR="0057038C" w:rsidRPr="006E25E0" w:rsidRDefault="0057038C" w:rsidP="0057038C">
            <w:pPr>
              <w:autoSpaceDE w:val="0"/>
              <w:autoSpaceDN w:val="0"/>
              <w:adjustRightInd w:val="0"/>
              <w:spacing w:after="60" w:line="240" w:lineRule="auto"/>
              <w:jc w:val="both"/>
              <w:rPr>
                <w:rFonts w:eastAsia="Calibri"/>
                <w:bCs/>
                <w:sz w:val="16"/>
                <w:szCs w:val="16"/>
                <w:lang w:val="es-BO" w:eastAsia="es-SV"/>
              </w:rPr>
            </w:pPr>
            <w:r w:rsidRPr="006E25E0">
              <w:rPr>
                <w:rFonts w:eastAsia="Calibri"/>
                <w:bCs/>
                <w:sz w:val="16"/>
                <w:szCs w:val="16"/>
                <w:lang w:val="es-BO" w:eastAsia="es-SV"/>
              </w:rPr>
              <w:t>En esta subvención ambos RP coordinarán con los SR las fechas y los lugares donde se realizarán las intervenciones, para evitar duplicidad.</w:t>
            </w:r>
          </w:p>
          <w:p w14:paraId="79D0F743" w14:textId="77777777" w:rsidR="0057038C" w:rsidRDefault="0057038C" w:rsidP="0057038C">
            <w:pPr>
              <w:spacing w:after="60" w:line="240" w:lineRule="auto"/>
              <w:jc w:val="both"/>
              <w:rPr>
                <w:rFonts w:eastAsia="Calibri"/>
                <w:sz w:val="16"/>
                <w:szCs w:val="16"/>
                <w:lang w:val="es-NI" w:eastAsia="es-BO"/>
              </w:rPr>
            </w:pPr>
            <w:r>
              <w:rPr>
                <w:rFonts w:eastAsia="Calibri"/>
                <w:b/>
                <w:bCs/>
                <w:sz w:val="16"/>
                <w:szCs w:val="16"/>
                <w:lang w:val="es-NI" w:eastAsia="es-BO"/>
              </w:rPr>
              <w:t xml:space="preserve">- </w:t>
            </w:r>
            <w:r w:rsidRPr="006E25E0">
              <w:rPr>
                <w:rFonts w:eastAsia="Calibri"/>
                <w:sz w:val="16"/>
                <w:szCs w:val="16"/>
                <w:lang w:val="es-NI" w:eastAsia="es-BO"/>
              </w:rPr>
              <w:t xml:space="preserve"> Las metodologías de cambio de comportamiento serán actualizadas para renovar los mensajes y el interés de la población, tal como la Entrevista Motivacional para Cambio de Comportamiento.</w:t>
            </w:r>
          </w:p>
          <w:p w14:paraId="60AACCE2" w14:textId="77777777" w:rsidR="0057038C" w:rsidRDefault="0057038C" w:rsidP="0057038C">
            <w:pPr>
              <w:spacing w:after="60" w:line="240" w:lineRule="auto"/>
              <w:jc w:val="both"/>
              <w:rPr>
                <w:rFonts w:eastAsia="Calibri"/>
                <w:sz w:val="16"/>
                <w:szCs w:val="16"/>
                <w:lang w:val="es-NI" w:eastAsia="es-BO"/>
              </w:rPr>
            </w:pPr>
            <w:r w:rsidRPr="006E25E0">
              <w:rPr>
                <w:rFonts w:eastAsia="Calibri"/>
                <w:sz w:val="16"/>
                <w:szCs w:val="16"/>
                <w:lang w:val="es-NI" w:eastAsia="es-BO"/>
              </w:rPr>
              <w:t>A su vez, se continuará con asignación del Código Único de Identidad (CUI) que permite ingresar los resultados al SUMEVE</w:t>
            </w:r>
            <w:r>
              <w:rPr>
                <w:rFonts w:eastAsia="Calibri"/>
                <w:sz w:val="16"/>
                <w:szCs w:val="16"/>
                <w:lang w:val="es-NI" w:eastAsia="es-BO"/>
              </w:rPr>
              <w:t xml:space="preserve"> por parte del MINSAL, de las OSC (que tienen acceso al SUMEVE) e ISSS.</w:t>
            </w:r>
          </w:p>
          <w:p w14:paraId="1382EA92" w14:textId="77777777" w:rsidR="0057038C" w:rsidRDefault="0057038C" w:rsidP="0057038C">
            <w:pPr>
              <w:tabs>
                <w:tab w:val="left" w:pos="211"/>
              </w:tabs>
              <w:spacing w:line="240" w:lineRule="auto"/>
              <w:jc w:val="both"/>
              <w:rPr>
                <w:rFonts w:eastAsia="Calibri"/>
                <w:sz w:val="16"/>
                <w:szCs w:val="16"/>
                <w:lang w:val="es-NI" w:eastAsia="es-BO"/>
              </w:rPr>
            </w:pPr>
            <w:r w:rsidRPr="00E270BD">
              <w:rPr>
                <w:rFonts w:eastAsia="Calibri"/>
                <w:sz w:val="16"/>
                <w:szCs w:val="16"/>
                <w:lang w:val="es-NI"/>
              </w:rPr>
              <w:t>Se monitorear</w:t>
            </w:r>
            <w:r>
              <w:rPr>
                <w:rFonts w:eastAsia="Calibri"/>
                <w:sz w:val="16"/>
                <w:szCs w:val="16"/>
                <w:lang w:val="es-NI"/>
              </w:rPr>
              <w:t>á</w:t>
            </w:r>
            <w:r w:rsidRPr="00E270BD">
              <w:rPr>
                <w:rFonts w:eastAsia="Calibri"/>
                <w:sz w:val="16"/>
                <w:szCs w:val="16"/>
                <w:lang w:val="es-NI"/>
              </w:rPr>
              <w:t xml:space="preserve"> estrechamente las estrategias en línea vs. las estrategias cara a cara, para ver cuáles son más efectivas en cantidad y calidad de las intervenciones</w:t>
            </w:r>
            <w:r>
              <w:rPr>
                <w:rFonts w:eastAsia="Calibri"/>
                <w:sz w:val="16"/>
                <w:szCs w:val="16"/>
                <w:lang w:val="es-NI"/>
              </w:rPr>
              <w:t>.</w:t>
            </w:r>
          </w:p>
          <w:p w14:paraId="206DAF2B" w14:textId="77777777" w:rsidR="0057038C" w:rsidRPr="00F66F49" w:rsidRDefault="0057038C" w:rsidP="0057038C">
            <w:pPr>
              <w:spacing w:line="240" w:lineRule="auto"/>
              <w:jc w:val="both"/>
              <w:rPr>
                <w:rFonts w:eastAsia="Calibri"/>
                <w:sz w:val="16"/>
                <w:szCs w:val="16"/>
                <w:lang w:val="es-NI"/>
              </w:rPr>
            </w:pPr>
            <w:r w:rsidRPr="001E0232">
              <w:rPr>
                <w:rFonts w:eastAsia="Times New Roman"/>
                <w:b/>
                <w:bCs/>
                <w:sz w:val="16"/>
                <w:szCs w:val="16"/>
                <w:lang w:val="es-NI" w:eastAsia="es-SV"/>
              </w:rPr>
              <w:lastRenderedPageBreak/>
              <w:t>Desafíos, obstáculos e inequidades</w:t>
            </w:r>
            <w:r w:rsidRPr="001E0232">
              <w:rPr>
                <w:rFonts w:eastAsia="Times New Roman"/>
                <w:sz w:val="16"/>
                <w:szCs w:val="16"/>
                <w:lang w:val="es-NI" w:eastAsia="es-SV"/>
              </w:rPr>
              <w:t xml:space="preserve">: Disminución del uso del condón, sobre todo en la población HSH, con un último reporte de 48.93% para el año </w:t>
            </w:r>
            <w:r w:rsidRPr="001E0232">
              <w:rPr>
                <w:rFonts w:eastAsia="Calibri"/>
                <w:sz w:val="16"/>
                <w:szCs w:val="16"/>
                <w:lang w:val="es-NI"/>
              </w:rPr>
              <w:t>2019, poco conocimiento en El Salvador sobre la aceptabilidad de la PrEP en las poblaciones claves, restricciones en los abordajes cara a car debido a la pandemia por COVID-19.</w:t>
            </w:r>
          </w:p>
        </w:tc>
        <w:tc>
          <w:tcPr>
            <w:tcW w:w="2872" w:type="dxa"/>
            <w:shd w:val="clear" w:color="auto" w:fill="auto"/>
          </w:tcPr>
          <w:p w14:paraId="2AE5CD14" w14:textId="77777777" w:rsidR="0057038C" w:rsidRPr="0048021D" w:rsidRDefault="0057038C" w:rsidP="00617951">
            <w:pPr>
              <w:pStyle w:val="ListParagraph"/>
              <w:numPr>
                <w:ilvl w:val="0"/>
                <w:numId w:val="54"/>
              </w:numPr>
              <w:spacing w:after="0" w:line="240" w:lineRule="auto"/>
              <w:ind w:right="-106"/>
              <w:rPr>
                <w:rFonts w:eastAsia="Times New Roman"/>
                <w:b/>
                <w:sz w:val="16"/>
                <w:szCs w:val="16"/>
                <w:lang w:val="es-NI" w:eastAsia="es-SV"/>
              </w:rPr>
            </w:pPr>
            <w:r w:rsidRPr="0048021D">
              <w:rPr>
                <w:rFonts w:eastAsia="Times New Roman"/>
                <w:b/>
                <w:sz w:val="16"/>
                <w:szCs w:val="16"/>
                <w:lang w:val="es-NI" w:eastAsia="es-SV"/>
              </w:rPr>
              <w:lastRenderedPageBreak/>
              <w:t>PrEP</w:t>
            </w:r>
          </w:p>
          <w:p w14:paraId="4CF9448B" w14:textId="77777777" w:rsidR="0057038C" w:rsidRDefault="0057038C" w:rsidP="0057038C">
            <w:pPr>
              <w:spacing w:after="0" w:line="240" w:lineRule="auto"/>
              <w:ind w:right="-106"/>
              <w:rPr>
                <w:rFonts w:eastAsia="Times New Roman"/>
                <w:bCs/>
                <w:sz w:val="16"/>
                <w:szCs w:val="16"/>
                <w:lang w:val="es-NI" w:eastAsia="es-SV"/>
              </w:rPr>
            </w:pPr>
            <w:r>
              <w:rPr>
                <w:rFonts w:eastAsia="Times New Roman"/>
                <w:bCs/>
                <w:sz w:val="16"/>
                <w:szCs w:val="16"/>
                <w:lang w:val="es-NI" w:eastAsia="es-SV"/>
              </w:rPr>
              <w:t>Metas p</w:t>
            </w:r>
            <w:r w:rsidRPr="006E25E0">
              <w:rPr>
                <w:rFonts w:eastAsia="Times New Roman"/>
                <w:bCs/>
                <w:sz w:val="16"/>
                <w:szCs w:val="16"/>
                <w:lang w:val="es-NI" w:eastAsia="es-SV"/>
              </w:rPr>
              <w:t xml:space="preserve">ara </w:t>
            </w:r>
            <w:r>
              <w:rPr>
                <w:rFonts w:eastAsia="Times New Roman"/>
                <w:bCs/>
                <w:sz w:val="16"/>
                <w:szCs w:val="16"/>
                <w:lang w:val="es-NI" w:eastAsia="es-SV"/>
              </w:rPr>
              <w:t xml:space="preserve">HSH y Trans: </w:t>
            </w:r>
          </w:p>
          <w:p w14:paraId="11C75EE4" w14:textId="77777777" w:rsidR="0057038C" w:rsidRDefault="0057038C" w:rsidP="0057038C">
            <w:pPr>
              <w:spacing w:after="0" w:line="240" w:lineRule="auto"/>
              <w:ind w:left="468" w:right="-106"/>
              <w:rPr>
                <w:rFonts w:eastAsia="Times New Roman"/>
                <w:bCs/>
                <w:sz w:val="16"/>
                <w:szCs w:val="16"/>
                <w:lang w:val="es-NI" w:eastAsia="es-SV"/>
              </w:rPr>
            </w:pPr>
            <w:r>
              <w:rPr>
                <w:rFonts w:eastAsia="Times New Roman"/>
                <w:bCs/>
                <w:sz w:val="16"/>
                <w:szCs w:val="16"/>
                <w:lang w:val="es-NI" w:eastAsia="es-SV"/>
              </w:rPr>
              <w:t>Meta Año 1: 70%</w:t>
            </w:r>
          </w:p>
          <w:p w14:paraId="289014DD" w14:textId="77777777" w:rsidR="0057038C" w:rsidRDefault="0057038C" w:rsidP="0057038C">
            <w:pPr>
              <w:spacing w:after="0" w:line="240" w:lineRule="auto"/>
              <w:ind w:left="468" w:right="-106"/>
              <w:rPr>
                <w:rFonts w:eastAsia="Times New Roman"/>
                <w:bCs/>
                <w:sz w:val="16"/>
                <w:szCs w:val="16"/>
                <w:lang w:val="es-NI" w:eastAsia="es-SV"/>
              </w:rPr>
            </w:pPr>
            <w:r>
              <w:rPr>
                <w:rFonts w:eastAsia="Times New Roman"/>
                <w:bCs/>
                <w:sz w:val="16"/>
                <w:szCs w:val="16"/>
                <w:lang w:val="es-NI" w:eastAsia="es-SV"/>
              </w:rPr>
              <w:t>Meta Año 2: 75%</w:t>
            </w:r>
          </w:p>
          <w:p w14:paraId="3A7D396D" w14:textId="77777777" w:rsidR="0057038C" w:rsidRDefault="0057038C" w:rsidP="0057038C">
            <w:pPr>
              <w:spacing w:after="0" w:line="240" w:lineRule="auto"/>
              <w:ind w:left="468" w:right="-106"/>
              <w:rPr>
                <w:rFonts w:eastAsia="Times New Roman"/>
                <w:bCs/>
                <w:sz w:val="16"/>
                <w:szCs w:val="16"/>
                <w:lang w:val="es-NI" w:eastAsia="es-SV"/>
              </w:rPr>
            </w:pPr>
            <w:r>
              <w:rPr>
                <w:rFonts w:eastAsia="Times New Roman"/>
                <w:bCs/>
                <w:sz w:val="16"/>
                <w:szCs w:val="16"/>
                <w:lang w:val="es-NI" w:eastAsia="es-SV"/>
              </w:rPr>
              <w:t>Meta Año 3: 80%</w:t>
            </w:r>
          </w:p>
          <w:p w14:paraId="7110EDF3" w14:textId="77777777" w:rsidR="0057038C" w:rsidRDefault="0057038C" w:rsidP="0057038C">
            <w:pPr>
              <w:spacing w:after="60" w:line="240" w:lineRule="auto"/>
              <w:jc w:val="both"/>
              <w:rPr>
                <w:rFonts w:eastAsia="Calibri"/>
                <w:sz w:val="16"/>
                <w:szCs w:val="16"/>
                <w:lang w:val="es-NI" w:eastAsia="es-SV"/>
              </w:rPr>
            </w:pPr>
          </w:p>
          <w:p w14:paraId="31857DF0" w14:textId="77777777" w:rsidR="0057038C" w:rsidRPr="0048021D" w:rsidRDefault="0057038C" w:rsidP="00617951">
            <w:pPr>
              <w:pStyle w:val="ListParagraph"/>
              <w:numPr>
                <w:ilvl w:val="0"/>
                <w:numId w:val="54"/>
              </w:numPr>
              <w:spacing w:after="60" w:line="240" w:lineRule="auto"/>
              <w:jc w:val="both"/>
              <w:rPr>
                <w:rFonts w:eastAsia="Calibri"/>
                <w:b/>
                <w:bCs/>
                <w:sz w:val="16"/>
                <w:szCs w:val="16"/>
                <w:lang w:val="es-NI" w:eastAsia="es-SV"/>
              </w:rPr>
            </w:pPr>
            <w:r w:rsidRPr="0048021D">
              <w:rPr>
                <w:rFonts w:eastAsia="Calibri"/>
                <w:b/>
                <w:bCs/>
                <w:sz w:val="16"/>
                <w:szCs w:val="16"/>
                <w:lang w:val="es-NI" w:eastAsia="es-SV"/>
              </w:rPr>
              <w:t>Paquetes de prevención</w:t>
            </w:r>
          </w:p>
          <w:p w14:paraId="693D2100" w14:textId="77777777" w:rsidR="0057038C" w:rsidRPr="006E25E0" w:rsidRDefault="0057038C" w:rsidP="0057038C">
            <w:pPr>
              <w:spacing w:after="60" w:line="240" w:lineRule="auto"/>
              <w:jc w:val="both"/>
              <w:rPr>
                <w:rFonts w:eastAsia="Calibri"/>
                <w:sz w:val="16"/>
                <w:szCs w:val="16"/>
                <w:lang w:val="es-NI" w:eastAsia="es-SV"/>
              </w:rPr>
            </w:pPr>
            <w:r w:rsidRPr="006E25E0">
              <w:rPr>
                <w:rFonts w:eastAsia="Calibri"/>
                <w:sz w:val="16"/>
                <w:szCs w:val="16"/>
                <w:lang w:val="es-NI" w:eastAsia="es-SV"/>
              </w:rPr>
              <w:t>Las metas reflejan la cobertura nacional a alcanzar con paquetes de prevención para HSH, MTrans y TS con recursos del Fondo Mundial y PEPFAR.</w:t>
            </w:r>
          </w:p>
          <w:p w14:paraId="6927DB68" w14:textId="77777777" w:rsidR="0057038C" w:rsidRPr="006E25E0" w:rsidRDefault="0057038C" w:rsidP="0057038C">
            <w:pPr>
              <w:spacing w:after="0" w:line="240" w:lineRule="auto"/>
              <w:rPr>
                <w:rFonts w:eastAsia="Times New Roman"/>
                <w:b/>
                <w:color w:val="000000"/>
                <w:sz w:val="16"/>
                <w:szCs w:val="16"/>
                <w:lang w:val="es-NI" w:eastAsia="es-SV"/>
              </w:rPr>
            </w:pPr>
            <w:r w:rsidRPr="006E25E0">
              <w:rPr>
                <w:rFonts w:eastAsia="Times New Roman"/>
                <w:b/>
                <w:color w:val="000000"/>
                <w:sz w:val="16"/>
                <w:szCs w:val="16"/>
                <w:lang w:val="es-NI" w:eastAsia="es-SV"/>
              </w:rPr>
              <w:t>Paquetes por tipo de población:</w:t>
            </w:r>
          </w:p>
          <w:p w14:paraId="39191FE4" w14:textId="77777777" w:rsidR="0057038C" w:rsidRPr="006E25E0" w:rsidRDefault="0057038C" w:rsidP="0057038C">
            <w:pPr>
              <w:spacing w:after="0" w:line="240" w:lineRule="auto"/>
              <w:ind w:left="178"/>
              <w:rPr>
                <w:rFonts w:eastAsia="Times New Roman"/>
                <w:color w:val="000000"/>
                <w:sz w:val="16"/>
                <w:szCs w:val="16"/>
                <w:lang w:val="es-NI" w:eastAsia="es-SV"/>
              </w:rPr>
            </w:pPr>
            <w:r w:rsidRPr="006E25E0">
              <w:rPr>
                <w:rFonts w:eastAsia="Times New Roman"/>
                <w:color w:val="000000"/>
                <w:sz w:val="16"/>
                <w:szCs w:val="16"/>
                <w:lang w:val="es-NI" w:eastAsia="es-SV"/>
              </w:rPr>
              <w:t>Para la población HSH</w:t>
            </w:r>
          </w:p>
          <w:p w14:paraId="13E93204" w14:textId="77777777" w:rsidR="0057038C" w:rsidRPr="006E25E0" w:rsidRDefault="0057038C" w:rsidP="0057038C">
            <w:pPr>
              <w:spacing w:after="0" w:line="240" w:lineRule="auto"/>
              <w:ind w:left="487"/>
              <w:jc w:val="both"/>
              <w:rPr>
                <w:rFonts w:eastAsia="Calibri"/>
                <w:sz w:val="16"/>
                <w:szCs w:val="16"/>
                <w:lang w:val="es-NI" w:eastAsia="es-SV"/>
              </w:rPr>
            </w:pPr>
            <w:r w:rsidRPr="006E25E0">
              <w:rPr>
                <w:rFonts w:eastAsia="Calibri"/>
                <w:sz w:val="16"/>
                <w:szCs w:val="16"/>
                <w:lang w:val="es-NI" w:eastAsia="es-SV"/>
              </w:rPr>
              <w:t>Meta Año1: 27,611</w:t>
            </w:r>
          </w:p>
          <w:p w14:paraId="7430822A" w14:textId="77777777" w:rsidR="0057038C" w:rsidRPr="006E25E0" w:rsidRDefault="0057038C" w:rsidP="0057038C">
            <w:pPr>
              <w:spacing w:after="0" w:line="240" w:lineRule="auto"/>
              <w:ind w:left="487"/>
              <w:jc w:val="both"/>
              <w:rPr>
                <w:rFonts w:eastAsia="Calibri"/>
                <w:sz w:val="16"/>
                <w:szCs w:val="16"/>
                <w:lang w:val="es-NI" w:eastAsia="es-SV"/>
              </w:rPr>
            </w:pPr>
            <w:r w:rsidRPr="006E25E0">
              <w:rPr>
                <w:rFonts w:eastAsia="Calibri"/>
                <w:sz w:val="16"/>
                <w:szCs w:val="16"/>
                <w:lang w:val="es-NI" w:eastAsia="es-SV"/>
              </w:rPr>
              <w:t>Meta Año2: 30,318</w:t>
            </w:r>
          </w:p>
          <w:p w14:paraId="03FE86BD" w14:textId="77777777" w:rsidR="0057038C" w:rsidRPr="006E25E0" w:rsidRDefault="0057038C" w:rsidP="0057038C">
            <w:pPr>
              <w:spacing w:after="60" w:line="240" w:lineRule="auto"/>
              <w:ind w:left="487"/>
              <w:jc w:val="both"/>
              <w:rPr>
                <w:rFonts w:eastAsia="Calibri"/>
                <w:sz w:val="16"/>
                <w:szCs w:val="16"/>
                <w:lang w:val="es-NI" w:eastAsia="es-SV"/>
              </w:rPr>
            </w:pPr>
            <w:r w:rsidRPr="006E25E0">
              <w:rPr>
                <w:rFonts w:eastAsia="Calibri"/>
                <w:sz w:val="16"/>
                <w:szCs w:val="16"/>
                <w:lang w:val="es-NI" w:eastAsia="es-SV"/>
              </w:rPr>
              <w:t>Meta Año3: 33,025</w:t>
            </w:r>
          </w:p>
          <w:p w14:paraId="5683AF57" w14:textId="77777777" w:rsidR="0057038C" w:rsidRPr="006E25E0" w:rsidRDefault="0057038C" w:rsidP="0057038C">
            <w:pPr>
              <w:spacing w:after="0" w:line="240" w:lineRule="auto"/>
              <w:ind w:left="178"/>
              <w:rPr>
                <w:rFonts w:eastAsia="Times New Roman"/>
                <w:color w:val="000000"/>
                <w:sz w:val="16"/>
                <w:szCs w:val="16"/>
                <w:lang w:val="es-NI" w:eastAsia="es-SV"/>
              </w:rPr>
            </w:pPr>
            <w:r w:rsidRPr="006E25E0">
              <w:rPr>
                <w:rFonts w:eastAsia="Times New Roman"/>
                <w:color w:val="000000"/>
                <w:sz w:val="16"/>
                <w:szCs w:val="16"/>
                <w:lang w:val="es-NI" w:eastAsia="es-SV"/>
              </w:rPr>
              <w:t>Para la población MTrans</w:t>
            </w:r>
          </w:p>
          <w:p w14:paraId="14EA7CAB" w14:textId="77777777" w:rsidR="0057038C" w:rsidRPr="006E25E0" w:rsidRDefault="0057038C" w:rsidP="0057038C">
            <w:pPr>
              <w:spacing w:after="0" w:line="240" w:lineRule="auto"/>
              <w:ind w:left="487"/>
              <w:rPr>
                <w:rFonts w:eastAsia="Times New Roman"/>
                <w:color w:val="000000"/>
                <w:sz w:val="16"/>
                <w:szCs w:val="16"/>
                <w:lang w:val="es-NI" w:eastAsia="es-SV"/>
              </w:rPr>
            </w:pPr>
            <w:r w:rsidRPr="006E25E0">
              <w:rPr>
                <w:rFonts w:eastAsia="Times New Roman"/>
                <w:color w:val="000000"/>
                <w:sz w:val="16"/>
                <w:szCs w:val="16"/>
                <w:lang w:val="es-NI" w:eastAsia="es-SV"/>
              </w:rPr>
              <w:t>Meta Año1: 1,709</w:t>
            </w:r>
          </w:p>
          <w:p w14:paraId="02BD5A5B" w14:textId="77777777" w:rsidR="0057038C" w:rsidRPr="006E25E0" w:rsidRDefault="0057038C" w:rsidP="0057038C">
            <w:pPr>
              <w:spacing w:after="0" w:line="240" w:lineRule="auto"/>
              <w:ind w:left="487"/>
              <w:rPr>
                <w:rFonts w:eastAsia="Times New Roman"/>
                <w:color w:val="000000"/>
                <w:sz w:val="16"/>
                <w:szCs w:val="16"/>
                <w:lang w:val="es-NI" w:eastAsia="es-SV"/>
              </w:rPr>
            </w:pPr>
            <w:r w:rsidRPr="006E25E0">
              <w:rPr>
                <w:rFonts w:eastAsia="Times New Roman"/>
                <w:color w:val="000000"/>
                <w:sz w:val="16"/>
                <w:szCs w:val="16"/>
                <w:lang w:val="es-NI" w:eastAsia="es-SV"/>
              </w:rPr>
              <w:t>Meta Año2: 1,729</w:t>
            </w:r>
          </w:p>
          <w:p w14:paraId="35400B4F" w14:textId="77777777" w:rsidR="0057038C" w:rsidRPr="006E25E0" w:rsidRDefault="0057038C" w:rsidP="0057038C">
            <w:pPr>
              <w:spacing w:after="60" w:line="240" w:lineRule="auto"/>
              <w:ind w:left="487"/>
              <w:jc w:val="both"/>
              <w:rPr>
                <w:rFonts w:eastAsia="Times New Roman"/>
                <w:color w:val="000000"/>
                <w:sz w:val="16"/>
                <w:szCs w:val="16"/>
                <w:lang w:val="es-NI" w:eastAsia="es-SV"/>
              </w:rPr>
            </w:pPr>
            <w:r w:rsidRPr="006E25E0">
              <w:rPr>
                <w:rFonts w:eastAsia="Times New Roman"/>
                <w:color w:val="000000"/>
                <w:sz w:val="16"/>
                <w:szCs w:val="16"/>
                <w:lang w:val="es-NI" w:eastAsia="es-SV"/>
              </w:rPr>
              <w:t>Meta Año3: 1,749</w:t>
            </w:r>
          </w:p>
          <w:p w14:paraId="74FE9CA8" w14:textId="77777777" w:rsidR="0057038C" w:rsidRPr="006E25E0" w:rsidRDefault="0057038C" w:rsidP="0057038C">
            <w:pPr>
              <w:spacing w:after="0" w:line="240" w:lineRule="auto"/>
              <w:ind w:left="178"/>
              <w:rPr>
                <w:rFonts w:eastAsia="Times New Roman"/>
                <w:color w:val="000000"/>
                <w:sz w:val="16"/>
                <w:szCs w:val="16"/>
                <w:lang w:val="es-NI" w:eastAsia="es-SV"/>
              </w:rPr>
            </w:pPr>
            <w:r w:rsidRPr="006E25E0">
              <w:rPr>
                <w:rFonts w:eastAsia="Times New Roman"/>
                <w:color w:val="000000"/>
                <w:sz w:val="16"/>
                <w:szCs w:val="16"/>
                <w:lang w:val="es-NI" w:eastAsia="es-SV"/>
              </w:rPr>
              <w:t>Para la población MTS</w:t>
            </w:r>
          </w:p>
          <w:p w14:paraId="66CCCA65" w14:textId="77777777" w:rsidR="0057038C" w:rsidRPr="006E25E0" w:rsidRDefault="0057038C" w:rsidP="0057038C">
            <w:pPr>
              <w:spacing w:after="0" w:line="240" w:lineRule="auto"/>
              <w:ind w:left="461"/>
              <w:jc w:val="both"/>
              <w:rPr>
                <w:rFonts w:eastAsia="Calibri"/>
                <w:sz w:val="16"/>
                <w:szCs w:val="16"/>
                <w:lang w:val="es-NI" w:eastAsia="es-SV"/>
              </w:rPr>
            </w:pPr>
            <w:r w:rsidRPr="006E25E0">
              <w:rPr>
                <w:rFonts w:eastAsia="Calibri"/>
                <w:sz w:val="16"/>
                <w:szCs w:val="16"/>
                <w:lang w:val="es-NI" w:eastAsia="es-SV"/>
              </w:rPr>
              <w:t xml:space="preserve">Meta Año1: 15,400 </w:t>
            </w:r>
          </w:p>
          <w:p w14:paraId="597D7E26" w14:textId="77777777" w:rsidR="0057038C" w:rsidRPr="006E25E0" w:rsidRDefault="0057038C" w:rsidP="0057038C">
            <w:pPr>
              <w:spacing w:after="0" w:line="240" w:lineRule="auto"/>
              <w:ind w:left="461"/>
              <w:jc w:val="both"/>
              <w:rPr>
                <w:rFonts w:eastAsia="Calibri"/>
                <w:sz w:val="16"/>
                <w:szCs w:val="16"/>
                <w:lang w:val="es-NI" w:eastAsia="es-SV"/>
              </w:rPr>
            </w:pPr>
            <w:r w:rsidRPr="006E25E0">
              <w:rPr>
                <w:rFonts w:eastAsia="Calibri"/>
                <w:sz w:val="16"/>
                <w:szCs w:val="16"/>
                <w:lang w:val="es-NI" w:eastAsia="es-SV"/>
              </w:rPr>
              <w:t>Meta Año2: 17,500</w:t>
            </w:r>
          </w:p>
          <w:p w14:paraId="3E5D6281" w14:textId="77777777" w:rsidR="0057038C" w:rsidRPr="006E25E0" w:rsidRDefault="0057038C" w:rsidP="0057038C">
            <w:pPr>
              <w:spacing w:after="60" w:line="240" w:lineRule="auto"/>
              <w:ind w:left="461"/>
              <w:jc w:val="both"/>
              <w:rPr>
                <w:rFonts w:eastAsia="Calibri"/>
                <w:sz w:val="16"/>
                <w:szCs w:val="16"/>
                <w:lang w:val="es-NI" w:eastAsia="es-SV"/>
              </w:rPr>
            </w:pPr>
            <w:r w:rsidRPr="006E25E0">
              <w:rPr>
                <w:rFonts w:eastAsia="Calibri"/>
                <w:sz w:val="16"/>
                <w:szCs w:val="16"/>
                <w:lang w:val="es-NI" w:eastAsia="es-SV"/>
              </w:rPr>
              <w:t>Meta Año3: 19,500</w:t>
            </w:r>
          </w:p>
          <w:p w14:paraId="1F98BB84" w14:textId="77777777" w:rsidR="0057038C" w:rsidRDefault="0057038C" w:rsidP="0057038C">
            <w:pPr>
              <w:spacing w:line="240" w:lineRule="auto"/>
              <w:rPr>
                <w:rFonts w:eastAsia="Calibri"/>
                <w:sz w:val="16"/>
                <w:szCs w:val="16"/>
                <w:lang w:val="es-NI" w:eastAsia="es-SV"/>
              </w:rPr>
            </w:pPr>
            <w:r w:rsidRPr="006E25E0">
              <w:rPr>
                <w:rFonts w:eastAsia="Calibri"/>
                <w:sz w:val="16"/>
                <w:szCs w:val="16"/>
                <w:lang w:val="es-NI" w:eastAsia="es-SV"/>
              </w:rPr>
              <w:t>Para la población HSH, las metas 2022 al 2024 están sujetas a la aprobación del presupuesto de PEPFAR, estas serán descontadas del total de la meta nacional. Actualmente el presupuesto está trabajado con el supuesto de 8,885 paquetes de prevención cubiertos por PEPFAR de la meta total del marco de desempeño.</w:t>
            </w:r>
          </w:p>
          <w:p w14:paraId="415E89D3" w14:textId="77777777" w:rsidR="0057038C" w:rsidRPr="006E25E0" w:rsidRDefault="0057038C" w:rsidP="0057038C">
            <w:pPr>
              <w:spacing w:after="60" w:line="240" w:lineRule="auto"/>
              <w:rPr>
                <w:rFonts w:eastAsia="Calibri"/>
                <w:sz w:val="16"/>
                <w:szCs w:val="16"/>
                <w:lang w:val="es-NI" w:eastAsia="es-SV"/>
              </w:rPr>
            </w:pPr>
            <w:r>
              <w:rPr>
                <w:rFonts w:eastAsia="Calibri"/>
                <w:sz w:val="16"/>
                <w:szCs w:val="16"/>
                <w:lang w:val="es-NI" w:eastAsia="es-SV"/>
              </w:rPr>
              <w:t>Se espera también que el uso de condones aumente, sobre todo para HSH y Mujeres Trans.</w:t>
            </w:r>
          </w:p>
          <w:p w14:paraId="62DA3972" w14:textId="77777777" w:rsidR="0057038C" w:rsidRPr="006E25E0" w:rsidRDefault="0057038C" w:rsidP="0057038C">
            <w:pPr>
              <w:spacing w:after="0" w:line="240" w:lineRule="auto"/>
              <w:rPr>
                <w:rFonts w:eastAsia="Calibri"/>
                <w:sz w:val="16"/>
                <w:szCs w:val="16"/>
                <w:lang w:val="es-NI"/>
              </w:rPr>
            </w:pPr>
          </w:p>
        </w:tc>
        <w:tc>
          <w:tcPr>
            <w:tcW w:w="2156" w:type="dxa"/>
          </w:tcPr>
          <w:p w14:paraId="68DAA36D" w14:textId="77777777" w:rsidR="0057038C" w:rsidRPr="00576187" w:rsidRDefault="0057038C" w:rsidP="00617951">
            <w:pPr>
              <w:pStyle w:val="ListParagraph"/>
              <w:numPr>
                <w:ilvl w:val="0"/>
                <w:numId w:val="55"/>
              </w:numPr>
              <w:spacing w:after="60" w:line="240" w:lineRule="auto"/>
              <w:ind w:left="299"/>
              <w:jc w:val="both"/>
              <w:rPr>
                <w:rFonts w:eastAsia="Times New Roman"/>
                <w:b/>
                <w:sz w:val="16"/>
                <w:szCs w:val="16"/>
                <w:lang w:val="es-NI" w:eastAsia="es-SV"/>
              </w:rPr>
            </w:pPr>
            <w:r w:rsidRPr="00576187">
              <w:rPr>
                <w:rFonts w:eastAsia="Times New Roman"/>
                <w:b/>
                <w:sz w:val="16"/>
                <w:szCs w:val="16"/>
                <w:lang w:val="es-NI" w:eastAsia="es-SV"/>
              </w:rPr>
              <w:t>PrEP</w:t>
            </w:r>
          </w:p>
          <w:p w14:paraId="26BC84B6" w14:textId="37EE6944" w:rsidR="0057038C" w:rsidRDefault="00AE79D5" w:rsidP="0057038C">
            <w:pPr>
              <w:spacing w:line="240" w:lineRule="auto"/>
              <w:jc w:val="right"/>
              <w:rPr>
                <w:rFonts w:eastAsia="Calibri"/>
                <w:sz w:val="16"/>
                <w:szCs w:val="16"/>
                <w:lang w:val="es-NI" w:eastAsia="es-SV"/>
              </w:rPr>
            </w:pPr>
            <w:r w:rsidRPr="00EF732D">
              <w:rPr>
                <w:rFonts w:eastAsia="Times New Roman"/>
                <w:b/>
                <w:sz w:val="16"/>
                <w:szCs w:val="16"/>
                <w:lang w:val="es-NI" w:eastAsia="es-SV"/>
              </w:rPr>
              <w:t>$1,096,189</w:t>
            </w:r>
          </w:p>
          <w:p w14:paraId="293BF41D" w14:textId="77777777" w:rsidR="0057038C" w:rsidRPr="001E0232" w:rsidRDefault="0057038C" w:rsidP="00617951">
            <w:pPr>
              <w:pStyle w:val="ListParagraph"/>
              <w:numPr>
                <w:ilvl w:val="0"/>
                <w:numId w:val="55"/>
              </w:numPr>
              <w:spacing w:line="240" w:lineRule="auto"/>
              <w:ind w:left="295" w:hanging="357"/>
              <w:contextualSpacing w:val="0"/>
              <w:jc w:val="both"/>
              <w:rPr>
                <w:rFonts w:eastAsia="Calibri"/>
                <w:b/>
                <w:bCs/>
                <w:sz w:val="16"/>
                <w:szCs w:val="16"/>
                <w:lang w:val="es-NI" w:eastAsia="es-SV"/>
              </w:rPr>
            </w:pPr>
            <w:r w:rsidRPr="00E92966">
              <w:rPr>
                <w:rFonts w:eastAsia="Calibri"/>
                <w:b/>
                <w:bCs/>
                <w:sz w:val="16"/>
                <w:szCs w:val="16"/>
                <w:lang w:val="es-NI" w:eastAsia="es-SV"/>
              </w:rPr>
              <w:t xml:space="preserve"> </w:t>
            </w:r>
            <w:r w:rsidRPr="00E92966">
              <w:rPr>
                <w:rFonts w:eastAsia="Calibri"/>
                <w:sz w:val="16"/>
                <w:szCs w:val="16"/>
                <w:lang w:val="es-NI" w:eastAsia="es-SV"/>
              </w:rPr>
              <w:t>Intervenciones para cambio de comportamiento:</w:t>
            </w:r>
          </w:p>
          <w:p w14:paraId="7C10C6A3" w14:textId="018FB584" w:rsidR="0057038C" w:rsidRPr="001E0232" w:rsidRDefault="00AE79D5" w:rsidP="0057038C">
            <w:pPr>
              <w:spacing w:line="240" w:lineRule="auto"/>
              <w:ind w:left="-62"/>
              <w:jc w:val="right"/>
              <w:rPr>
                <w:rFonts w:eastAsia="Calibri"/>
                <w:b/>
                <w:bCs/>
                <w:sz w:val="16"/>
                <w:szCs w:val="16"/>
                <w:lang w:val="es-NI" w:eastAsia="es-SV"/>
              </w:rPr>
            </w:pPr>
            <w:r w:rsidRPr="00EF732D">
              <w:rPr>
                <w:rFonts w:eastAsia="Calibri"/>
                <w:b/>
                <w:bCs/>
                <w:sz w:val="16"/>
                <w:szCs w:val="16"/>
                <w:lang w:val="es-NI" w:eastAsia="es-SV"/>
              </w:rPr>
              <w:t>$2,898,702</w:t>
            </w:r>
          </w:p>
          <w:p w14:paraId="2AA14DB5" w14:textId="77777777" w:rsidR="0057038C" w:rsidRPr="001E0232" w:rsidRDefault="0057038C" w:rsidP="00617951">
            <w:pPr>
              <w:pStyle w:val="ListParagraph"/>
              <w:numPr>
                <w:ilvl w:val="0"/>
                <w:numId w:val="61"/>
              </w:numPr>
              <w:spacing w:after="60" w:line="240" w:lineRule="auto"/>
              <w:ind w:left="299"/>
              <w:jc w:val="both"/>
              <w:rPr>
                <w:rFonts w:eastAsia="Calibri"/>
                <w:sz w:val="16"/>
                <w:szCs w:val="16"/>
                <w:lang w:val="es-NI" w:eastAsia="es-SV"/>
              </w:rPr>
            </w:pPr>
            <w:r w:rsidRPr="001E0232">
              <w:rPr>
                <w:rFonts w:eastAsia="Calibri"/>
                <w:sz w:val="16"/>
                <w:szCs w:val="16"/>
                <w:lang w:val="es-NI" w:eastAsia="es-SV"/>
              </w:rPr>
              <w:t>Programa de preservativos y lubricantes</w:t>
            </w:r>
          </w:p>
          <w:p w14:paraId="092EE137" w14:textId="57972AE4" w:rsidR="0057038C" w:rsidRDefault="00AE79D5" w:rsidP="0057038C">
            <w:pPr>
              <w:spacing w:line="240" w:lineRule="auto"/>
              <w:jc w:val="right"/>
              <w:rPr>
                <w:rFonts w:eastAsia="Calibri"/>
                <w:b/>
                <w:bCs/>
                <w:sz w:val="16"/>
                <w:szCs w:val="16"/>
                <w:lang w:val="es-NI" w:eastAsia="es-SV"/>
              </w:rPr>
            </w:pPr>
            <w:r w:rsidRPr="00EF732D">
              <w:rPr>
                <w:rFonts w:eastAsia="Calibri"/>
                <w:b/>
                <w:bCs/>
                <w:sz w:val="16"/>
                <w:szCs w:val="16"/>
                <w:lang w:val="es-NI" w:eastAsia="es-SV"/>
              </w:rPr>
              <w:t>$886,710</w:t>
            </w:r>
          </w:p>
          <w:p w14:paraId="6682A0E4" w14:textId="77777777" w:rsidR="0057038C" w:rsidRPr="001E0232" w:rsidRDefault="0057038C" w:rsidP="00617951">
            <w:pPr>
              <w:pStyle w:val="ListParagraph"/>
              <w:numPr>
                <w:ilvl w:val="0"/>
                <w:numId w:val="61"/>
              </w:numPr>
              <w:spacing w:after="60" w:line="240" w:lineRule="auto"/>
              <w:ind w:left="299"/>
              <w:jc w:val="both"/>
              <w:rPr>
                <w:rFonts w:eastAsia="Calibri"/>
                <w:sz w:val="16"/>
                <w:szCs w:val="16"/>
                <w:lang w:val="es-NI" w:eastAsia="es-SV"/>
              </w:rPr>
            </w:pPr>
            <w:r w:rsidRPr="001E0232">
              <w:rPr>
                <w:rFonts w:eastAsia="Calibri"/>
                <w:sz w:val="16"/>
                <w:szCs w:val="16"/>
                <w:lang w:val="es-NI" w:eastAsia="es-SV"/>
              </w:rPr>
              <w:t>Servicios de salud sexual y reproductiva, incluyendo las ITS</w:t>
            </w:r>
          </w:p>
          <w:p w14:paraId="3C634796" w14:textId="0EAB519F" w:rsidR="0057038C" w:rsidRDefault="00AE79D5" w:rsidP="0057038C">
            <w:pPr>
              <w:spacing w:after="60" w:line="240" w:lineRule="auto"/>
              <w:jc w:val="right"/>
              <w:rPr>
                <w:rFonts w:eastAsia="Calibri"/>
                <w:b/>
                <w:bCs/>
                <w:sz w:val="16"/>
                <w:szCs w:val="16"/>
                <w:lang w:val="es-NI" w:eastAsia="es-SV"/>
              </w:rPr>
            </w:pPr>
            <w:r w:rsidRPr="00EF732D">
              <w:rPr>
                <w:rFonts w:eastAsia="Calibri"/>
                <w:b/>
                <w:bCs/>
                <w:sz w:val="16"/>
                <w:szCs w:val="16"/>
                <w:lang w:val="es-NI" w:eastAsia="es-SV"/>
              </w:rPr>
              <w:t>$1,391,040</w:t>
            </w:r>
          </w:p>
          <w:p w14:paraId="47BE0987" w14:textId="77777777" w:rsidR="0057038C" w:rsidRDefault="0057038C" w:rsidP="00617951">
            <w:pPr>
              <w:pStyle w:val="ListParagraph"/>
              <w:numPr>
                <w:ilvl w:val="0"/>
                <w:numId w:val="55"/>
              </w:numPr>
              <w:spacing w:after="60" w:line="240" w:lineRule="auto"/>
              <w:ind w:left="299"/>
              <w:jc w:val="both"/>
              <w:rPr>
                <w:rFonts w:eastAsia="Calibri"/>
                <w:sz w:val="16"/>
                <w:szCs w:val="16"/>
                <w:lang w:val="es-NI" w:eastAsia="es-SV"/>
              </w:rPr>
            </w:pPr>
          </w:p>
          <w:p w14:paraId="6080572F" w14:textId="77777777" w:rsidR="0057038C" w:rsidRPr="00F20A00" w:rsidRDefault="0057038C" w:rsidP="0057038C">
            <w:pPr>
              <w:spacing w:after="60" w:line="240" w:lineRule="auto"/>
              <w:jc w:val="both"/>
              <w:rPr>
                <w:rFonts w:eastAsia="Calibri"/>
                <w:sz w:val="16"/>
                <w:szCs w:val="16"/>
                <w:lang w:val="es-NI" w:eastAsia="es-SV"/>
              </w:rPr>
            </w:pPr>
            <w:r w:rsidRPr="00F20A00">
              <w:rPr>
                <w:rFonts w:eastAsia="Calibri"/>
                <w:sz w:val="16"/>
                <w:szCs w:val="16"/>
                <w:lang w:val="es-NI" w:eastAsia="es-SV"/>
              </w:rPr>
              <w:t>Prevención y manejo de coinfecciones y comorbilidades (prevención):</w:t>
            </w:r>
          </w:p>
          <w:p w14:paraId="369D896E" w14:textId="328496DE" w:rsidR="0057038C" w:rsidRPr="006E25E0" w:rsidRDefault="00AE79D5" w:rsidP="0057038C">
            <w:pPr>
              <w:spacing w:after="60" w:line="240" w:lineRule="auto"/>
              <w:jc w:val="right"/>
              <w:rPr>
                <w:rFonts w:eastAsia="Calibri"/>
                <w:b/>
                <w:bCs/>
                <w:sz w:val="16"/>
                <w:szCs w:val="16"/>
                <w:lang w:val="es-NI" w:eastAsia="es-SV"/>
              </w:rPr>
            </w:pPr>
            <w:r w:rsidRPr="00EF732D">
              <w:rPr>
                <w:rFonts w:eastAsia="Calibri"/>
                <w:b/>
                <w:bCs/>
                <w:sz w:val="16"/>
                <w:szCs w:val="16"/>
                <w:lang w:val="es-NI" w:eastAsia="es-SV"/>
              </w:rPr>
              <w:t>$156,502</w:t>
            </w:r>
          </w:p>
        </w:tc>
      </w:tr>
      <w:tr w:rsidR="0057038C" w:rsidRPr="00CE0B65" w14:paraId="160CB6C5" w14:textId="77777777" w:rsidTr="0057038C">
        <w:tc>
          <w:tcPr>
            <w:tcW w:w="715" w:type="dxa"/>
            <w:vMerge/>
            <w:shd w:val="clear" w:color="auto" w:fill="auto"/>
            <w:vAlign w:val="center"/>
          </w:tcPr>
          <w:p w14:paraId="357245B7" w14:textId="77777777" w:rsidR="0057038C" w:rsidRPr="006E25E0" w:rsidRDefault="0057038C" w:rsidP="0057038C">
            <w:pPr>
              <w:spacing w:after="0" w:line="240" w:lineRule="auto"/>
              <w:jc w:val="center"/>
              <w:rPr>
                <w:rFonts w:eastAsia="Calibri"/>
                <w:b/>
                <w:sz w:val="16"/>
                <w:szCs w:val="16"/>
                <w:lang w:val="es-NI" w:eastAsia="es-BO"/>
              </w:rPr>
            </w:pPr>
          </w:p>
        </w:tc>
        <w:tc>
          <w:tcPr>
            <w:tcW w:w="4175" w:type="dxa"/>
            <w:shd w:val="clear" w:color="auto" w:fill="auto"/>
          </w:tcPr>
          <w:p w14:paraId="7BE954EB" w14:textId="77777777" w:rsidR="0057038C" w:rsidRDefault="0057038C" w:rsidP="00617951">
            <w:pPr>
              <w:pStyle w:val="ListParagraph"/>
              <w:numPr>
                <w:ilvl w:val="0"/>
                <w:numId w:val="62"/>
              </w:numPr>
              <w:spacing w:after="0" w:line="240" w:lineRule="auto"/>
              <w:contextualSpacing w:val="0"/>
              <w:jc w:val="both"/>
              <w:rPr>
                <w:rFonts w:eastAsia="Times New Roman"/>
                <w:b/>
                <w:i/>
                <w:sz w:val="16"/>
                <w:szCs w:val="16"/>
                <w:lang w:val="es-NI" w:eastAsia="es-SV"/>
              </w:rPr>
            </w:pPr>
            <w:r w:rsidRPr="006E25E0">
              <w:rPr>
                <w:rFonts w:eastAsia="Times New Roman"/>
                <w:b/>
                <w:i/>
                <w:sz w:val="16"/>
                <w:szCs w:val="16"/>
                <w:lang w:val="es-NI" w:eastAsia="es-SV"/>
              </w:rPr>
              <w:t>Abordaje del estigma, la discriminación y la violencia (PC)</w:t>
            </w:r>
          </w:p>
          <w:p w14:paraId="416BBA99" w14:textId="77777777" w:rsidR="0057038C" w:rsidRPr="001E0232" w:rsidRDefault="0057038C" w:rsidP="0057038C">
            <w:pPr>
              <w:spacing w:line="240" w:lineRule="auto"/>
              <w:ind w:left="1020"/>
              <w:jc w:val="both"/>
              <w:rPr>
                <w:rFonts w:eastAsia="Times New Roman"/>
                <w:i/>
                <w:sz w:val="16"/>
                <w:szCs w:val="16"/>
                <w:lang w:val="es-NI" w:eastAsia="es-SV"/>
              </w:rPr>
            </w:pPr>
            <w:r w:rsidRPr="001E0232">
              <w:rPr>
                <w:rFonts w:eastAsia="Calibri"/>
                <w:i/>
                <w:iCs/>
                <w:sz w:val="16"/>
                <w:szCs w:val="16"/>
                <w:lang w:val="es-NI" w:eastAsia="es-BO"/>
              </w:rPr>
              <w:t xml:space="preserve">Población prioritaria: </w:t>
            </w:r>
            <w:r w:rsidRPr="001E0232">
              <w:rPr>
                <w:rFonts w:eastAsia="Times New Roman"/>
                <w:i/>
                <w:sz w:val="16"/>
                <w:szCs w:val="16"/>
                <w:lang w:val="es-NI" w:eastAsia="es-SV"/>
              </w:rPr>
              <w:t>HSH, Mujeres Trans, MTS, PPL, LGBTI, jóvenes de poblaciones clave</w:t>
            </w:r>
          </w:p>
        </w:tc>
        <w:tc>
          <w:tcPr>
            <w:tcW w:w="6007" w:type="dxa"/>
            <w:shd w:val="clear" w:color="auto" w:fill="auto"/>
          </w:tcPr>
          <w:p w14:paraId="5CE269E7" w14:textId="77777777" w:rsidR="0057038C" w:rsidRPr="001E0232" w:rsidRDefault="0057038C" w:rsidP="0057038C">
            <w:pPr>
              <w:spacing w:after="60" w:line="240" w:lineRule="auto"/>
              <w:jc w:val="both"/>
              <w:rPr>
                <w:rFonts w:eastAsia="Calibri"/>
                <w:sz w:val="16"/>
                <w:szCs w:val="16"/>
                <w:lang w:val="es-NI" w:eastAsia="es-BO"/>
              </w:rPr>
            </w:pPr>
            <w:r w:rsidRPr="001E0232">
              <w:rPr>
                <w:rFonts w:eastAsia="Calibri"/>
                <w:sz w:val="16"/>
                <w:szCs w:val="16"/>
                <w:lang w:val="es-NI" w:eastAsia="es-BO"/>
              </w:rPr>
              <w:t>Como parte del trabajo con los entornos favorables y para abordar particularmente la temática del estigma y discriminación y la violencia hacia las Poblaciones Claves varias intervenciones están contempladas por el proyecto que buscan enfrentar el tema en varios niveles.</w:t>
            </w:r>
          </w:p>
          <w:p w14:paraId="7505B974" w14:textId="77777777" w:rsidR="0057038C" w:rsidRPr="001E0232" w:rsidRDefault="0057038C" w:rsidP="0057038C">
            <w:pPr>
              <w:spacing w:after="60" w:line="240" w:lineRule="auto"/>
              <w:jc w:val="both"/>
              <w:rPr>
                <w:rFonts w:eastAsia="Calibri"/>
                <w:sz w:val="16"/>
                <w:szCs w:val="16"/>
                <w:lang w:val="es-NI" w:eastAsia="es-BO"/>
              </w:rPr>
            </w:pPr>
            <w:r w:rsidRPr="001E0232">
              <w:rPr>
                <w:rFonts w:eastAsia="Calibri"/>
                <w:sz w:val="16"/>
                <w:szCs w:val="16"/>
                <w:lang w:val="es-NI" w:eastAsia="es-BO"/>
              </w:rPr>
              <w:t xml:space="preserve">Se propone continuar impulsando el trabajo de las mesas de diversidad sexual, y de trabajo sexual, para apoyar los avances en la propuesta de ley de identidad de población Trans, y en la propuesta de ley del trabajo sexual población MTS, las cuales brindarían un marco legal más favorable para la disminución del estigma y la discriminación que viven estas poblaciones en el país. </w:t>
            </w:r>
          </w:p>
          <w:p w14:paraId="77A87E9D" w14:textId="77777777" w:rsidR="0057038C" w:rsidRPr="001E0232" w:rsidRDefault="0057038C" w:rsidP="0057038C">
            <w:pPr>
              <w:spacing w:after="60" w:line="240" w:lineRule="auto"/>
              <w:jc w:val="both"/>
              <w:rPr>
                <w:rFonts w:eastAsia="Calibri"/>
                <w:sz w:val="16"/>
                <w:szCs w:val="16"/>
                <w:lang w:val="es-NI" w:eastAsia="es-BO"/>
              </w:rPr>
            </w:pPr>
            <w:r w:rsidRPr="001E0232">
              <w:rPr>
                <w:rFonts w:eastAsia="Calibri"/>
                <w:sz w:val="16"/>
                <w:szCs w:val="16"/>
                <w:lang w:val="es-NI" w:eastAsia="es-BO"/>
              </w:rPr>
              <w:t>De forma comprensiva se buscará dar impulso a generar entornos más favorables para la reducción de estigma y la discriminación y la violencia asociada al VIH y las poblaciones claves, a través de eventos educativos, de sensibilización y de incidencia multisectorial con actores de diversas instancias gubernamentales claves, con actores claves no-gubernamentales de las zonas de intervención, al igual que con las Unidades Comunitarias de Salud y actores claves relacionados. En atención a las medidas de bioseguridad por la pandemia de COVID-19 las capacitaciones, reuniones, talleres se realizarán de forma presencial o virtual, minimizando las actividades presenciales dado que siempre es necesario abordar en conjunto tomas de decisiones, prácticas y desarrollo de habilidades.</w:t>
            </w:r>
          </w:p>
          <w:p w14:paraId="160E4765" w14:textId="2537DD11" w:rsidR="0057038C" w:rsidRPr="001E0232" w:rsidRDefault="0057038C" w:rsidP="0057038C">
            <w:pPr>
              <w:spacing w:after="60" w:line="240" w:lineRule="auto"/>
              <w:jc w:val="both"/>
              <w:rPr>
                <w:rFonts w:eastAsia="Calibri"/>
                <w:sz w:val="16"/>
                <w:szCs w:val="16"/>
                <w:lang w:val="es-NI" w:eastAsia="es-BO"/>
              </w:rPr>
            </w:pPr>
            <w:r w:rsidRPr="001E0232">
              <w:rPr>
                <w:rFonts w:eastAsia="Calibri"/>
                <w:sz w:val="16"/>
                <w:szCs w:val="16"/>
                <w:lang w:val="es-NI" w:eastAsia="es-BO"/>
              </w:rPr>
              <w:t xml:space="preserve">Finalmente, se estará brindando atención integral ante casos de violencia por género u otro determinante de población LGBTI, MTS, </w:t>
            </w:r>
            <w:r w:rsidR="00CA7ECE">
              <w:rPr>
                <w:rFonts w:eastAsia="Calibri"/>
                <w:sz w:val="16"/>
                <w:szCs w:val="16"/>
                <w:lang w:val="es-NI" w:eastAsia="es-BO"/>
              </w:rPr>
              <w:t>personas con VIH</w:t>
            </w:r>
            <w:r w:rsidRPr="001E0232">
              <w:rPr>
                <w:rFonts w:eastAsia="Calibri"/>
                <w:sz w:val="16"/>
                <w:szCs w:val="16"/>
                <w:lang w:val="es-NI" w:eastAsia="es-BO"/>
              </w:rPr>
              <w:t>, para al menos 12 casos anuales brindando atención legal, psicológica y de asistencia humanitaria acorde a cada caso en particular.</w:t>
            </w:r>
          </w:p>
          <w:p w14:paraId="3CD5B8FF" w14:textId="77777777" w:rsidR="0057038C" w:rsidRPr="001E0232" w:rsidRDefault="0057038C" w:rsidP="0057038C">
            <w:pPr>
              <w:spacing w:after="60" w:line="240" w:lineRule="auto"/>
              <w:jc w:val="both"/>
              <w:rPr>
                <w:rFonts w:eastAsia="Calibri"/>
                <w:sz w:val="16"/>
                <w:szCs w:val="16"/>
                <w:lang w:val="es-NI" w:eastAsia="es-BO"/>
              </w:rPr>
            </w:pPr>
            <w:r w:rsidRPr="001E0232">
              <w:rPr>
                <w:rFonts w:eastAsia="Calibri"/>
                <w:sz w:val="16"/>
                <w:szCs w:val="16"/>
                <w:lang w:val="pt-PT" w:eastAsia="es-BO"/>
              </w:rPr>
              <w:t>Para esta intervencion, s</w:t>
            </w:r>
            <w:r w:rsidRPr="001E0232">
              <w:rPr>
                <w:rFonts w:eastAsia="Calibri"/>
                <w:sz w:val="16"/>
                <w:szCs w:val="16"/>
                <w:lang w:val="es-NI" w:eastAsia="es-BO"/>
              </w:rPr>
              <w:t xml:space="preserve">e </w:t>
            </w:r>
            <w:r w:rsidRPr="001E0232">
              <w:rPr>
                <w:rFonts w:eastAsia="Calibri"/>
                <w:sz w:val="16"/>
                <w:szCs w:val="16"/>
                <w:lang w:val="pt-PT" w:eastAsia="es-BO"/>
              </w:rPr>
              <w:t>tabajara</w:t>
            </w:r>
            <w:r w:rsidRPr="001E0232">
              <w:rPr>
                <w:rFonts w:eastAsia="Calibri"/>
                <w:sz w:val="16"/>
                <w:szCs w:val="16"/>
                <w:lang w:val="es-NI" w:eastAsia="es-BO"/>
              </w:rPr>
              <w:t xml:space="preserve"> </w:t>
            </w:r>
            <w:r w:rsidRPr="001E0232">
              <w:rPr>
                <w:rFonts w:eastAsia="Calibri"/>
                <w:sz w:val="16"/>
                <w:szCs w:val="16"/>
                <w:lang w:val="pt-PT" w:eastAsia="es-BO"/>
              </w:rPr>
              <w:t xml:space="preserve">conjuntamente y de forma oportuna con la mesa Temática de DDHH y VIH con el acompañamiento de la PDDH. </w:t>
            </w:r>
          </w:p>
          <w:p w14:paraId="6E26D72A" w14:textId="77777777" w:rsidR="0057038C" w:rsidRPr="001E0232" w:rsidRDefault="0057038C" w:rsidP="0057038C">
            <w:pPr>
              <w:spacing w:before="120" w:after="60" w:line="240" w:lineRule="auto"/>
              <w:jc w:val="both"/>
              <w:rPr>
                <w:rFonts w:eastAsia="Calibri"/>
                <w:b/>
                <w:bCs/>
                <w:sz w:val="16"/>
                <w:szCs w:val="16"/>
                <w:lang w:val="es-NI" w:eastAsia="es-BO"/>
              </w:rPr>
            </w:pPr>
            <w:r w:rsidRPr="00CF71E0">
              <w:rPr>
                <w:rFonts w:eastAsia="Times New Roman"/>
                <w:b/>
                <w:bCs/>
                <w:sz w:val="16"/>
                <w:szCs w:val="16"/>
                <w:lang w:val="es-NI" w:eastAsia="es-SV"/>
              </w:rPr>
              <w:t>Desafíos, obstáculos e inequidades</w:t>
            </w:r>
            <w:r w:rsidRPr="00CF71E0">
              <w:rPr>
                <w:rFonts w:eastAsia="Times New Roman"/>
                <w:sz w:val="16"/>
                <w:szCs w:val="16"/>
                <w:lang w:val="es-NI" w:eastAsia="es-SV"/>
              </w:rPr>
              <w:t>:</w:t>
            </w:r>
            <w:r>
              <w:rPr>
                <w:rFonts w:eastAsia="Times New Roman"/>
                <w:sz w:val="16"/>
                <w:szCs w:val="16"/>
                <w:lang w:val="es-NI" w:eastAsia="es-SV"/>
              </w:rPr>
              <w:t xml:space="preserve"> </w:t>
            </w:r>
            <w:r w:rsidRPr="001E0232">
              <w:rPr>
                <w:rFonts w:eastAsia="Calibri"/>
                <w:sz w:val="16"/>
                <w:szCs w:val="16"/>
                <w:lang w:val="es-NI" w:eastAsia="es-BO"/>
              </w:rPr>
              <w:t>La auto discriminación y auto estigmatización por parte de la propia población y la persistencia del estigmatización y discriminación hacia estas poblaciones por la población general</w:t>
            </w:r>
          </w:p>
        </w:tc>
        <w:tc>
          <w:tcPr>
            <w:tcW w:w="2872" w:type="dxa"/>
            <w:shd w:val="clear" w:color="auto" w:fill="auto"/>
          </w:tcPr>
          <w:p w14:paraId="63195FDD" w14:textId="77777777" w:rsidR="0057038C" w:rsidRPr="001E0232" w:rsidRDefault="0057038C" w:rsidP="0057038C">
            <w:pPr>
              <w:spacing w:line="240" w:lineRule="auto"/>
              <w:jc w:val="both"/>
              <w:rPr>
                <w:rFonts w:eastAsia="Calibri"/>
                <w:sz w:val="16"/>
                <w:szCs w:val="16"/>
                <w:lang w:val="es-NI" w:eastAsia="es-BO"/>
              </w:rPr>
            </w:pPr>
            <w:r w:rsidRPr="001E0232">
              <w:rPr>
                <w:rFonts w:eastAsia="Calibri"/>
                <w:sz w:val="16"/>
                <w:szCs w:val="16"/>
                <w:lang w:val="es-NI" w:eastAsia="es-BO"/>
              </w:rPr>
              <w:t>Esta intervención no cuenta con un indicador particular, más aún se consideran estratégicas y necesarias para poder alcanzar las metas ambiciosas del país en materia de reducción de la prevalencia del VIH en el país.</w:t>
            </w:r>
          </w:p>
          <w:p w14:paraId="5F7F99FE" w14:textId="77777777" w:rsidR="0057038C" w:rsidRPr="001E0232" w:rsidRDefault="0057038C" w:rsidP="0057038C">
            <w:pPr>
              <w:spacing w:after="0" w:line="240" w:lineRule="auto"/>
              <w:jc w:val="both"/>
              <w:rPr>
                <w:rFonts w:eastAsia="Times New Roman"/>
                <w:b/>
                <w:bCs/>
                <w:sz w:val="16"/>
                <w:szCs w:val="16"/>
                <w:lang w:val="es-NI" w:eastAsia="es-SV"/>
              </w:rPr>
            </w:pPr>
            <w:r w:rsidRPr="001E0232">
              <w:rPr>
                <w:rFonts w:eastAsia="Calibri"/>
                <w:b/>
                <w:bCs/>
                <w:sz w:val="16"/>
                <w:szCs w:val="16"/>
                <w:lang w:val="es-NI" w:eastAsia="es-BO"/>
              </w:rPr>
              <w:t xml:space="preserve">Resultado esperado: </w:t>
            </w:r>
            <w:r w:rsidRPr="001E0232">
              <w:rPr>
                <w:rFonts w:eastAsia="Calibri"/>
                <w:sz w:val="16"/>
                <w:szCs w:val="16"/>
                <w:lang w:val="es-NI" w:eastAsia="es-BO"/>
              </w:rPr>
              <w:t>se espera disminuir el estigma y la discriminación y la violencia asociada al VIH y las poblaciones claves, visualizado en un futuro estudio INDEX, en el que se pueda incluir un segmento muestral de poblaciones clave.</w:t>
            </w:r>
          </w:p>
        </w:tc>
        <w:tc>
          <w:tcPr>
            <w:tcW w:w="2156" w:type="dxa"/>
          </w:tcPr>
          <w:p w14:paraId="3D439704" w14:textId="77777777" w:rsidR="0057038C" w:rsidRPr="00B1395C" w:rsidRDefault="0057038C" w:rsidP="0057038C">
            <w:pPr>
              <w:spacing w:after="0" w:line="240" w:lineRule="auto"/>
              <w:rPr>
                <w:rFonts w:eastAsia="Calibri"/>
                <w:sz w:val="16"/>
                <w:szCs w:val="16"/>
                <w:lang w:val="es-NI" w:eastAsia="es-BO"/>
              </w:rPr>
            </w:pPr>
            <w:r>
              <w:rPr>
                <w:rFonts w:eastAsia="Calibri"/>
                <w:sz w:val="16"/>
                <w:szCs w:val="16"/>
                <w:lang w:val="es-NI" w:eastAsia="es-BO"/>
              </w:rPr>
              <w:t>6. Abordaje del estigma, la discriminación y la violencia</w:t>
            </w:r>
          </w:p>
          <w:p w14:paraId="650543F3" w14:textId="77777777" w:rsidR="0057038C" w:rsidRPr="006E25E0" w:rsidRDefault="0057038C" w:rsidP="0057038C">
            <w:pPr>
              <w:spacing w:after="0" w:line="240" w:lineRule="auto"/>
              <w:jc w:val="right"/>
              <w:rPr>
                <w:rFonts w:eastAsia="Calibri"/>
                <w:b/>
                <w:bCs/>
                <w:sz w:val="16"/>
                <w:szCs w:val="16"/>
                <w:highlight w:val="yellow"/>
                <w:lang w:val="es-NI" w:eastAsia="es-BO"/>
              </w:rPr>
            </w:pPr>
            <w:r w:rsidRPr="006E25E0">
              <w:rPr>
                <w:rFonts w:eastAsia="Calibri"/>
                <w:b/>
                <w:bCs/>
                <w:sz w:val="16"/>
                <w:szCs w:val="16"/>
                <w:lang w:val="es-NI" w:eastAsia="es-BO"/>
              </w:rPr>
              <w:t>$</w:t>
            </w:r>
            <w:r>
              <w:rPr>
                <w:rFonts w:eastAsia="Calibri"/>
                <w:b/>
                <w:bCs/>
                <w:sz w:val="16"/>
                <w:szCs w:val="16"/>
                <w:lang w:val="es-NI" w:eastAsia="es-BO"/>
              </w:rPr>
              <w:t>46</w:t>
            </w:r>
            <w:r w:rsidRPr="006E25E0">
              <w:rPr>
                <w:rFonts w:eastAsia="Calibri"/>
                <w:b/>
                <w:bCs/>
                <w:sz w:val="16"/>
                <w:szCs w:val="16"/>
                <w:lang w:val="es-NI" w:eastAsia="es-BO"/>
              </w:rPr>
              <w:t>,</w:t>
            </w:r>
            <w:r>
              <w:rPr>
                <w:rFonts w:eastAsia="Calibri"/>
                <w:b/>
                <w:bCs/>
                <w:sz w:val="16"/>
                <w:szCs w:val="16"/>
                <w:lang w:val="es-NI" w:eastAsia="es-BO"/>
              </w:rPr>
              <w:t>500</w:t>
            </w:r>
          </w:p>
        </w:tc>
      </w:tr>
      <w:tr w:rsidR="0057038C" w:rsidRPr="00A56294" w14:paraId="4D73BCEF" w14:textId="77777777" w:rsidTr="0057038C">
        <w:tc>
          <w:tcPr>
            <w:tcW w:w="715" w:type="dxa"/>
            <w:vMerge/>
            <w:shd w:val="clear" w:color="auto" w:fill="auto"/>
            <w:vAlign w:val="center"/>
          </w:tcPr>
          <w:p w14:paraId="00CC4FDA" w14:textId="77777777" w:rsidR="0057038C" w:rsidRPr="006E25E0" w:rsidRDefault="0057038C" w:rsidP="0057038C">
            <w:pPr>
              <w:spacing w:after="0" w:line="240" w:lineRule="auto"/>
              <w:jc w:val="center"/>
              <w:rPr>
                <w:rFonts w:eastAsia="Calibri"/>
                <w:b/>
                <w:sz w:val="16"/>
                <w:szCs w:val="16"/>
                <w:lang w:val="es-NI" w:eastAsia="es-BO"/>
              </w:rPr>
            </w:pPr>
          </w:p>
        </w:tc>
        <w:tc>
          <w:tcPr>
            <w:tcW w:w="4175" w:type="dxa"/>
            <w:shd w:val="clear" w:color="auto" w:fill="auto"/>
          </w:tcPr>
          <w:p w14:paraId="39201F15" w14:textId="77777777" w:rsidR="0057038C" w:rsidRDefault="0057038C" w:rsidP="00617951">
            <w:pPr>
              <w:pStyle w:val="ListParagraph"/>
              <w:numPr>
                <w:ilvl w:val="0"/>
                <w:numId w:val="62"/>
              </w:numPr>
              <w:spacing w:line="240" w:lineRule="auto"/>
              <w:jc w:val="both"/>
              <w:rPr>
                <w:rFonts w:eastAsia="Times New Roman"/>
                <w:b/>
                <w:i/>
                <w:sz w:val="16"/>
                <w:szCs w:val="16"/>
                <w:lang w:val="es-NI" w:eastAsia="es-SV"/>
              </w:rPr>
            </w:pPr>
            <w:r w:rsidRPr="006E25E0">
              <w:rPr>
                <w:rFonts w:eastAsia="Times New Roman"/>
                <w:b/>
                <w:i/>
                <w:sz w:val="16"/>
                <w:szCs w:val="16"/>
                <w:lang w:val="es-NI" w:eastAsia="es-SV"/>
              </w:rPr>
              <w:t>Intervenciones para poblaciones jóvenes clave</w:t>
            </w:r>
          </w:p>
          <w:p w14:paraId="20554E03" w14:textId="77777777" w:rsidR="0057038C" w:rsidRPr="001E0232" w:rsidRDefault="0057038C" w:rsidP="0057038C">
            <w:pPr>
              <w:spacing w:line="240" w:lineRule="auto"/>
              <w:ind w:left="1020"/>
              <w:jc w:val="both"/>
              <w:rPr>
                <w:rFonts w:eastAsia="Times New Roman"/>
                <w:i/>
                <w:sz w:val="16"/>
                <w:szCs w:val="16"/>
                <w:lang w:val="es-NI" w:eastAsia="es-SV"/>
              </w:rPr>
            </w:pPr>
            <w:r w:rsidRPr="001E0232">
              <w:rPr>
                <w:rFonts w:eastAsia="Calibri"/>
                <w:i/>
                <w:iCs/>
                <w:sz w:val="16"/>
                <w:szCs w:val="16"/>
                <w:lang w:val="es-NI" w:eastAsia="es-BO"/>
              </w:rPr>
              <w:t>Población prioritaria: poblaciones jóvenes clave</w:t>
            </w:r>
          </w:p>
        </w:tc>
        <w:tc>
          <w:tcPr>
            <w:tcW w:w="6007" w:type="dxa"/>
            <w:shd w:val="clear" w:color="auto" w:fill="auto"/>
          </w:tcPr>
          <w:p w14:paraId="039E7ED1" w14:textId="77777777" w:rsidR="0057038C" w:rsidRPr="001E0232" w:rsidRDefault="0057038C" w:rsidP="0057038C">
            <w:pPr>
              <w:spacing w:after="60" w:line="240" w:lineRule="auto"/>
              <w:jc w:val="both"/>
              <w:rPr>
                <w:rFonts w:eastAsia="Calibri"/>
                <w:sz w:val="16"/>
                <w:szCs w:val="16"/>
                <w:lang w:val="es-NI" w:eastAsia="es-BO"/>
              </w:rPr>
            </w:pPr>
            <w:r w:rsidRPr="001E0232">
              <w:rPr>
                <w:rFonts w:eastAsia="Calibri"/>
                <w:sz w:val="16"/>
                <w:szCs w:val="16"/>
                <w:lang w:val="es-NI" w:eastAsia="es-BO"/>
              </w:rPr>
              <w:t xml:space="preserve">Disminución de brechas en acceso a información, comunicación y educación en temas de prevención de VIH y Educación Integral en Salud (EIS): los jóvenes y adolescentes de poblaciones clave identificaron en el dialogo de país una brecha importante en la información, comunicación y educación sobre VIH y otras ITS en particular y en la educación integral de la sexualidad en general, esto a nivel de los y las adolescentes y en padres y madres, al igual que en habilidades para la prevención personal y capacidades de negociación. Por lo tanto, se definirá e implementará una estrategia a realizarse a través de las escuelas, fortaleciendo la entrega de la educación integral de la sexualidad y en las comunidades con grupos </w:t>
            </w:r>
            <w:r w:rsidRPr="001E0232">
              <w:rPr>
                <w:rFonts w:eastAsia="Calibri"/>
                <w:sz w:val="16"/>
                <w:szCs w:val="16"/>
                <w:lang w:val="es-NI" w:eastAsia="es-BO"/>
              </w:rPr>
              <w:lastRenderedPageBreak/>
              <w:t>de adolescentes y líderes y lideresas comunitarias, con un enfoque importante en la reducción del estigma y discriminación.</w:t>
            </w:r>
          </w:p>
          <w:p w14:paraId="7273D477" w14:textId="77777777" w:rsidR="0057038C" w:rsidRPr="001E0232" w:rsidRDefault="0057038C" w:rsidP="0057038C">
            <w:pPr>
              <w:spacing w:after="60" w:line="240" w:lineRule="auto"/>
              <w:jc w:val="both"/>
              <w:rPr>
                <w:rFonts w:eastAsia="Calibri"/>
                <w:sz w:val="16"/>
                <w:szCs w:val="16"/>
                <w:lang w:val="es-NI" w:eastAsia="es-BO"/>
              </w:rPr>
            </w:pPr>
            <w:r w:rsidRPr="001E0232">
              <w:rPr>
                <w:rFonts w:eastAsia="Calibri"/>
                <w:sz w:val="16"/>
                <w:szCs w:val="16"/>
                <w:lang w:val="es-NI" w:eastAsia="es-BO"/>
              </w:rPr>
              <w:t xml:space="preserve">Se identifico igualmente en estos espacios de jóvenes, un acceso restringido o limitado a la salud sexual y reproductiva, e identificaron necesidades reales de servicios de salud amigables para adolescentes y jóvenes sensibles al género que proporcionen información y consejería sin estigma y discriminación, anticonceptivos, condones y lubricantes, al igual que el manejo sindrómico de las ITS y tratamiento.  </w:t>
            </w:r>
          </w:p>
          <w:p w14:paraId="60AAD071" w14:textId="77777777" w:rsidR="0057038C" w:rsidRPr="001E0232" w:rsidRDefault="0057038C" w:rsidP="0057038C">
            <w:pPr>
              <w:spacing w:after="60" w:line="240" w:lineRule="auto"/>
              <w:jc w:val="both"/>
              <w:rPr>
                <w:rFonts w:eastAsia="Calibri"/>
                <w:sz w:val="16"/>
                <w:szCs w:val="16"/>
                <w:lang w:val="es-NI" w:eastAsia="es-BO"/>
              </w:rPr>
            </w:pPr>
            <w:r w:rsidRPr="001E0232">
              <w:rPr>
                <w:rFonts w:eastAsia="Calibri"/>
                <w:sz w:val="16"/>
                <w:szCs w:val="16"/>
                <w:lang w:val="es-NI" w:eastAsia="es-BO"/>
              </w:rPr>
              <w:t>Mejorar el acceso a servicios de Salud Sexual y Reproductiva (SSR) amigables para adolescentes y jóvenes de las poblaciones clave, ante lo observado, se propone la adecuación de Entornos Seguros y Amigables: Como centros escolares, casas de la cultura, asociaciones de jóvenes, universidades como espacios seguros y óptimos para la reflexión, y la provisión de información e insumos de prevención.</w:t>
            </w:r>
          </w:p>
          <w:p w14:paraId="140B5898" w14:textId="77777777" w:rsidR="0057038C" w:rsidRPr="001E0232" w:rsidRDefault="0057038C" w:rsidP="0057038C">
            <w:pPr>
              <w:spacing w:after="60" w:line="240" w:lineRule="auto"/>
              <w:jc w:val="both"/>
              <w:rPr>
                <w:rFonts w:eastAsia="Calibri"/>
                <w:sz w:val="16"/>
                <w:szCs w:val="16"/>
                <w:lang w:val="es-NI" w:eastAsia="es-BO"/>
              </w:rPr>
            </w:pPr>
            <w:r w:rsidRPr="001E0232">
              <w:rPr>
                <w:rFonts w:eastAsia="Calibri"/>
                <w:sz w:val="16"/>
                <w:szCs w:val="16"/>
                <w:lang w:val="es-NI" w:eastAsia="es-BO"/>
              </w:rPr>
              <w:t>Procesos complementarios de servicios, promoción de voluntariados, pasantías y programas de liderazgo enfocados al desarrollo de habilidades, agencia y conocimientos necesarios para adquirir hábitos sexuales saludables y empoderamiento para la toma de decisiones en sus vidas y que les permita también realizar incidencia y participación en ámbitos relevantes para las juventudes influenciando en temas relacionados con la EIS y la SSR.</w:t>
            </w:r>
          </w:p>
          <w:p w14:paraId="12527505" w14:textId="77777777" w:rsidR="0057038C" w:rsidRPr="001E0232" w:rsidRDefault="0057038C" w:rsidP="0057038C">
            <w:pPr>
              <w:spacing w:before="120" w:line="240" w:lineRule="auto"/>
              <w:jc w:val="both"/>
              <w:rPr>
                <w:rFonts w:eastAsia="Calibri"/>
                <w:sz w:val="16"/>
                <w:szCs w:val="16"/>
                <w:highlight w:val="yellow"/>
                <w:lang w:val="es-NI" w:eastAsia="es-BO"/>
              </w:rPr>
            </w:pPr>
            <w:r w:rsidRPr="00CF71E0">
              <w:rPr>
                <w:rFonts w:eastAsia="Times New Roman"/>
                <w:b/>
                <w:bCs/>
                <w:sz w:val="16"/>
                <w:szCs w:val="16"/>
                <w:lang w:val="es-NI" w:eastAsia="es-SV"/>
              </w:rPr>
              <w:t>Desafíos, obstáculos e inequidades</w:t>
            </w:r>
            <w:r w:rsidRPr="00CF71E0">
              <w:rPr>
                <w:rFonts w:eastAsia="Times New Roman"/>
                <w:sz w:val="16"/>
                <w:szCs w:val="16"/>
                <w:lang w:val="es-NI" w:eastAsia="es-SV"/>
              </w:rPr>
              <w:t>:</w:t>
            </w:r>
            <w:r>
              <w:rPr>
                <w:rFonts w:eastAsia="Times New Roman"/>
                <w:sz w:val="16"/>
                <w:szCs w:val="16"/>
                <w:lang w:val="es-NI" w:eastAsia="es-SV"/>
              </w:rPr>
              <w:t xml:space="preserve"> </w:t>
            </w:r>
            <w:r w:rsidRPr="001E0232">
              <w:rPr>
                <w:rFonts w:eastAsia="Calibri"/>
                <w:sz w:val="16"/>
                <w:szCs w:val="16"/>
                <w:lang w:val="es-NI" w:eastAsia="es-BO"/>
              </w:rPr>
              <w:t>La auto discriminación y auto estigmatización por parte de la propia población y la persistencia del estigmatización y discriminación hacia estas poblaciones por la población general</w:t>
            </w:r>
          </w:p>
        </w:tc>
        <w:tc>
          <w:tcPr>
            <w:tcW w:w="2872" w:type="dxa"/>
            <w:shd w:val="clear" w:color="auto" w:fill="auto"/>
          </w:tcPr>
          <w:p w14:paraId="00600455" w14:textId="77777777" w:rsidR="0057038C" w:rsidRPr="001E0232" w:rsidRDefault="0057038C" w:rsidP="0057038C">
            <w:pPr>
              <w:spacing w:after="0" w:line="240" w:lineRule="auto"/>
              <w:rPr>
                <w:rFonts w:eastAsia="Calibri"/>
                <w:sz w:val="16"/>
                <w:szCs w:val="16"/>
                <w:lang w:val="es-NI" w:eastAsia="es-BO"/>
              </w:rPr>
            </w:pPr>
            <w:r w:rsidRPr="001E0232">
              <w:rPr>
                <w:rFonts w:eastAsia="Calibri"/>
                <w:sz w:val="16"/>
                <w:szCs w:val="16"/>
                <w:lang w:val="es-NI" w:eastAsia="es-BO"/>
              </w:rPr>
              <w:lastRenderedPageBreak/>
              <w:t xml:space="preserve">Esta intervención no cuenta con un indicador particular, pero viene a sumar al esfuerzo que se hace en las intervenciones para cambio de comportamiento y el programa de preservativos y lubricantes dentro de este mismo módulo de prevención con las poblaciones claves tomando un enfoque particular con las poblaciones adolescentes y jóvenes. </w:t>
            </w:r>
            <w:r w:rsidRPr="001E0232">
              <w:rPr>
                <w:rFonts w:eastAsia="Calibri"/>
                <w:sz w:val="16"/>
                <w:szCs w:val="16"/>
                <w:lang w:val="es-NI" w:eastAsia="es-BO"/>
              </w:rPr>
              <w:lastRenderedPageBreak/>
              <w:t>Estas acciones se consideran estratégicas y necesarias para poder alcanzar las metas ambiciosas del país en materia de reducción de la prevalencia del VIH en el país.</w:t>
            </w:r>
          </w:p>
          <w:p w14:paraId="7E92D73D" w14:textId="6B2897DC" w:rsidR="0057038C" w:rsidRPr="001E0232" w:rsidRDefault="0057038C" w:rsidP="0057038C">
            <w:pPr>
              <w:spacing w:after="0" w:line="240" w:lineRule="auto"/>
              <w:rPr>
                <w:rFonts w:eastAsia="Calibri"/>
                <w:sz w:val="16"/>
                <w:szCs w:val="16"/>
                <w:highlight w:val="yellow"/>
                <w:lang w:val="es-NI" w:eastAsia="es-BO"/>
              </w:rPr>
            </w:pPr>
            <w:r w:rsidRPr="001E0232">
              <w:rPr>
                <w:rFonts w:eastAsia="Calibri"/>
                <w:b/>
                <w:bCs/>
                <w:sz w:val="16"/>
                <w:szCs w:val="16"/>
                <w:lang w:val="es-NI" w:eastAsia="es-BO"/>
              </w:rPr>
              <w:t xml:space="preserve">Resultado esperado: </w:t>
            </w:r>
            <w:r w:rsidRPr="001E0232">
              <w:rPr>
                <w:rFonts w:eastAsia="Calibri"/>
                <w:sz w:val="16"/>
                <w:szCs w:val="16"/>
                <w:lang w:val="es-NI" w:eastAsia="es-BO"/>
              </w:rPr>
              <w:t>Reforzar el conocimiento de las medidas de prevención, el uso correcto y persistente del condón, como en otros temas de salud sexual y reproductiva que ayuden a disminuir la incidencia del VIH en estas poblaciones.</w:t>
            </w:r>
          </w:p>
        </w:tc>
        <w:tc>
          <w:tcPr>
            <w:tcW w:w="2156" w:type="dxa"/>
          </w:tcPr>
          <w:p w14:paraId="62583F5D" w14:textId="77777777" w:rsidR="0057038C" w:rsidRPr="00B1395C" w:rsidRDefault="0057038C" w:rsidP="0057038C">
            <w:pPr>
              <w:spacing w:after="0" w:line="240" w:lineRule="auto"/>
              <w:rPr>
                <w:rFonts w:eastAsia="Calibri"/>
                <w:sz w:val="16"/>
                <w:szCs w:val="16"/>
                <w:lang w:val="es-NI" w:eastAsia="es-BO"/>
              </w:rPr>
            </w:pPr>
            <w:r>
              <w:rPr>
                <w:rFonts w:eastAsia="Calibri"/>
                <w:sz w:val="16"/>
                <w:szCs w:val="16"/>
                <w:lang w:val="es-NI" w:eastAsia="es-BO"/>
              </w:rPr>
              <w:lastRenderedPageBreak/>
              <w:t>7. Intervenciones para poblaciones jóvenes clave</w:t>
            </w:r>
          </w:p>
          <w:p w14:paraId="6E83B2EA" w14:textId="77777777" w:rsidR="0057038C" w:rsidRPr="006E25E0" w:rsidRDefault="0057038C" w:rsidP="00AE79D5">
            <w:pPr>
              <w:spacing w:after="0" w:line="240" w:lineRule="auto"/>
              <w:jc w:val="right"/>
              <w:rPr>
                <w:rFonts w:eastAsia="Calibri"/>
                <w:b/>
                <w:bCs/>
                <w:sz w:val="16"/>
                <w:szCs w:val="16"/>
                <w:highlight w:val="yellow"/>
                <w:lang w:val="es-NI" w:eastAsia="es-BO"/>
              </w:rPr>
            </w:pPr>
            <w:r w:rsidRPr="006E25E0">
              <w:rPr>
                <w:rFonts w:eastAsia="Calibri"/>
                <w:b/>
                <w:bCs/>
                <w:sz w:val="16"/>
                <w:szCs w:val="16"/>
                <w:lang w:val="es-NI" w:eastAsia="es-BO"/>
              </w:rPr>
              <w:t>$</w:t>
            </w:r>
            <w:r>
              <w:rPr>
                <w:rFonts w:eastAsia="Calibri"/>
                <w:b/>
                <w:bCs/>
                <w:sz w:val="16"/>
                <w:szCs w:val="16"/>
                <w:lang w:val="es-NI" w:eastAsia="es-BO"/>
              </w:rPr>
              <w:t>174</w:t>
            </w:r>
            <w:r w:rsidRPr="006E25E0">
              <w:rPr>
                <w:rFonts w:eastAsia="Calibri"/>
                <w:b/>
                <w:bCs/>
                <w:sz w:val="16"/>
                <w:szCs w:val="16"/>
                <w:lang w:val="es-NI" w:eastAsia="es-BO"/>
              </w:rPr>
              <w:t>,</w:t>
            </w:r>
            <w:r>
              <w:rPr>
                <w:rFonts w:eastAsia="Calibri"/>
                <w:b/>
                <w:bCs/>
                <w:sz w:val="16"/>
                <w:szCs w:val="16"/>
                <w:lang w:val="es-NI" w:eastAsia="es-BO"/>
              </w:rPr>
              <w:t>890</w:t>
            </w:r>
          </w:p>
        </w:tc>
      </w:tr>
      <w:tr w:rsidR="0057038C" w:rsidRPr="00A56294" w14:paraId="0D002483" w14:textId="77777777" w:rsidTr="0057038C">
        <w:tc>
          <w:tcPr>
            <w:tcW w:w="715" w:type="dxa"/>
            <w:vMerge w:val="restart"/>
            <w:shd w:val="clear" w:color="auto" w:fill="E9E9EA" w:themeFill="accent2" w:themeFillTint="33"/>
            <w:textDirection w:val="btLr"/>
            <w:vAlign w:val="center"/>
          </w:tcPr>
          <w:p w14:paraId="6C23F576" w14:textId="77777777" w:rsidR="0057038C" w:rsidRPr="006E25E0" w:rsidRDefault="0057038C" w:rsidP="0057038C">
            <w:pPr>
              <w:spacing w:after="0" w:line="240" w:lineRule="auto"/>
              <w:ind w:left="113" w:right="113"/>
              <w:jc w:val="center"/>
              <w:rPr>
                <w:rFonts w:eastAsia="Calibri"/>
                <w:sz w:val="16"/>
                <w:szCs w:val="16"/>
                <w:lang w:val="es-NI"/>
              </w:rPr>
            </w:pPr>
            <w:r w:rsidRPr="006E25E0">
              <w:rPr>
                <w:rFonts w:eastAsia="Calibri"/>
                <w:b/>
                <w:sz w:val="16"/>
                <w:szCs w:val="16"/>
                <w:lang w:val="es-NI" w:eastAsia="es-BO"/>
              </w:rPr>
              <w:t>Servicios diferenciados de diagnóstico del VIH</w:t>
            </w:r>
          </w:p>
        </w:tc>
        <w:tc>
          <w:tcPr>
            <w:tcW w:w="4175" w:type="dxa"/>
            <w:shd w:val="clear" w:color="auto" w:fill="auto"/>
          </w:tcPr>
          <w:p w14:paraId="3A8CAB80" w14:textId="77777777" w:rsidR="0057038C" w:rsidRPr="00B1395C" w:rsidRDefault="0057038C" w:rsidP="00617951">
            <w:pPr>
              <w:pStyle w:val="ListParagraph"/>
              <w:numPr>
                <w:ilvl w:val="0"/>
                <w:numId w:val="42"/>
              </w:numPr>
              <w:spacing w:line="240" w:lineRule="auto"/>
              <w:jc w:val="both"/>
              <w:rPr>
                <w:rFonts w:eastAsia="Times New Roman"/>
                <w:b/>
                <w:i/>
                <w:sz w:val="16"/>
                <w:szCs w:val="16"/>
                <w:lang w:val="es-NI" w:eastAsia="es-SV"/>
              </w:rPr>
            </w:pPr>
            <w:r w:rsidRPr="00B1395C">
              <w:rPr>
                <w:rFonts w:eastAsia="Times New Roman"/>
                <w:b/>
                <w:i/>
                <w:sz w:val="16"/>
                <w:szCs w:val="16"/>
                <w:lang w:val="es-NI" w:eastAsia="es-SV"/>
              </w:rPr>
              <w:t>Pruebas a nivel de establecimientos de salud (MINSAL)</w:t>
            </w:r>
          </w:p>
          <w:p w14:paraId="419C1C40" w14:textId="77777777" w:rsidR="0057038C" w:rsidRPr="001E0232" w:rsidRDefault="0057038C" w:rsidP="0057038C">
            <w:pPr>
              <w:spacing w:line="240" w:lineRule="auto"/>
              <w:ind w:left="1020"/>
              <w:jc w:val="both"/>
              <w:rPr>
                <w:rFonts w:eastAsia="Times New Roman"/>
                <w:i/>
                <w:sz w:val="16"/>
                <w:szCs w:val="16"/>
                <w:lang w:eastAsia="es-SV"/>
              </w:rPr>
            </w:pPr>
            <w:r w:rsidRPr="001E0232">
              <w:rPr>
                <w:rFonts w:eastAsia="Calibri"/>
                <w:i/>
                <w:iCs/>
                <w:sz w:val="16"/>
                <w:szCs w:val="16"/>
                <w:lang w:val="es-NI" w:eastAsia="es-BO"/>
              </w:rPr>
              <w:t xml:space="preserve">Población prioritaria: </w:t>
            </w:r>
            <w:r w:rsidRPr="001E0232">
              <w:rPr>
                <w:rFonts w:eastAsia="Times New Roman"/>
                <w:i/>
                <w:sz w:val="16"/>
                <w:szCs w:val="16"/>
                <w:lang w:val="es-NI" w:eastAsia="es-SV"/>
              </w:rPr>
              <w:t>HSH, Mujeres Trans, MTS, PPL, LGBTI, jóvenes de poblaciones clave</w:t>
            </w:r>
          </w:p>
          <w:p w14:paraId="1CF4996C" w14:textId="77777777" w:rsidR="0057038C" w:rsidRPr="001A5E10" w:rsidRDefault="0057038C" w:rsidP="0057038C">
            <w:pPr>
              <w:spacing w:line="240" w:lineRule="auto"/>
              <w:jc w:val="both"/>
              <w:rPr>
                <w:rFonts w:eastAsia="Times New Roman"/>
                <w:b/>
                <w:i/>
                <w:sz w:val="16"/>
                <w:szCs w:val="16"/>
                <w:lang w:val="es-NI" w:eastAsia="es-SV"/>
              </w:rPr>
            </w:pPr>
            <w:r>
              <w:rPr>
                <w:rFonts w:eastAsia="Times New Roman"/>
                <w:b/>
                <w:i/>
                <w:sz w:val="16"/>
                <w:szCs w:val="16"/>
                <w:lang w:val="es-NI" w:eastAsia="es-SV"/>
              </w:rPr>
              <w:t xml:space="preserve">2. </w:t>
            </w:r>
            <w:r w:rsidRPr="001A5E10">
              <w:rPr>
                <w:rFonts w:eastAsia="Times New Roman"/>
                <w:b/>
                <w:i/>
                <w:sz w:val="16"/>
                <w:szCs w:val="16"/>
                <w:lang w:val="es-NI" w:eastAsia="es-SV"/>
              </w:rPr>
              <w:t>Pruebas a nivel comunitario (Plan)</w:t>
            </w:r>
          </w:p>
          <w:p w14:paraId="6EAE735D" w14:textId="77777777" w:rsidR="0057038C" w:rsidRPr="001E0232" w:rsidRDefault="0057038C" w:rsidP="0057038C">
            <w:pPr>
              <w:spacing w:line="240" w:lineRule="auto"/>
              <w:ind w:left="1020"/>
              <w:jc w:val="both"/>
              <w:rPr>
                <w:rFonts w:eastAsia="Times New Roman"/>
                <w:i/>
                <w:iCs/>
                <w:sz w:val="16"/>
                <w:szCs w:val="16"/>
                <w:lang w:eastAsia="es-SV"/>
              </w:rPr>
            </w:pPr>
            <w:r w:rsidRPr="001E0232">
              <w:rPr>
                <w:rFonts w:eastAsia="Calibri"/>
                <w:i/>
                <w:iCs/>
                <w:sz w:val="16"/>
                <w:szCs w:val="16"/>
                <w:lang w:val="es-NI" w:eastAsia="es-BO"/>
              </w:rPr>
              <w:t xml:space="preserve">Población prioritaria: </w:t>
            </w:r>
            <w:r w:rsidRPr="001E0232">
              <w:rPr>
                <w:rFonts w:eastAsia="Times New Roman"/>
                <w:i/>
                <w:sz w:val="16"/>
                <w:szCs w:val="16"/>
                <w:lang w:val="es-NI" w:eastAsia="es-SV"/>
              </w:rPr>
              <w:t>HSH, Mujeres Trans, MTS, PPL, LGBTI, jóvenes de poblaciones clave</w:t>
            </w:r>
          </w:p>
          <w:p w14:paraId="358C9A4A" w14:textId="77777777" w:rsidR="0057038C" w:rsidRPr="00A478BC" w:rsidRDefault="0057038C" w:rsidP="0057038C">
            <w:pPr>
              <w:spacing w:after="0" w:line="240" w:lineRule="auto"/>
              <w:jc w:val="both"/>
              <w:rPr>
                <w:rFonts w:eastAsia="Times New Roman"/>
                <w:sz w:val="16"/>
                <w:szCs w:val="16"/>
                <w:lang w:val="es-NI" w:eastAsia="es-SV"/>
              </w:rPr>
            </w:pPr>
            <w:r w:rsidRPr="001A5E10">
              <w:rPr>
                <w:rFonts w:eastAsia="Times New Roman"/>
                <w:sz w:val="16"/>
                <w:szCs w:val="16"/>
                <w:lang w:val="es-NI" w:eastAsia="es-SV"/>
              </w:rPr>
              <w:t xml:space="preserve">Estos servicios serán ofertados por ambos implementadores, a </w:t>
            </w:r>
            <w:r w:rsidRPr="00A478BC">
              <w:rPr>
                <w:rFonts w:eastAsia="Times New Roman"/>
                <w:sz w:val="16"/>
                <w:szCs w:val="16"/>
                <w:lang w:val="es-NI" w:eastAsia="es-SV"/>
              </w:rPr>
              <w:t xml:space="preserve">través de las siguientes modalidades: </w:t>
            </w:r>
          </w:p>
          <w:p w14:paraId="6E07EB1C" w14:textId="77777777" w:rsidR="0057038C" w:rsidRPr="00A478BC" w:rsidRDefault="0057038C" w:rsidP="0057038C">
            <w:pPr>
              <w:spacing w:after="0" w:line="240" w:lineRule="auto"/>
              <w:ind w:left="181" w:hanging="181"/>
              <w:jc w:val="both"/>
              <w:rPr>
                <w:rFonts w:eastAsia="Calibri"/>
                <w:sz w:val="16"/>
                <w:szCs w:val="16"/>
                <w:lang w:val="es-NI" w:eastAsia="es-BO"/>
              </w:rPr>
            </w:pPr>
            <w:r w:rsidRPr="00A478BC">
              <w:rPr>
                <w:rFonts w:eastAsia="Calibri"/>
                <w:sz w:val="16"/>
                <w:szCs w:val="16"/>
                <w:lang w:val="es-NI" w:eastAsia="es-BO"/>
              </w:rPr>
              <w:t>1.</w:t>
            </w:r>
            <w:r w:rsidRPr="00A478BC">
              <w:rPr>
                <w:rFonts w:eastAsia="Calibri"/>
                <w:sz w:val="16"/>
                <w:szCs w:val="16"/>
                <w:lang w:val="es-NI" w:eastAsia="es-BO"/>
              </w:rPr>
              <w:tab/>
              <w:t>Unidades Móviles, tres de Plan International, tres de SR y dos de MINSAL.</w:t>
            </w:r>
          </w:p>
          <w:p w14:paraId="40D39665" w14:textId="77777777" w:rsidR="0057038C" w:rsidRPr="006E25E0" w:rsidRDefault="0057038C" w:rsidP="0057038C">
            <w:pPr>
              <w:spacing w:after="0" w:line="240" w:lineRule="auto"/>
              <w:ind w:left="181" w:hanging="181"/>
              <w:jc w:val="both"/>
              <w:rPr>
                <w:rFonts w:eastAsia="Calibri"/>
                <w:sz w:val="16"/>
                <w:szCs w:val="16"/>
                <w:lang w:val="es-NI" w:eastAsia="es-BO"/>
              </w:rPr>
            </w:pPr>
            <w:r w:rsidRPr="00A478BC">
              <w:rPr>
                <w:rFonts w:eastAsia="Calibri"/>
                <w:sz w:val="16"/>
                <w:szCs w:val="16"/>
                <w:lang w:val="es-NI" w:eastAsia="es-BO"/>
              </w:rPr>
              <w:t>2</w:t>
            </w:r>
            <w:r w:rsidRPr="00A478BC">
              <w:rPr>
                <w:rFonts w:eastAsia="Calibri"/>
                <w:sz w:val="16"/>
                <w:szCs w:val="16"/>
                <w:lang w:val="es-NI" w:eastAsia="es-BO"/>
              </w:rPr>
              <w:tab/>
              <w:t xml:space="preserve">175 UCSF con laboratorios clínicos incluyendo sus </w:t>
            </w:r>
            <w:r w:rsidRPr="00A478BC">
              <w:rPr>
                <w:rFonts w:eastAsia="Calibri"/>
                <w:b/>
                <w:sz w:val="16"/>
                <w:szCs w:val="16"/>
                <w:lang w:val="es-NI" w:eastAsia="es-BO"/>
              </w:rPr>
              <w:t xml:space="preserve">Servicios Amigables, </w:t>
            </w:r>
            <w:r w:rsidRPr="00A478BC">
              <w:rPr>
                <w:rFonts w:eastAsia="Calibri"/>
                <w:sz w:val="16"/>
                <w:szCs w:val="16"/>
                <w:lang w:val="es-NI" w:eastAsia="es-BO"/>
              </w:rPr>
              <w:t>Clínicas VICITS</w:t>
            </w:r>
            <w:r w:rsidRPr="006E25E0">
              <w:rPr>
                <w:rFonts w:eastAsia="Calibri"/>
                <w:sz w:val="16"/>
                <w:szCs w:val="16"/>
                <w:lang w:val="es-NI" w:eastAsia="es-BO"/>
              </w:rPr>
              <w:t xml:space="preserve"> y Hospitales</w:t>
            </w:r>
            <w:r w:rsidRPr="006E25E0">
              <w:rPr>
                <w:rFonts w:eastAsia="Calibri"/>
                <w:b/>
                <w:sz w:val="16"/>
                <w:szCs w:val="16"/>
                <w:lang w:val="es-NI" w:eastAsia="es-BO"/>
              </w:rPr>
              <w:t xml:space="preserve"> </w:t>
            </w:r>
          </w:p>
          <w:p w14:paraId="103D7909" w14:textId="77777777" w:rsidR="0057038C" w:rsidRPr="006E25E0" w:rsidRDefault="0057038C" w:rsidP="0057038C">
            <w:pPr>
              <w:spacing w:after="60" w:line="240" w:lineRule="auto"/>
              <w:jc w:val="both"/>
              <w:rPr>
                <w:rFonts w:eastAsia="Calibri"/>
                <w:sz w:val="16"/>
                <w:szCs w:val="16"/>
                <w:lang w:val="es-NI" w:eastAsia="es-BO"/>
              </w:rPr>
            </w:pPr>
            <w:r w:rsidRPr="006E25E0">
              <w:rPr>
                <w:rFonts w:eastAsia="Calibri"/>
                <w:sz w:val="16"/>
                <w:szCs w:val="16"/>
                <w:lang w:val="es-NI" w:eastAsia="es-BO"/>
              </w:rPr>
              <w:lastRenderedPageBreak/>
              <w:t xml:space="preserve">Las clínicas VICITS y las Unidades Móviles  hacen las pruebas confirmatorias. Los servicios biomédicos proporcionan pruebas de ITS. </w:t>
            </w:r>
          </w:p>
          <w:p w14:paraId="215907AB" w14:textId="77777777" w:rsidR="0057038C" w:rsidRPr="006E25E0" w:rsidRDefault="0057038C" w:rsidP="0057038C">
            <w:pPr>
              <w:spacing w:after="0" w:line="240" w:lineRule="auto"/>
              <w:jc w:val="both"/>
              <w:rPr>
                <w:rFonts w:eastAsia="Calibri"/>
                <w:sz w:val="16"/>
                <w:szCs w:val="16"/>
                <w:lang w:val="es-NI" w:eastAsia="es-BO"/>
              </w:rPr>
            </w:pPr>
            <w:r w:rsidRPr="006E25E0">
              <w:rPr>
                <w:rFonts w:eastAsia="Calibri"/>
                <w:sz w:val="16"/>
                <w:szCs w:val="16"/>
                <w:lang w:val="es-NI" w:eastAsia="es-BO"/>
              </w:rPr>
              <w:t>Servicios que se ofertarán:</w:t>
            </w:r>
          </w:p>
          <w:p w14:paraId="6F87E3D7" w14:textId="77777777" w:rsidR="0057038C" w:rsidRPr="006E25E0" w:rsidRDefault="0057038C" w:rsidP="00617951">
            <w:pPr>
              <w:numPr>
                <w:ilvl w:val="0"/>
                <w:numId w:val="31"/>
              </w:numPr>
              <w:spacing w:after="0" w:line="240" w:lineRule="auto"/>
              <w:ind w:left="175" w:hanging="175"/>
              <w:contextualSpacing/>
              <w:jc w:val="both"/>
              <w:rPr>
                <w:rFonts w:eastAsia="Calibri"/>
                <w:sz w:val="16"/>
                <w:szCs w:val="16"/>
                <w:lang w:val="es-SV" w:eastAsia="es-BO"/>
              </w:rPr>
            </w:pPr>
            <w:r w:rsidRPr="006E25E0">
              <w:rPr>
                <w:rFonts w:eastAsia="Calibri"/>
                <w:sz w:val="16"/>
                <w:szCs w:val="16"/>
                <w:lang w:val="es-SV" w:eastAsia="es-BO"/>
              </w:rPr>
              <w:t xml:space="preserve">Actividades de cambio de comportamiento y educacionales. </w:t>
            </w:r>
          </w:p>
          <w:p w14:paraId="4B3C9C33" w14:textId="77777777" w:rsidR="0057038C" w:rsidRPr="006E25E0" w:rsidRDefault="0057038C" w:rsidP="00617951">
            <w:pPr>
              <w:numPr>
                <w:ilvl w:val="0"/>
                <w:numId w:val="31"/>
              </w:numPr>
              <w:spacing w:after="0" w:line="240" w:lineRule="auto"/>
              <w:ind w:left="175" w:hanging="175"/>
              <w:contextualSpacing/>
              <w:jc w:val="both"/>
              <w:rPr>
                <w:rFonts w:eastAsia="Calibri"/>
                <w:sz w:val="16"/>
                <w:szCs w:val="16"/>
                <w:lang w:val="es-SV" w:eastAsia="es-BO"/>
              </w:rPr>
            </w:pPr>
            <w:r w:rsidRPr="006E25E0">
              <w:rPr>
                <w:rFonts w:eastAsia="Calibri"/>
                <w:sz w:val="16"/>
                <w:szCs w:val="16"/>
                <w:lang w:val="es-SV" w:eastAsia="es-BO"/>
              </w:rPr>
              <w:t xml:space="preserve">Accesibilidad a condones y lubricantes. </w:t>
            </w:r>
          </w:p>
          <w:p w14:paraId="6F413C59" w14:textId="77777777" w:rsidR="0057038C" w:rsidRPr="006E25E0" w:rsidRDefault="0057038C" w:rsidP="00617951">
            <w:pPr>
              <w:numPr>
                <w:ilvl w:val="0"/>
                <w:numId w:val="31"/>
              </w:numPr>
              <w:spacing w:after="0" w:line="240" w:lineRule="auto"/>
              <w:ind w:left="175" w:hanging="175"/>
              <w:contextualSpacing/>
              <w:jc w:val="both"/>
              <w:rPr>
                <w:rFonts w:eastAsia="Calibri"/>
                <w:sz w:val="16"/>
                <w:szCs w:val="16"/>
                <w:lang w:val="es-SV" w:eastAsia="es-BO"/>
              </w:rPr>
            </w:pPr>
            <w:r w:rsidRPr="006E25E0">
              <w:rPr>
                <w:rFonts w:eastAsia="Calibri"/>
                <w:sz w:val="16"/>
                <w:szCs w:val="16"/>
                <w:lang w:val="es-SV" w:eastAsia="es-BO"/>
              </w:rPr>
              <w:t>Consejería Plus +, se continuará con asignación del Código Único de Identidad (CUI) que permite ingresar los resultados al SUMEVE</w:t>
            </w:r>
            <w:r>
              <w:rPr>
                <w:rFonts w:eastAsia="Calibri"/>
                <w:sz w:val="16"/>
                <w:szCs w:val="16"/>
                <w:lang w:val="es-SV" w:eastAsia="es-BO"/>
              </w:rPr>
              <w:t xml:space="preserve"> por parte de todas las entidades implementadoras</w:t>
            </w:r>
            <w:r w:rsidRPr="006E25E0">
              <w:rPr>
                <w:rFonts w:eastAsia="Calibri"/>
                <w:sz w:val="16"/>
                <w:szCs w:val="16"/>
                <w:lang w:val="es-SV" w:eastAsia="es-BO"/>
              </w:rPr>
              <w:t xml:space="preserve">. </w:t>
            </w:r>
          </w:p>
          <w:p w14:paraId="34B50AC8" w14:textId="77777777" w:rsidR="0057038C" w:rsidRPr="006E25E0" w:rsidRDefault="0057038C" w:rsidP="00617951">
            <w:pPr>
              <w:numPr>
                <w:ilvl w:val="0"/>
                <w:numId w:val="31"/>
              </w:numPr>
              <w:spacing w:after="0" w:line="240" w:lineRule="auto"/>
              <w:ind w:left="175" w:hanging="175"/>
              <w:contextualSpacing/>
              <w:jc w:val="both"/>
              <w:rPr>
                <w:rFonts w:eastAsia="Calibri"/>
                <w:sz w:val="16"/>
                <w:szCs w:val="16"/>
                <w:lang w:val="es-SV" w:eastAsia="es-BO"/>
              </w:rPr>
            </w:pPr>
            <w:r w:rsidRPr="006E25E0">
              <w:rPr>
                <w:rFonts w:eastAsia="Calibri"/>
                <w:sz w:val="16"/>
                <w:szCs w:val="16"/>
                <w:lang w:val="es-SV" w:eastAsia="es-BO"/>
              </w:rPr>
              <w:t xml:space="preserve">Post- Consejería, comprende la entrega del resultado, ya sea positivo o negativo e identificación de apoyo para la reducción de riesgo, la negociación de la revelación del diagnóstico a la pareja y la referencia. </w:t>
            </w:r>
          </w:p>
          <w:p w14:paraId="206B7C97" w14:textId="77777777" w:rsidR="0057038C" w:rsidRPr="006E25E0" w:rsidRDefault="0057038C" w:rsidP="00617951">
            <w:pPr>
              <w:numPr>
                <w:ilvl w:val="0"/>
                <w:numId w:val="31"/>
              </w:numPr>
              <w:spacing w:line="240" w:lineRule="auto"/>
              <w:ind w:left="176" w:hanging="176"/>
              <w:jc w:val="both"/>
              <w:rPr>
                <w:rFonts w:eastAsia="Calibri"/>
                <w:sz w:val="16"/>
                <w:szCs w:val="16"/>
                <w:lang w:val="es-SV" w:eastAsia="es-BO"/>
              </w:rPr>
            </w:pPr>
            <w:r w:rsidRPr="006E25E0">
              <w:rPr>
                <w:rFonts w:eastAsia="Calibri"/>
                <w:sz w:val="16"/>
                <w:szCs w:val="16"/>
                <w:lang w:val="es-SV" w:eastAsia="es-BO"/>
              </w:rPr>
              <w:t>Entrega de paquete de insumos diferenciados por población de acuerdo con sus necesidades (condones y lubricantes).</w:t>
            </w:r>
          </w:p>
        </w:tc>
        <w:tc>
          <w:tcPr>
            <w:tcW w:w="6007" w:type="dxa"/>
            <w:shd w:val="clear" w:color="auto" w:fill="auto"/>
          </w:tcPr>
          <w:p w14:paraId="56976FD7" w14:textId="77777777" w:rsidR="0057038C" w:rsidRPr="00081F71" w:rsidRDefault="0057038C" w:rsidP="00617951">
            <w:pPr>
              <w:pStyle w:val="ListParagraph"/>
              <w:numPr>
                <w:ilvl w:val="0"/>
                <w:numId w:val="58"/>
              </w:numPr>
              <w:spacing w:after="60" w:line="240" w:lineRule="auto"/>
              <w:jc w:val="both"/>
              <w:rPr>
                <w:rFonts w:eastAsia="Calibri"/>
                <w:sz w:val="16"/>
                <w:szCs w:val="16"/>
                <w:lang w:val="es-NI" w:eastAsia="es-BO"/>
              </w:rPr>
            </w:pPr>
            <w:r>
              <w:rPr>
                <w:rFonts w:eastAsia="Calibri"/>
                <w:sz w:val="16"/>
                <w:szCs w:val="16"/>
                <w:lang w:val="es-NI" w:eastAsia="es-BO"/>
              </w:rPr>
              <w:lastRenderedPageBreak/>
              <w:t xml:space="preserve">y 2. </w:t>
            </w:r>
          </w:p>
          <w:p w14:paraId="0AAA73C9" w14:textId="77777777" w:rsidR="0057038C" w:rsidRPr="007B79B9" w:rsidRDefault="0057038C" w:rsidP="0057038C">
            <w:pPr>
              <w:spacing w:line="240" w:lineRule="auto"/>
              <w:jc w:val="both"/>
              <w:rPr>
                <w:rFonts w:eastAsia="Calibri"/>
                <w:sz w:val="16"/>
                <w:szCs w:val="16"/>
                <w:lang w:val="es-NI" w:eastAsia="es-BO"/>
              </w:rPr>
            </w:pPr>
            <w:r w:rsidRPr="007B79B9">
              <w:rPr>
                <w:rFonts w:eastAsia="Calibri"/>
                <w:sz w:val="16"/>
                <w:szCs w:val="16"/>
                <w:lang w:val="es-NI" w:eastAsia="es-BO"/>
              </w:rPr>
              <w:t xml:space="preserve">Las poblaciones clave serán abordadas por los educadores del RP Plan International, quienes al ofertar las pruebas rápidas de VIH cumplirán lo establecido en el algoritmo diagnóstico vigente en lo relacionado a la realización de conserjería previa y posterior a la realización de la prueba y a la confirmación de aquellas con resultado positivo. Las pruebas rápidas que resulten positivas serán confirmadas en el momento con otra prueba rápida de diferente metodología, todos los casos que tengan un resultado positivo serán vinculados a un establecimiento de salud para iniciar tratamiento. </w:t>
            </w:r>
          </w:p>
          <w:p w14:paraId="48288FFB" w14:textId="77777777" w:rsidR="0057038C" w:rsidRPr="006E25E0" w:rsidRDefault="0057038C" w:rsidP="0057038C">
            <w:pPr>
              <w:spacing w:line="240" w:lineRule="auto"/>
              <w:jc w:val="both"/>
              <w:rPr>
                <w:rFonts w:eastAsia="Calibri"/>
                <w:sz w:val="16"/>
                <w:szCs w:val="16"/>
                <w:lang w:val="es-NI" w:eastAsia="es-BO"/>
              </w:rPr>
            </w:pPr>
            <w:r w:rsidRPr="006E25E0">
              <w:rPr>
                <w:rFonts w:eastAsia="Calibri"/>
                <w:sz w:val="16"/>
                <w:szCs w:val="16"/>
                <w:lang w:val="es-NI" w:eastAsia="es-BO"/>
              </w:rPr>
              <w:t>En las clínicas VICITS se ofertará y brindará servicios para diagnóstico</w:t>
            </w:r>
            <w:r>
              <w:rPr>
                <w:rFonts w:eastAsia="Calibri"/>
                <w:sz w:val="16"/>
                <w:szCs w:val="16"/>
                <w:lang w:val="es-NI" w:eastAsia="es-BO"/>
              </w:rPr>
              <w:t xml:space="preserve"> de VIH e ITS</w:t>
            </w:r>
            <w:r w:rsidRPr="006E25E0">
              <w:rPr>
                <w:rFonts w:eastAsia="Calibri"/>
                <w:sz w:val="16"/>
                <w:szCs w:val="16"/>
                <w:lang w:val="es-NI" w:eastAsia="es-BO"/>
              </w:rPr>
              <w:t xml:space="preserve"> y tratamiento para otras ITS en los usuarios de poblaciones clave que asistan, ya sea de forma voluntaria o referido por algún otro implementador u otro establecimiento de salud.</w:t>
            </w:r>
          </w:p>
          <w:p w14:paraId="57285F3B" w14:textId="77777777" w:rsidR="0057038C" w:rsidRPr="006E25E0" w:rsidRDefault="0057038C" w:rsidP="0057038C">
            <w:pPr>
              <w:spacing w:line="240" w:lineRule="auto"/>
              <w:jc w:val="both"/>
              <w:rPr>
                <w:rFonts w:eastAsia="Calibri"/>
                <w:sz w:val="16"/>
                <w:szCs w:val="16"/>
                <w:lang w:val="es-NI" w:eastAsia="es-BO"/>
              </w:rPr>
            </w:pPr>
            <w:r w:rsidRPr="006E25E0">
              <w:rPr>
                <w:rFonts w:eastAsia="Calibri"/>
                <w:sz w:val="16"/>
                <w:szCs w:val="16"/>
                <w:lang w:val="es-NI" w:eastAsia="es-BO"/>
              </w:rPr>
              <w:t>Para poder encontrar un mayor número de casos positivos, ambos implementadores trabajarán con la notificación asistida de parejas y búsqueda de contactos, siguiendo los procedimientos establecidos por el MINSAL, esto permitirá ampliar cobertura y detectar un mayor número de casos.</w:t>
            </w:r>
          </w:p>
          <w:p w14:paraId="42DA4C79" w14:textId="77777777" w:rsidR="0057038C" w:rsidRPr="006E25E0" w:rsidRDefault="0057038C" w:rsidP="0057038C">
            <w:pPr>
              <w:spacing w:line="240" w:lineRule="auto"/>
              <w:jc w:val="both"/>
              <w:rPr>
                <w:rFonts w:eastAsia="Calibri"/>
                <w:sz w:val="16"/>
                <w:szCs w:val="16"/>
                <w:lang w:val="es-NI" w:eastAsia="es-BO"/>
              </w:rPr>
            </w:pPr>
            <w:r w:rsidRPr="006E25E0">
              <w:rPr>
                <w:rFonts w:eastAsia="Calibri"/>
                <w:sz w:val="16"/>
                <w:szCs w:val="16"/>
                <w:lang w:val="es-NI" w:eastAsia="es-BO"/>
              </w:rPr>
              <w:lastRenderedPageBreak/>
              <w:t>Se continuará brindando la prueba rápida para VIH dos veces al año y hasta tres veces en los casos de personas con comportamiento de riesgo.</w:t>
            </w:r>
          </w:p>
          <w:p w14:paraId="4BB4A954" w14:textId="77777777" w:rsidR="0057038C" w:rsidRPr="006E25E0" w:rsidRDefault="0057038C" w:rsidP="0057038C">
            <w:pPr>
              <w:spacing w:before="120" w:line="240" w:lineRule="auto"/>
              <w:rPr>
                <w:rFonts w:eastAsia="Calibri"/>
                <w:sz w:val="16"/>
                <w:szCs w:val="16"/>
                <w:lang w:val="es-NI" w:eastAsia="es-BO"/>
              </w:rPr>
            </w:pPr>
            <w:r w:rsidRPr="006E25E0">
              <w:rPr>
                <w:rFonts w:eastAsia="Calibri"/>
                <w:sz w:val="16"/>
                <w:szCs w:val="16"/>
                <w:lang w:val="es-NI" w:eastAsia="es-BO"/>
              </w:rPr>
              <w:t>El monitoreo de esta información se realizará de forma cruzada entre ambos RP y se validará con lo registrado en el SUMEVE.</w:t>
            </w:r>
          </w:p>
          <w:p w14:paraId="6CD0E084" w14:textId="77777777" w:rsidR="0057038C" w:rsidRPr="006E25E0" w:rsidRDefault="0057038C" w:rsidP="0057038C">
            <w:pPr>
              <w:spacing w:line="240" w:lineRule="auto"/>
              <w:rPr>
                <w:rFonts w:eastAsia="Calibri"/>
                <w:sz w:val="16"/>
                <w:szCs w:val="16"/>
                <w:lang w:val="es-NI" w:eastAsia="es-BO"/>
              </w:rPr>
            </w:pPr>
            <w:r w:rsidRPr="006E25E0">
              <w:rPr>
                <w:rFonts w:eastAsia="Calibri"/>
                <w:sz w:val="16"/>
                <w:szCs w:val="16"/>
                <w:lang w:val="es-NI" w:eastAsia="es-BO"/>
              </w:rPr>
              <w:t>Las personas serán alcanzadas a través de unidades móviles manejadas actualmente por Plan International.</w:t>
            </w:r>
            <w:r>
              <w:rPr>
                <w:rFonts w:eastAsia="Calibri"/>
                <w:sz w:val="16"/>
                <w:szCs w:val="16"/>
                <w:lang w:val="es-NI" w:eastAsia="es-BO"/>
              </w:rPr>
              <w:t xml:space="preserve"> Estas unidades móviles tendrán horarios vespertinos para mejor atendar a las poblaciones.</w:t>
            </w:r>
          </w:p>
          <w:p w14:paraId="24422277" w14:textId="77777777" w:rsidR="0057038C" w:rsidRPr="006E25E0" w:rsidRDefault="0057038C" w:rsidP="0057038C">
            <w:pPr>
              <w:spacing w:line="240" w:lineRule="auto"/>
              <w:rPr>
                <w:rFonts w:eastAsia="Calibri"/>
                <w:sz w:val="16"/>
                <w:szCs w:val="16"/>
                <w:lang w:val="es-NI" w:eastAsia="es-BO"/>
              </w:rPr>
            </w:pPr>
            <w:r w:rsidRPr="006E25E0">
              <w:rPr>
                <w:rFonts w:eastAsia="Calibri"/>
                <w:sz w:val="16"/>
                <w:szCs w:val="16"/>
                <w:lang w:val="es-NI" w:eastAsia="es-BO"/>
              </w:rPr>
              <w:t>El RP Plan International coordinará con los SR las fechas y los lugares donde se realizarán las intervenciones de distribución y acompañamiento de las Unidades Móviles Educativas, para evitar duplicidad.</w:t>
            </w:r>
          </w:p>
          <w:p w14:paraId="1830E21C" w14:textId="77777777" w:rsidR="0057038C" w:rsidRPr="006E25E0" w:rsidRDefault="0057038C" w:rsidP="0057038C">
            <w:pPr>
              <w:spacing w:line="240" w:lineRule="auto"/>
              <w:rPr>
                <w:rFonts w:eastAsia="Calibri"/>
                <w:sz w:val="16"/>
                <w:szCs w:val="16"/>
                <w:lang w:val="es-NI" w:eastAsia="es-BO"/>
              </w:rPr>
            </w:pPr>
            <w:r w:rsidRPr="006E25E0">
              <w:rPr>
                <w:rFonts w:eastAsia="Calibri"/>
                <w:sz w:val="16"/>
                <w:szCs w:val="16"/>
                <w:lang w:val="es-NI" w:eastAsia="es-BO"/>
              </w:rPr>
              <w:t xml:space="preserve">Se realizarán capacitaciones </w:t>
            </w:r>
            <w:r>
              <w:rPr>
                <w:rFonts w:eastAsia="Calibri"/>
                <w:sz w:val="16"/>
                <w:szCs w:val="16"/>
                <w:lang w:val="es-NI" w:eastAsia="es-BO"/>
              </w:rPr>
              <w:t xml:space="preserve">(virtuales o presenciales) </w:t>
            </w:r>
            <w:r w:rsidRPr="006E25E0">
              <w:rPr>
                <w:rFonts w:eastAsia="Calibri"/>
                <w:sz w:val="16"/>
                <w:szCs w:val="16"/>
                <w:lang w:val="es-NI" w:eastAsia="es-BO"/>
              </w:rPr>
              <w:t>al personal de las diferentes UCSF que contarán con Servicios Amigables, para generar un ambiente de atención libre de estigma y discriminación hacia poblaciones clave.</w:t>
            </w:r>
          </w:p>
          <w:p w14:paraId="265F0C76" w14:textId="77777777" w:rsidR="0057038C" w:rsidRPr="006E25E0" w:rsidRDefault="0057038C" w:rsidP="0057038C">
            <w:pPr>
              <w:spacing w:line="240" w:lineRule="auto"/>
              <w:rPr>
                <w:rFonts w:eastAsia="Calibri"/>
                <w:sz w:val="16"/>
                <w:szCs w:val="16"/>
                <w:lang w:val="es-NI" w:eastAsia="es-BO"/>
              </w:rPr>
            </w:pPr>
            <w:r w:rsidRPr="006E25E0">
              <w:rPr>
                <w:rFonts w:eastAsia="Calibri"/>
                <w:sz w:val="16"/>
                <w:szCs w:val="16"/>
                <w:lang w:val="es-NI" w:eastAsia="es-BO"/>
              </w:rPr>
              <w:t>Para mejorar los resultados actuales (2019) en la cascada del continuo de atención y lograr las metas nacionales establecidas por el país para los pilares 3,4,5 y 6 se implementará el nuevo algoritmo diagnóstico con el cual se pretende mejorar la vinculación.</w:t>
            </w:r>
          </w:p>
          <w:p w14:paraId="276DDEDD" w14:textId="77777777" w:rsidR="0057038C" w:rsidRPr="00A478BC" w:rsidRDefault="0057038C" w:rsidP="0057038C">
            <w:pPr>
              <w:spacing w:line="240" w:lineRule="auto"/>
              <w:rPr>
                <w:rFonts w:eastAsia="Calibri"/>
                <w:sz w:val="16"/>
                <w:szCs w:val="16"/>
                <w:lang w:val="es-NI" w:eastAsia="es-BO"/>
              </w:rPr>
            </w:pPr>
            <w:r w:rsidRPr="00CF71E0">
              <w:rPr>
                <w:rFonts w:eastAsia="Times New Roman"/>
                <w:b/>
                <w:bCs/>
                <w:sz w:val="16"/>
                <w:szCs w:val="16"/>
                <w:lang w:val="es-NI" w:eastAsia="es-SV"/>
              </w:rPr>
              <w:t>Desafíos, obstáculos e inequidades</w:t>
            </w:r>
            <w:r w:rsidRPr="00CF71E0">
              <w:rPr>
                <w:rFonts w:eastAsia="Times New Roman"/>
                <w:sz w:val="16"/>
                <w:szCs w:val="16"/>
                <w:lang w:val="es-NI" w:eastAsia="es-SV"/>
              </w:rPr>
              <w:t>:</w:t>
            </w:r>
            <w:r w:rsidRPr="001E0232">
              <w:rPr>
                <w:rFonts w:eastAsia="Calibri"/>
                <w:sz w:val="16"/>
                <w:szCs w:val="16"/>
                <w:lang w:val="es-NI" w:eastAsia="es-BO"/>
              </w:rPr>
              <w:t xml:space="preserve">  Riesgo social, por la violencia que enfrenta el país, territorialidad por parte de los grupos de pandillas que limitan que las poblaciones claves y el personal de salud se trasladen de un municipio al otro para tener acceso a la prueba, temor personal a conocer su estatus serológico ante sus prácticas riesgo.</w:t>
            </w:r>
          </w:p>
        </w:tc>
        <w:tc>
          <w:tcPr>
            <w:tcW w:w="2872" w:type="dxa"/>
            <w:shd w:val="clear" w:color="auto" w:fill="auto"/>
          </w:tcPr>
          <w:p w14:paraId="3D0B8F83" w14:textId="77777777" w:rsidR="0057038C" w:rsidRPr="00A478BC" w:rsidRDefault="0057038C" w:rsidP="00617951">
            <w:pPr>
              <w:pStyle w:val="ListParagraph"/>
              <w:numPr>
                <w:ilvl w:val="0"/>
                <w:numId w:val="56"/>
              </w:numPr>
              <w:spacing w:after="0" w:line="240" w:lineRule="auto"/>
              <w:rPr>
                <w:rFonts w:eastAsia="Times New Roman"/>
                <w:b/>
                <w:color w:val="000000"/>
                <w:sz w:val="16"/>
                <w:szCs w:val="16"/>
                <w:lang w:val="es-NI" w:eastAsia="es-SV"/>
              </w:rPr>
            </w:pPr>
            <w:r w:rsidRPr="00A478BC">
              <w:rPr>
                <w:rFonts w:eastAsia="Times New Roman"/>
                <w:b/>
                <w:color w:val="000000"/>
                <w:sz w:val="16"/>
                <w:szCs w:val="16"/>
                <w:lang w:val="es-NI" w:eastAsia="es-SV"/>
              </w:rPr>
              <w:lastRenderedPageBreak/>
              <w:t>y 2. Pruebas</w:t>
            </w:r>
          </w:p>
          <w:p w14:paraId="7F8D7C83" w14:textId="77777777" w:rsidR="0057038C" w:rsidRPr="00A478BC" w:rsidRDefault="0057038C" w:rsidP="0057038C">
            <w:pPr>
              <w:spacing w:after="60" w:line="240" w:lineRule="auto"/>
              <w:jc w:val="both"/>
              <w:rPr>
                <w:rFonts w:eastAsia="Calibri"/>
                <w:sz w:val="16"/>
                <w:szCs w:val="16"/>
                <w:lang w:val="es-NI" w:eastAsia="es-BO"/>
              </w:rPr>
            </w:pPr>
            <w:r w:rsidRPr="00A478BC">
              <w:rPr>
                <w:rFonts w:eastAsia="Calibri"/>
                <w:sz w:val="16"/>
                <w:szCs w:val="16"/>
                <w:lang w:val="es-NI" w:eastAsia="es-BO"/>
              </w:rPr>
              <w:t>El desempeño se medirá en porcentaje contra el resultado. Los RP informarán numerador y denominador.</w:t>
            </w:r>
          </w:p>
          <w:p w14:paraId="71EEAB51" w14:textId="77777777" w:rsidR="0057038C" w:rsidRPr="00A478BC" w:rsidRDefault="0057038C" w:rsidP="0057038C">
            <w:pPr>
              <w:spacing w:before="120" w:after="60" w:line="240" w:lineRule="auto"/>
              <w:jc w:val="both"/>
              <w:rPr>
                <w:rFonts w:eastAsia="Calibri"/>
                <w:sz w:val="16"/>
                <w:szCs w:val="16"/>
                <w:lang w:val="es-NI" w:eastAsia="es-BO"/>
              </w:rPr>
            </w:pPr>
            <w:r w:rsidRPr="00A478BC">
              <w:rPr>
                <w:rFonts w:eastAsia="Calibri"/>
                <w:sz w:val="16"/>
                <w:szCs w:val="16"/>
                <w:lang w:val="es-NI" w:eastAsia="es-BO"/>
              </w:rPr>
              <w:t xml:space="preserve">Numerador: Número total de HSH/ TG/ MTS que resultaron positivos al realizarse la prueba de VIH en el sistema nacional de salud durante el período a evaluar. </w:t>
            </w:r>
          </w:p>
          <w:p w14:paraId="6C2F3AD5" w14:textId="77777777" w:rsidR="0057038C" w:rsidRPr="00A478BC" w:rsidRDefault="0057038C" w:rsidP="0057038C">
            <w:pPr>
              <w:spacing w:after="60" w:line="240" w:lineRule="auto"/>
              <w:jc w:val="both"/>
              <w:rPr>
                <w:rFonts w:eastAsia="Calibri"/>
                <w:sz w:val="16"/>
                <w:szCs w:val="16"/>
                <w:lang w:val="es-NI" w:eastAsia="es-BO"/>
              </w:rPr>
            </w:pPr>
            <w:r w:rsidRPr="00A478BC">
              <w:rPr>
                <w:rFonts w:eastAsia="Calibri"/>
                <w:sz w:val="16"/>
                <w:szCs w:val="16"/>
                <w:lang w:val="es-NI" w:eastAsia="es-BO"/>
              </w:rPr>
              <w:t>Denominador: Total de HSH/TG/MTS a los que se le realizó la prueba de VIH en el sistema nacional en el período a evaluar.</w:t>
            </w:r>
          </w:p>
          <w:p w14:paraId="6AF0F9AF" w14:textId="77777777" w:rsidR="0057038C" w:rsidRPr="00A478BC" w:rsidRDefault="0057038C" w:rsidP="0057038C">
            <w:pPr>
              <w:spacing w:after="0" w:line="240" w:lineRule="auto"/>
              <w:rPr>
                <w:rFonts w:eastAsia="Times New Roman"/>
                <w:bCs/>
                <w:color w:val="000000"/>
                <w:sz w:val="16"/>
                <w:szCs w:val="16"/>
                <w:lang w:val="es-NI" w:eastAsia="es-SV"/>
              </w:rPr>
            </w:pPr>
          </w:p>
          <w:p w14:paraId="39A7959A" w14:textId="77777777" w:rsidR="0057038C" w:rsidRPr="00A478BC" w:rsidRDefault="0057038C" w:rsidP="0057038C">
            <w:pPr>
              <w:spacing w:after="0" w:line="240" w:lineRule="auto"/>
              <w:ind w:left="178"/>
              <w:rPr>
                <w:rFonts w:eastAsia="Times New Roman"/>
                <w:bCs/>
                <w:color w:val="000000"/>
                <w:sz w:val="16"/>
                <w:szCs w:val="16"/>
                <w:lang w:val="es-NI" w:eastAsia="es-SV"/>
              </w:rPr>
            </w:pPr>
            <w:r w:rsidRPr="00A478BC">
              <w:rPr>
                <w:rFonts w:eastAsia="Times New Roman"/>
                <w:bCs/>
                <w:color w:val="000000"/>
                <w:sz w:val="16"/>
                <w:szCs w:val="16"/>
                <w:lang w:val="es-NI" w:eastAsia="es-SV"/>
              </w:rPr>
              <w:t>Población HSH | # pruebas</w:t>
            </w:r>
          </w:p>
          <w:p w14:paraId="6D23057E" w14:textId="77777777" w:rsidR="0057038C" w:rsidRPr="00A478BC" w:rsidRDefault="0057038C" w:rsidP="0057038C">
            <w:pPr>
              <w:spacing w:after="0" w:line="240" w:lineRule="auto"/>
              <w:ind w:left="372"/>
              <w:rPr>
                <w:rFonts w:eastAsia="Times New Roman"/>
                <w:bCs/>
                <w:color w:val="000000"/>
                <w:sz w:val="16"/>
                <w:szCs w:val="16"/>
                <w:lang w:val="es-NI" w:eastAsia="es-SV"/>
              </w:rPr>
            </w:pPr>
            <w:r w:rsidRPr="00A478BC">
              <w:rPr>
                <w:rFonts w:eastAsia="Times New Roman"/>
                <w:bCs/>
                <w:color w:val="000000"/>
                <w:sz w:val="16"/>
                <w:szCs w:val="16"/>
                <w:lang w:val="es-NI" w:eastAsia="es-SV"/>
              </w:rPr>
              <w:t>Meta Año1: 3.70% (20,152)</w:t>
            </w:r>
          </w:p>
          <w:p w14:paraId="739696BA" w14:textId="77777777" w:rsidR="0057038C" w:rsidRPr="00A478BC" w:rsidRDefault="0057038C" w:rsidP="0057038C">
            <w:pPr>
              <w:spacing w:after="0" w:line="240" w:lineRule="auto"/>
              <w:ind w:left="372"/>
              <w:rPr>
                <w:rFonts w:eastAsia="Times New Roman"/>
                <w:bCs/>
                <w:color w:val="000000"/>
                <w:sz w:val="16"/>
                <w:szCs w:val="16"/>
                <w:lang w:val="es-NI" w:eastAsia="es-SV"/>
              </w:rPr>
            </w:pPr>
            <w:r w:rsidRPr="00A478BC">
              <w:rPr>
                <w:rFonts w:eastAsia="Times New Roman"/>
                <w:bCs/>
                <w:color w:val="000000"/>
                <w:sz w:val="16"/>
                <w:szCs w:val="16"/>
                <w:lang w:val="es-NI" w:eastAsia="es-SV"/>
              </w:rPr>
              <w:t>Meta Año2: 5.70% (20,555)</w:t>
            </w:r>
          </w:p>
          <w:p w14:paraId="73214365" w14:textId="77777777" w:rsidR="0057038C" w:rsidRPr="00A478BC" w:rsidRDefault="0057038C" w:rsidP="0057038C">
            <w:pPr>
              <w:spacing w:after="60" w:line="240" w:lineRule="auto"/>
              <w:ind w:left="372"/>
              <w:rPr>
                <w:rFonts w:eastAsia="Times New Roman"/>
                <w:bCs/>
                <w:color w:val="000000"/>
                <w:sz w:val="16"/>
                <w:szCs w:val="16"/>
                <w:lang w:val="es-NI" w:eastAsia="es-SV"/>
              </w:rPr>
            </w:pPr>
            <w:r w:rsidRPr="00A478BC">
              <w:rPr>
                <w:rFonts w:eastAsia="Times New Roman"/>
                <w:bCs/>
                <w:color w:val="000000"/>
                <w:sz w:val="16"/>
                <w:szCs w:val="16"/>
                <w:lang w:val="es-NI" w:eastAsia="es-SV"/>
              </w:rPr>
              <w:t>Meta Año3: 7.70% (20,20,966)</w:t>
            </w:r>
          </w:p>
          <w:p w14:paraId="5E237433" w14:textId="77777777" w:rsidR="0057038C" w:rsidRPr="00A478BC" w:rsidRDefault="0057038C" w:rsidP="0057038C">
            <w:pPr>
              <w:spacing w:after="0" w:line="240" w:lineRule="auto"/>
              <w:ind w:left="178"/>
              <w:rPr>
                <w:rFonts w:eastAsia="Times New Roman"/>
                <w:bCs/>
                <w:color w:val="000000"/>
                <w:sz w:val="16"/>
                <w:szCs w:val="16"/>
                <w:lang w:val="es-NI" w:eastAsia="es-SV"/>
              </w:rPr>
            </w:pPr>
            <w:r w:rsidRPr="00A478BC">
              <w:rPr>
                <w:rFonts w:eastAsia="Times New Roman"/>
                <w:bCs/>
                <w:color w:val="000000"/>
                <w:sz w:val="16"/>
                <w:szCs w:val="16"/>
                <w:lang w:val="es-NI" w:eastAsia="es-SV"/>
              </w:rPr>
              <w:lastRenderedPageBreak/>
              <w:t>Población MTrans | # pruebas</w:t>
            </w:r>
          </w:p>
          <w:p w14:paraId="112DA1C5" w14:textId="77777777" w:rsidR="0057038C" w:rsidRPr="00A478BC" w:rsidRDefault="0057038C" w:rsidP="0057038C">
            <w:pPr>
              <w:spacing w:after="0" w:line="240" w:lineRule="auto"/>
              <w:ind w:left="372"/>
              <w:rPr>
                <w:rFonts w:eastAsia="Times New Roman"/>
                <w:bCs/>
                <w:color w:val="000000"/>
                <w:sz w:val="16"/>
                <w:szCs w:val="16"/>
                <w:lang w:val="es-NI" w:eastAsia="es-SV"/>
              </w:rPr>
            </w:pPr>
            <w:r w:rsidRPr="00A478BC">
              <w:rPr>
                <w:rFonts w:eastAsia="Times New Roman"/>
                <w:bCs/>
                <w:color w:val="000000"/>
                <w:sz w:val="16"/>
                <w:szCs w:val="16"/>
                <w:lang w:val="es-NI" w:eastAsia="es-SV"/>
              </w:rPr>
              <w:t>Meta Año1: 4.00% (1,087)</w:t>
            </w:r>
          </w:p>
          <w:p w14:paraId="1EA3C2DB" w14:textId="77777777" w:rsidR="0057038C" w:rsidRPr="00A478BC" w:rsidRDefault="0057038C" w:rsidP="0057038C">
            <w:pPr>
              <w:spacing w:after="0" w:line="240" w:lineRule="auto"/>
              <w:ind w:left="372"/>
              <w:rPr>
                <w:rFonts w:eastAsia="Times New Roman"/>
                <w:bCs/>
                <w:color w:val="000000"/>
                <w:sz w:val="16"/>
                <w:szCs w:val="16"/>
                <w:lang w:val="es-NI" w:eastAsia="es-SV"/>
              </w:rPr>
            </w:pPr>
            <w:r w:rsidRPr="00A478BC">
              <w:rPr>
                <w:rFonts w:eastAsia="Times New Roman"/>
                <w:bCs/>
                <w:color w:val="000000"/>
                <w:sz w:val="16"/>
                <w:szCs w:val="16"/>
                <w:lang w:val="es-NI" w:eastAsia="es-SV"/>
              </w:rPr>
              <w:t>Meta Año2: 6.00% (1,109)</w:t>
            </w:r>
          </w:p>
          <w:p w14:paraId="0B771F8F" w14:textId="77777777" w:rsidR="0057038C" w:rsidRPr="00A478BC" w:rsidRDefault="0057038C" w:rsidP="0057038C">
            <w:pPr>
              <w:spacing w:after="60" w:line="240" w:lineRule="auto"/>
              <w:ind w:left="372"/>
              <w:rPr>
                <w:rFonts w:eastAsia="Times New Roman"/>
                <w:bCs/>
                <w:color w:val="000000"/>
                <w:sz w:val="16"/>
                <w:szCs w:val="16"/>
                <w:lang w:val="es-NI" w:eastAsia="es-SV"/>
              </w:rPr>
            </w:pPr>
            <w:r w:rsidRPr="00A478BC">
              <w:rPr>
                <w:rFonts w:eastAsia="Times New Roman"/>
                <w:bCs/>
                <w:color w:val="000000"/>
                <w:sz w:val="16"/>
                <w:szCs w:val="16"/>
                <w:lang w:val="es-NI" w:eastAsia="es-SV"/>
              </w:rPr>
              <w:t>Meta Año3: 8.00% (1,131)</w:t>
            </w:r>
          </w:p>
          <w:p w14:paraId="740255D0" w14:textId="77777777" w:rsidR="0057038C" w:rsidRPr="00A478BC" w:rsidRDefault="0057038C" w:rsidP="0057038C">
            <w:pPr>
              <w:spacing w:after="0" w:line="240" w:lineRule="auto"/>
              <w:ind w:left="178"/>
              <w:rPr>
                <w:rFonts w:eastAsia="Times New Roman"/>
                <w:bCs/>
                <w:color w:val="000000"/>
                <w:sz w:val="16"/>
                <w:szCs w:val="16"/>
                <w:lang w:val="es-NI" w:eastAsia="es-SV"/>
              </w:rPr>
            </w:pPr>
            <w:r w:rsidRPr="00A478BC">
              <w:rPr>
                <w:rFonts w:eastAsia="Times New Roman"/>
                <w:bCs/>
                <w:color w:val="000000"/>
                <w:sz w:val="16"/>
                <w:szCs w:val="16"/>
                <w:lang w:val="es-NI" w:eastAsia="es-SV"/>
              </w:rPr>
              <w:t>Población MTS | # pruebas</w:t>
            </w:r>
          </w:p>
          <w:p w14:paraId="18A2F47E" w14:textId="77777777" w:rsidR="0057038C" w:rsidRPr="00A478BC" w:rsidRDefault="0057038C" w:rsidP="0057038C">
            <w:pPr>
              <w:spacing w:after="0" w:line="240" w:lineRule="auto"/>
              <w:ind w:left="372"/>
              <w:rPr>
                <w:rFonts w:eastAsia="Times New Roman"/>
                <w:bCs/>
                <w:color w:val="000000"/>
                <w:sz w:val="16"/>
                <w:szCs w:val="16"/>
                <w:lang w:val="es-NI" w:eastAsia="es-SV"/>
              </w:rPr>
            </w:pPr>
            <w:r w:rsidRPr="00A478BC">
              <w:rPr>
                <w:rFonts w:eastAsia="Times New Roman"/>
                <w:bCs/>
                <w:color w:val="000000"/>
                <w:sz w:val="16"/>
                <w:szCs w:val="16"/>
                <w:lang w:val="es-NI" w:eastAsia="es-SV"/>
              </w:rPr>
              <w:t>Meta Año1: 0.94% (9.477)</w:t>
            </w:r>
          </w:p>
          <w:p w14:paraId="3E8A36DA" w14:textId="77777777" w:rsidR="0057038C" w:rsidRPr="00A478BC" w:rsidRDefault="0057038C" w:rsidP="0057038C">
            <w:pPr>
              <w:spacing w:after="0" w:line="240" w:lineRule="auto"/>
              <w:ind w:left="372"/>
              <w:rPr>
                <w:rFonts w:eastAsia="Times New Roman"/>
                <w:bCs/>
                <w:color w:val="000000"/>
                <w:sz w:val="16"/>
                <w:szCs w:val="16"/>
                <w:lang w:val="es-NI" w:eastAsia="es-SV"/>
              </w:rPr>
            </w:pPr>
            <w:r w:rsidRPr="00A478BC">
              <w:rPr>
                <w:rFonts w:eastAsia="Times New Roman"/>
                <w:bCs/>
                <w:color w:val="000000"/>
                <w:sz w:val="16"/>
                <w:szCs w:val="16"/>
                <w:lang w:val="es-NI" w:eastAsia="es-SV"/>
              </w:rPr>
              <w:t>Meta Año2: 1.39% (9,667)</w:t>
            </w:r>
          </w:p>
          <w:p w14:paraId="5767220F" w14:textId="77777777" w:rsidR="0057038C" w:rsidRPr="00A478BC" w:rsidRDefault="0057038C" w:rsidP="0057038C">
            <w:pPr>
              <w:spacing w:after="0" w:line="240" w:lineRule="auto"/>
              <w:ind w:left="372"/>
              <w:rPr>
                <w:rFonts w:eastAsia="Times New Roman"/>
                <w:bCs/>
                <w:color w:val="000000"/>
                <w:sz w:val="16"/>
                <w:szCs w:val="16"/>
                <w:lang w:val="es-NI" w:eastAsia="es-SV"/>
              </w:rPr>
            </w:pPr>
            <w:r w:rsidRPr="00A478BC">
              <w:rPr>
                <w:rFonts w:eastAsia="Times New Roman"/>
                <w:bCs/>
                <w:color w:val="000000"/>
                <w:sz w:val="16"/>
                <w:szCs w:val="16"/>
                <w:lang w:val="es-NI" w:eastAsia="es-SV"/>
              </w:rPr>
              <w:t>Meta Año3: 1.72% (9,860)</w:t>
            </w:r>
          </w:p>
          <w:p w14:paraId="2A9283A0" w14:textId="77777777" w:rsidR="0057038C" w:rsidRPr="00A478BC" w:rsidRDefault="0057038C" w:rsidP="0057038C">
            <w:pPr>
              <w:spacing w:after="0" w:line="240" w:lineRule="auto"/>
              <w:ind w:left="372"/>
              <w:rPr>
                <w:rFonts w:eastAsia="Times New Roman"/>
                <w:bCs/>
                <w:color w:val="000000"/>
                <w:sz w:val="16"/>
                <w:szCs w:val="16"/>
                <w:lang w:val="es-NI" w:eastAsia="es-SV"/>
              </w:rPr>
            </w:pPr>
          </w:p>
          <w:p w14:paraId="51D0535C" w14:textId="5FB1717D" w:rsidR="0057038C" w:rsidRPr="00A478BC" w:rsidRDefault="0057038C" w:rsidP="0057038C">
            <w:pPr>
              <w:spacing w:line="240" w:lineRule="auto"/>
              <w:rPr>
                <w:rFonts w:eastAsia="Times New Roman"/>
                <w:bCs/>
                <w:color w:val="000000"/>
                <w:sz w:val="16"/>
                <w:szCs w:val="16"/>
                <w:lang w:val="es-NI" w:eastAsia="es-SV"/>
              </w:rPr>
            </w:pPr>
            <w:r w:rsidRPr="00A478BC">
              <w:rPr>
                <w:rFonts w:eastAsia="Calibri"/>
                <w:sz w:val="16"/>
                <w:szCs w:val="16"/>
                <w:lang w:val="es-NI" w:eastAsia="es-SV"/>
              </w:rPr>
              <w:t xml:space="preserve">Para la población </w:t>
            </w:r>
            <w:r w:rsidRPr="001E0232">
              <w:rPr>
                <w:rFonts w:eastAsia="Calibri"/>
                <w:sz w:val="16"/>
                <w:szCs w:val="16"/>
                <w:lang w:val="es-NI" w:eastAsia="es-SV"/>
              </w:rPr>
              <w:t>Privada de libertad</w:t>
            </w:r>
            <w:r w:rsidRPr="00A478BC">
              <w:rPr>
                <w:rFonts w:eastAsia="Calibri"/>
                <w:sz w:val="16"/>
                <w:szCs w:val="16"/>
                <w:lang w:val="es-NI" w:eastAsia="es-SV"/>
              </w:rPr>
              <w:t xml:space="preserve"> no se lleva un indicador, pero por el riesgo social que enfrenta esta población dentro de los centros penitenciarios, centros de detención de menores y bartolinas se incluye la realización de dos tamizajes al año (VIH y sífilis), según los Lineamientos de atención integral para PPL, de los cuales uno es </w:t>
            </w:r>
            <w:r w:rsidRPr="00424489">
              <w:rPr>
                <w:rFonts w:eastAsia="Calibri"/>
                <w:sz w:val="16"/>
                <w:szCs w:val="16"/>
                <w:lang w:val="es-NI" w:eastAsia="es-SV"/>
              </w:rPr>
              <w:t>financiado por el Estado y otro por el FM.</w:t>
            </w:r>
            <w:r w:rsidRPr="00424489">
              <w:rPr>
                <w:rFonts w:eastAsia="Times New Roman"/>
                <w:bCs/>
                <w:color w:val="000000"/>
                <w:sz w:val="16"/>
                <w:szCs w:val="16"/>
                <w:lang w:val="es-NI" w:eastAsia="es-SV"/>
              </w:rPr>
              <w:t xml:space="preserve"> (A</w:t>
            </w:r>
            <w:r w:rsidR="008224EC" w:rsidRPr="00424489">
              <w:rPr>
                <w:rFonts w:eastAsia="Times New Roman"/>
                <w:bCs/>
                <w:color w:val="000000"/>
                <w:sz w:val="16"/>
                <w:szCs w:val="16"/>
                <w:lang w:val="es-NI" w:eastAsia="es-SV"/>
              </w:rPr>
              <w:t>nexo 1.23</w:t>
            </w:r>
            <w:r w:rsidRPr="00424489">
              <w:rPr>
                <w:rFonts w:eastAsia="Times New Roman"/>
                <w:bCs/>
                <w:color w:val="000000"/>
                <w:sz w:val="16"/>
                <w:szCs w:val="16"/>
                <w:lang w:val="es-NI" w:eastAsia="es-SV"/>
              </w:rPr>
              <w:t>)</w:t>
            </w:r>
          </w:p>
          <w:p w14:paraId="401AE024" w14:textId="77777777" w:rsidR="0057038C" w:rsidRPr="00A478BC" w:rsidRDefault="0057038C" w:rsidP="0057038C">
            <w:pPr>
              <w:spacing w:line="240" w:lineRule="auto"/>
              <w:rPr>
                <w:rFonts w:eastAsia="Times New Roman"/>
                <w:bCs/>
                <w:color w:val="000000"/>
                <w:sz w:val="16"/>
                <w:szCs w:val="16"/>
                <w:lang w:val="es-NI" w:eastAsia="es-SV"/>
              </w:rPr>
            </w:pPr>
            <w:r w:rsidRPr="001E0232">
              <w:rPr>
                <w:rFonts w:eastAsia="Calibri"/>
                <w:b/>
                <w:bCs/>
                <w:sz w:val="16"/>
                <w:szCs w:val="16"/>
                <w:lang w:val="es-NI" w:eastAsia="es-BO"/>
              </w:rPr>
              <w:t>Resultado esperado:</w:t>
            </w:r>
            <w:r w:rsidRPr="001E0232">
              <w:rPr>
                <w:rFonts w:eastAsia="Calibri"/>
                <w:sz w:val="16"/>
                <w:szCs w:val="16"/>
                <w:lang w:val="es-NI" w:eastAsia="es-BO"/>
              </w:rPr>
              <w:t xml:space="preserve"> A través de actividades extramurales, unidades móviles que permiten el acceso a la prueba a estas poblaciones que no les gusta asistir a establecimientos de salud y que prefieren el abordaje en sus comunidades y la accesibilidad a la prueba en horarios diferenciados, nos permitirá aumentar el número de atenciones y por ende contribuir al primer pilar de la cascada,</w:t>
            </w:r>
          </w:p>
        </w:tc>
        <w:tc>
          <w:tcPr>
            <w:tcW w:w="2156" w:type="dxa"/>
          </w:tcPr>
          <w:p w14:paraId="6215983F" w14:textId="77777777" w:rsidR="0057038C" w:rsidRPr="00A478BC" w:rsidRDefault="0057038C" w:rsidP="00617951">
            <w:pPr>
              <w:pStyle w:val="ListParagraph"/>
              <w:numPr>
                <w:ilvl w:val="0"/>
                <w:numId w:val="59"/>
              </w:numPr>
              <w:spacing w:after="0" w:line="240" w:lineRule="auto"/>
              <w:rPr>
                <w:rFonts w:eastAsia="Times New Roman"/>
                <w:bCs/>
                <w:color w:val="000000"/>
                <w:sz w:val="16"/>
                <w:szCs w:val="16"/>
                <w:lang w:val="es-NI" w:eastAsia="es-SV"/>
              </w:rPr>
            </w:pPr>
            <w:r w:rsidRPr="00A478BC">
              <w:rPr>
                <w:rFonts w:eastAsia="Times New Roman"/>
                <w:bCs/>
                <w:color w:val="000000"/>
                <w:sz w:val="16"/>
                <w:szCs w:val="16"/>
                <w:lang w:val="es-NI" w:eastAsia="es-SV"/>
              </w:rPr>
              <w:lastRenderedPageBreak/>
              <w:t>Pruebas a nivel de establecimientos de salud</w:t>
            </w:r>
          </w:p>
          <w:p w14:paraId="717E9A8D" w14:textId="4B99C763" w:rsidR="0057038C" w:rsidRPr="00A478BC" w:rsidRDefault="00AE79D5" w:rsidP="0057038C">
            <w:pPr>
              <w:spacing w:after="0" w:line="240" w:lineRule="auto"/>
              <w:jc w:val="right"/>
              <w:rPr>
                <w:rFonts w:eastAsia="Times New Roman"/>
                <w:b/>
                <w:color w:val="000000"/>
                <w:sz w:val="16"/>
                <w:szCs w:val="16"/>
                <w:lang w:val="es-NI" w:eastAsia="es-SV"/>
              </w:rPr>
            </w:pPr>
            <w:r w:rsidRPr="00EF732D">
              <w:rPr>
                <w:rFonts w:eastAsia="Times New Roman"/>
                <w:b/>
                <w:color w:val="000000"/>
                <w:sz w:val="16"/>
                <w:szCs w:val="16"/>
                <w:lang w:val="es-NI" w:eastAsia="es-SV"/>
              </w:rPr>
              <w:t>$713,948</w:t>
            </w:r>
          </w:p>
          <w:p w14:paraId="20FC021E" w14:textId="77777777" w:rsidR="0057038C" w:rsidRPr="00A478BC" w:rsidRDefault="0057038C" w:rsidP="0057038C">
            <w:pPr>
              <w:spacing w:after="0" w:line="240" w:lineRule="auto"/>
              <w:rPr>
                <w:rFonts w:eastAsia="Times New Roman"/>
                <w:b/>
                <w:color w:val="000000"/>
                <w:sz w:val="16"/>
                <w:szCs w:val="16"/>
                <w:lang w:val="es-NI" w:eastAsia="es-SV"/>
              </w:rPr>
            </w:pPr>
          </w:p>
          <w:p w14:paraId="7EEA0C24" w14:textId="77777777" w:rsidR="0057038C" w:rsidRPr="00A478BC" w:rsidRDefault="0057038C" w:rsidP="00617951">
            <w:pPr>
              <w:pStyle w:val="ListParagraph"/>
              <w:numPr>
                <w:ilvl w:val="0"/>
                <w:numId w:val="59"/>
              </w:numPr>
              <w:spacing w:after="0" w:line="240" w:lineRule="auto"/>
              <w:rPr>
                <w:rFonts w:eastAsia="Times New Roman"/>
                <w:bCs/>
                <w:color w:val="000000"/>
                <w:sz w:val="16"/>
                <w:szCs w:val="16"/>
                <w:lang w:val="es-NI" w:eastAsia="es-SV"/>
              </w:rPr>
            </w:pPr>
            <w:r w:rsidRPr="00A478BC">
              <w:rPr>
                <w:rFonts w:eastAsia="Times New Roman"/>
                <w:bCs/>
                <w:color w:val="000000"/>
                <w:sz w:val="16"/>
                <w:szCs w:val="16"/>
                <w:lang w:val="es-NI" w:eastAsia="es-SV"/>
              </w:rPr>
              <w:t>Pruebas a nivel comunitario</w:t>
            </w:r>
          </w:p>
          <w:p w14:paraId="73E0B9B6" w14:textId="77777777" w:rsidR="0057038C" w:rsidRPr="00A478BC" w:rsidRDefault="0057038C" w:rsidP="0057038C">
            <w:pPr>
              <w:spacing w:after="0" w:line="240" w:lineRule="auto"/>
              <w:jc w:val="right"/>
              <w:rPr>
                <w:rFonts w:eastAsia="Times New Roman"/>
                <w:b/>
                <w:color w:val="000000"/>
                <w:sz w:val="16"/>
                <w:szCs w:val="16"/>
                <w:lang w:val="es-NI" w:eastAsia="es-SV"/>
              </w:rPr>
            </w:pPr>
            <w:r w:rsidRPr="00A478BC">
              <w:rPr>
                <w:rFonts w:eastAsia="Times New Roman"/>
                <w:b/>
                <w:color w:val="000000"/>
                <w:sz w:val="16"/>
                <w:szCs w:val="16"/>
                <w:lang w:val="es-NI" w:eastAsia="es-SV"/>
              </w:rPr>
              <w:t>$859,171</w:t>
            </w:r>
          </w:p>
          <w:p w14:paraId="0F41660B" w14:textId="77777777" w:rsidR="0057038C" w:rsidRPr="00A478BC" w:rsidRDefault="0057038C" w:rsidP="0057038C">
            <w:pPr>
              <w:spacing w:after="0" w:line="240" w:lineRule="auto"/>
              <w:rPr>
                <w:rFonts w:eastAsia="Times New Roman"/>
                <w:b/>
                <w:color w:val="000000"/>
                <w:sz w:val="16"/>
                <w:szCs w:val="16"/>
                <w:lang w:val="es-NI" w:eastAsia="es-SV"/>
              </w:rPr>
            </w:pPr>
          </w:p>
          <w:p w14:paraId="6E5D512D" w14:textId="6C8B337F" w:rsidR="0057038C" w:rsidRPr="00A478BC" w:rsidRDefault="0057038C" w:rsidP="003F1951">
            <w:pPr>
              <w:spacing w:after="0" w:line="240" w:lineRule="auto"/>
              <w:rPr>
                <w:rFonts w:eastAsia="Times New Roman"/>
                <w:bCs/>
                <w:color w:val="000000"/>
                <w:sz w:val="16"/>
                <w:szCs w:val="16"/>
                <w:lang w:val="es-NI" w:eastAsia="es-SV"/>
              </w:rPr>
            </w:pPr>
            <w:r w:rsidRPr="001E0232">
              <w:rPr>
                <w:rFonts w:eastAsia="Calibri"/>
                <w:sz w:val="16"/>
                <w:szCs w:val="16"/>
                <w:lang w:val="es-NI" w:eastAsia="es-BO"/>
              </w:rPr>
              <w:t xml:space="preserve">FM va a contribuir a la adquisición del 60% (año 1), 50% (año 2) y 40% (año 3) de los test de VIH y 80% de los reactivos para ITS para las poblaciones claves. </w:t>
            </w:r>
            <w:r w:rsidRPr="001E0232">
              <w:rPr>
                <w:rFonts w:eastAsia="Times New Roman"/>
                <w:bCs/>
                <w:sz w:val="16"/>
                <w:szCs w:val="16"/>
                <w:lang w:val="es-NI" w:eastAsia="es-SV"/>
              </w:rPr>
              <w:t xml:space="preserve">Para PPL, el FM va a contribuir con la adquisición del 50% de los test de VIH. </w:t>
            </w:r>
            <w:r w:rsidRPr="001E0232">
              <w:rPr>
                <w:rFonts w:eastAsia="Calibri"/>
                <w:sz w:val="16"/>
                <w:szCs w:val="16"/>
                <w:lang w:val="es-NI" w:eastAsia="es-BO"/>
              </w:rPr>
              <w:t xml:space="preserve">El resto será </w:t>
            </w:r>
            <w:r w:rsidRPr="001E0232">
              <w:rPr>
                <w:rFonts w:eastAsia="Calibri"/>
                <w:sz w:val="16"/>
                <w:szCs w:val="16"/>
                <w:lang w:val="es-NI" w:eastAsia="es-BO"/>
              </w:rPr>
              <w:lastRenderedPageBreak/>
              <w:t>cubierto por el MINSAL para asegurar el 100%.</w:t>
            </w:r>
          </w:p>
        </w:tc>
      </w:tr>
      <w:tr w:rsidR="0057038C" w:rsidRPr="00C8511B" w14:paraId="7B076C97" w14:textId="77777777" w:rsidTr="0057038C">
        <w:tc>
          <w:tcPr>
            <w:tcW w:w="715" w:type="dxa"/>
            <w:vMerge/>
            <w:shd w:val="clear" w:color="auto" w:fill="auto"/>
            <w:textDirection w:val="btLr"/>
            <w:vAlign w:val="center"/>
          </w:tcPr>
          <w:p w14:paraId="59855E20" w14:textId="77777777" w:rsidR="0057038C" w:rsidRPr="006E25E0" w:rsidRDefault="0057038C" w:rsidP="0057038C">
            <w:pPr>
              <w:spacing w:after="0" w:line="240" w:lineRule="auto"/>
              <w:ind w:left="113" w:right="113"/>
              <w:jc w:val="center"/>
              <w:rPr>
                <w:rFonts w:eastAsia="Calibri"/>
                <w:b/>
                <w:sz w:val="16"/>
                <w:szCs w:val="16"/>
                <w:lang w:val="es-NI" w:eastAsia="es-BO"/>
              </w:rPr>
            </w:pPr>
          </w:p>
        </w:tc>
        <w:tc>
          <w:tcPr>
            <w:tcW w:w="4175" w:type="dxa"/>
            <w:shd w:val="clear" w:color="auto" w:fill="auto"/>
          </w:tcPr>
          <w:p w14:paraId="6C78D5BA" w14:textId="003DAC71" w:rsidR="0057038C" w:rsidRPr="00C713DE" w:rsidRDefault="00D7543F" w:rsidP="00617951">
            <w:pPr>
              <w:pStyle w:val="ListParagraph"/>
              <w:numPr>
                <w:ilvl w:val="0"/>
                <w:numId w:val="59"/>
              </w:numPr>
              <w:spacing w:line="240" w:lineRule="auto"/>
              <w:jc w:val="both"/>
              <w:rPr>
                <w:rFonts w:eastAsia="Calibri"/>
                <w:b/>
                <w:bCs/>
                <w:i/>
                <w:iCs/>
                <w:sz w:val="16"/>
                <w:szCs w:val="16"/>
                <w:lang w:val="es-NI" w:eastAsia="es-BO"/>
              </w:rPr>
            </w:pPr>
            <w:r>
              <w:rPr>
                <w:rFonts w:eastAsia="Times New Roman"/>
                <w:b/>
                <w:i/>
                <w:sz w:val="16"/>
                <w:szCs w:val="16"/>
                <w:lang w:val="es-NI" w:eastAsia="es-SV"/>
              </w:rPr>
              <w:t>Auto prueba</w:t>
            </w:r>
          </w:p>
          <w:p w14:paraId="535AD367" w14:textId="33437C24" w:rsidR="0057038C" w:rsidRPr="006E25E0" w:rsidRDefault="0057038C" w:rsidP="003F1951">
            <w:pPr>
              <w:spacing w:line="240" w:lineRule="auto"/>
              <w:ind w:left="1020"/>
              <w:jc w:val="both"/>
              <w:rPr>
                <w:rFonts w:eastAsia="Calibri"/>
                <w:b/>
                <w:bCs/>
                <w:i/>
                <w:iCs/>
                <w:sz w:val="16"/>
                <w:szCs w:val="16"/>
                <w:lang w:val="es-NI" w:eastAsia="es-BO"/>
              </w:rPr>
            </w:pPr>
            <w:r w:rsidRPr="001E0232">
              <w:rPr>
                <w:rFonts w:eastAsia="Calibri"/>
                <w:i/>
                <w:iCs/>
                <w:sz w:val="16"/>
                <w:szCs w:val="16"/>
                <w:lang w:val="es-NI" w:eastAsia="es-BO"/>
              </w:rPr>
              <w:t xml:space="preserve">Población prioritaria: </w:t>
            </w:r>
            <w:r w:rsidRPr="001E0232">
              <w:rPr>
                <w:rFonts w:eastAsia="Times New Roman"/>
                <w:i/>
                <w:sz w:val="16"/>
                <w:szCs w:val="16"/>
                <w:lang w:val="es-NI" w:eastAsia="es-SV"/>
              </w:rPr>
              <w:t>HSH, Mujeres Trans, MTS, PPL, LGBTI, jóvenes de poblaciones clave</w:t>
            </w:r>
          </w:p>
        </w:tc>
        <w:tc>
          <w:tcPr>
            <w:tcW w:w="6007" w:type="dxa"/>
            <w:shd w:val="clear" w:color="auto" w:fill="auto"/>
          </w:tcPr>
          <w:p w14:paraId="5E6CF8A6" w14:textId="5882633D" w:rsidR="0057038C" w:rsidRDefault="0057038C" w:rsidP="0057038C">
            <w:pPr>
              <w:spacing w:after="60" w:line="240" w:lineRule="auto"/>
              <w:jc w:val="both"/>
              <w:rPr>
                <w:rFonts w:eastAsia="Calibri"/>
                <w:sz w:val="16"/>
                <w:szCs w:val="16"/>
                <w:lang w:val="es-NI" w:eastAsia="es-BO"/>
              </w:rPr>
            </w:pPr>
            <w:r>
              <w:rPr>
                <w:rFonts w:eastAsia="Calibri"/>
                <w:sz w:val="16"/>
                <w:szCs w:val="16"/>
                <w:lang w:val="es-NI" w:eastAsia="es-BO"/>
              </w:rPr>
              <w:t xml:space="preserve">3. </w:t>
            </w:r>
            <w:r w:rsidRPr="006E25E0">
              <w:rPr>
                <w:rFonts w:eastAsia="Calibri"/>
                <w:sz w:val="16"/>
                <w:szCs w:val="16"/>
                <w:lang w:val="es-NI" w:eastAsia="es-BO"/>
              </w:rPr>
              <w:t xml:space="preserve">Se plantea facilitar la disponibilidad de realización de </w:t>
            </w:r>
            <w:r w:rsidR="00D7543F">
              <w:rPr>
                <w:rFonts w:eastAsia="Calibri"/>
                <w:sz w:val="16"/>
                <w:szCs w:val="16"/>
                <w:lang w:val="es-NI" w:eastAsia="es-BO"/>
              </w:rPr>
              <w:t>auto prueba</w:t>
            </w:r>
            <w:r w:rsidRPr="006E25E0">
              <w:rPr>
                <w:rFonts w:eastAsia="Calibri"/>
                <w:sz w:val="16"/>
                <w:szCs w:val="16"/>
                <w:lang w:val="es-NI" w:eastAsia="es-BO"/>
              </w:rPr>
              <w:t xml:space="preserve"> para VIH para conocer el estado serológico en un entorno privado y de su conveniencia, utilizando fluido oral o con sangre obtenida al pincharse un dedo para poblaciones claves, Fuerza Armada y cotizantes del Instituto del Seguro Social, lo cual contribuye a la búsqueda de los casos positivos</w:t>
            </w:r>
            <w:r>
              <w:rPr>
                <w:rFonts w:eastAsia="Calibri"/>
                <w:sz w:val="16"/>
                <w:szCs w:val="16"/>
                <w:lang w:val="es-NI" w:eastAsia="es-BO"/>
              </w:rPr>
              <w:t xml:space="preserve">. Será ofertada en los establecimientos de salud que no cuentan con laboratorio clínico, en donde se le entregará un kit de la </w:t>
            </w:r>
            <w:r w:rsidR="00D7543F">
              <w:rPr>
                <w:rFonts w:eastAsia="Calibri"/>
                <w:sz w:val="16"/>
                <w:szCs w:val="16"/>
                <w:lang w:val="es-NI" w:eastAsia="es-BO"/>
              </w:rPr>
              <w:t>auto prueba</w:t>
            </w:r>
            <w:r w:rsidR="003F1951">
              <w:rPr>
                <w:rFonts w:eastAsia="Calibri"/>
                <w:sz w:val="16"/>
                <w:szCs w:val="16"/>
                <w:lang w:val="es-NI" w:eastAsia="es-BO"/>
              </w:rPr>
              <w:t xml:space="preserve"> </w:t>
            </w:r>
            <w:r>
              <w:rPr>
                <w:rFonts w:eastAsia="Calibri"/>
                <w:sz w:val="16"/>
                <w:szCs w:val="16"/>
                <w:lang w:val="es-NI" w:eastAsia="es-BO"/>
              </w:rPr>
              <w:t>a los usuarios que la acepten, dándole la opción de realizársela frente a un personal de salud o dentro de un entorno privado de su conveniencia que puede ser su propio hogar, durante la entrega del kit se aprovechará brindar pre consejería que estimule al usuario a que -de salir reactiva la prueba- deberá asistir a un establecimiento para iniciar algoritmo diagnóstico.</w:t>
            </w:r>
          </w:p>
          <w:p w14:paraId="158BD72B" w14:textId="06C34E68" w:rsidR="0057038C" w:rsidRDefault="0057038C" w:rsidP="0057038C">
            <w:pPr>
              <w:spacing w:after="60" w:line="240" w:lineRule="auto"/>
              <w:jc w:val="both"/>
              <w:rPr>
                <w:rFonts w:eastAsia="Calibri"/>
                <w:sz w:val="16"/>
                <w:szCs w:val="16"/>
                <w:lang w:val="es-NI" w:eastAsia="es-BO"/>
              </w:rPr>
            </w:pPr>
            <w:r>
              <w:rPr>
                <w:rFonts w:eastAsia="Calibri"/>
                <w:sz w:val="16"/>
                <w:szCs w:val="16"/>
                <w:lang w:val="es-NI" w:eastAsia="es-BO"/>
              </w:rPr>
              <w:lastRenderedPageBreak/>
              <w:t xml:space="preserve">Serán implementados </w:t>
            </w:r>
            <w:r w:rsidRPr="0059029B">
              <w:rPr>
                <w:rFonts w:eastAsia="Calibri"/>
                <w:sz w:val="16"/>
                <w:szCs w:val="16"/>
                <w:lang w:val="es-NI" w:eastAsia="es-BO"/>
              </w:rPr>
              <w:t xml:space="preserve">mecanismos para monitorear los positivos para su diagnóstico confirmatorio a partir </w:t>
            </w:r>
            <w:r w:rsidR="00F71938" w:rsidRPr="0059029B">
              <w:rPr>
                <w:rFonts w:eastAsia="Calibri"/>
                <w:sz w:val="16"/>
                <w:szCs w:val="16"/>
                <w:lang w:val="es-NI" w:eastAsia="es-BO"/>
              </w:rPr>
              <w:t>de la auto prueba</w:t>
            </w:r>
            <w:r w:rsidRPr="0059029B">
              <w:rPr>
                <w:rFonts w:eastAsia="Calibri"/>
                <w:sz w:val="16"/>
                <w:szCs w:val="16"/>
                <w:lang w:val="es-NI" w:eastAsia="es-BO"/>
              </w:rPr>
              <w:t xml:space="preserve">. De esta manera </w:t>
            </w:r>
            <w:r>
              <w:rPr>
                <w:rFonts w:eastAsia="Calibri"/>
                <w:sz w:val="16"/>
                <w:szCs w:val="16"/>
                <w:lang w:val="es-NI" w:eastAsia="es-BO"/>
              </w:rPr>
              <w:t>se podrá</w:t>
            </w:r>
            <w:r w:rsidRPr="0059029B">
              <w:rPr>
                <w:rFonts w:eastAsia="Calibri"/>
                <w:sz w:val="16"/>
                <w:szCs w:val="16"/>
                <w:lang w:val="es-NI" w:eastAsia="es-BO"/>
              </w:rPr>
              <w:t xml:space="preserve"> valorar el rendimiento de esta estrategia.</w:t>
            </w:r>
          </w:p>
          <w:p w14:paraId="30CA3E73" w14:textId="77777777" w:rsidR="0057038C" w:rsidRPr="001E0232" w:rsidRDefault="0057038C" w:rsidP="0057038C">
            <w:pPr>
              <w:spacing w:before="120" w:after="60" w:line="240" w:lineRule="auto"/>
              <w:jc w:val="both"/>
              <w:rPr>
                <w:rFonts w:eastAsia="Calibri"/>
                <w:sz w:val="16"/>
                <w:szCs w:val="16"/>
                <w:lang w:val="es-NI" w:eastAsia="es-BO"/>
              </w:rPr>
            </w:pPr>
            <w:r w:rsidRPr="00CF71E0">
              <w:rPr>
                <w:rFonts w:eastAsia="Times New Roman"/>
                <w:b/>
                <w:bCs/>
                <w:sz w:val="16"/>
                <w:szCs w:val="16"/>
                <w:lang w:val="es-NI" w:eastAsia="es-SV"/>
              </w:rPr>
              <w:t>Desafíos, obstáculos e inequidades</w:t>
            </w:r>
            <w:r w:rsidRPr="00CF71E0">
              <w:rPr>
                <w:rFonts w:eastAsia="Times New Roman"/>
                <w:sz w:val="16"/>
                <w:szCs w:val="16"/>
                <w:lang w:val="es-NI" w:eastAsia="es-SV"/>
              </w:rPr>
              <w:t>:</w:t>
            </w:r>
            <w:r w:rsidRPr="00CF71E0">
              <w:rPr>
                <w:rFonts w:eastAsia="Calibri"/>
                <w:sz w:val="16"/>
                <w:szCs w:val="16"/>
                <w:lang w:val="es-NI" w:eastAsia="es-BO"/>
              </w:rPr>
              <w:t xml:space="preserve">  </w:t>
            </w:r>
            <w:r w:rsidRPr="001E0232">
              <w:rPr>
                <w:rFonts w:eastAsia="Calibri"/>
                <w:sz w:val="16"/>
                <w:szCs w:val="16"/>
                <w:lang w:val="es-NI" w:eastAsia="es-BO"/>
              </w:rPr>
              <w:t xml:space="preserve"> Dificultad para el registro y seguimiento del usuario que no acepte este servicio con la modalidad asistida</w:t>
            </w:r>
          </w:p>
          <w:p w14:paraId="59CA9399" w14:textId="77777777" w:rsidR="0057038C" w:rsidRPr="001E0232" w:rsidRDefault="0057038C" w:rsidP="0057038C">
            <w:pPr>
              <w:spacing w:after="60" w:line="240" w:lineRule="auto"/>
              <w:jc w:val="both"/>
              <w:rPr>
                <w:rFonts w:eastAsia="Calibri"/>
                <w:sz w:val="16"/>
                <w:szCs w:val="16"/>
                <w:lang w:val="es-NI" w:eastAsia="es-BO"/>
              </w:rPr>
            </w:pPr>
            <w:r w:rsidRPr="001E0232">
              <w:rPr>
                <w:rFonts w:eastAsia="Calibri"/>
                <w:sz w:val="16"/>
                <w:szCs w:val="16"/>
                <w:lang w:val="es-NI" w:eastAsia="es-BO"/>
              </w:rPr>
              <w:t>Temor a conocer su diagnóstico serológico</w:t>
            </w:r>
          </w:p>
          <w:p w14:paraId="4B8D3BE8" w14:textId="77777777" w:rsidR="0057038C" w:rsidRPr="001E0232" w:rsidRDefault="0057038C" w:rsidP="0057038C">
            <w:pPr>
              <w:spacing w:after="60" w:line="240" w:lineRule="auto"/>
              <w:jc w:val="both"/>
              <w:rPr>
                <w:rFonts w:eastAsia="Calibri"/>
                <w:sz w:val="16"/>
                <w:szCs w:val="16"/>
                <w:lang w:val="es-NI" w:eastAsia="es-BO"/>
              </w:rPr>
            </w:pPr>
            <w:r w:rsidRPr="001E0232">
              <w:rPr>
                <w:rFonts w:eastAsia="Calibri"/>
                <w:sz w:val="16"/>
                <w:szCs w:val="16"/>
                <w:lang w:val="es-NI" w:eastAsia="es-BO"/>
              </w:rPr>
              <w:t>Miedo al estigma y discriminación</w:t>
            </w:r>
          </w:p>
          <w:p w14:paraId="04401FA2" w14:textId="77777777" w:rsidR="0057038C" w:rsidRPr="006E25E0" w:rsidRDefault="0057038C" w:rsidP="0057038C">
            <w:pPr>
              <w:spacing w:line="240" w:lineRule="auto"/>
              <w:jc w:val="both"/>
              <w:rPr>
                <w:rFonts w:eastAsia="Calibri"/>
                <w:sz w:val="16"/>
                <w:szCs w:val="16"/>
                <w:lang w:val="es-NI" w:eastAsia="es-BO"/>
              </w:rPr>
            </w:pPr>
            <w:r w:rsidRPr="001E0232">
              <w:rPr>
                <w:rFonts w:eastAsia="Calibri"/>
                <w:sz w:val="16"/>
                <w:szCs w:val="16"/>
                <w:lang w:val="es-NI" w:eastAsia="es-BO"/>
              </w:rPr>
              <w:t>Poco conocimiento en el país en la aceptabilidad de este servicio</w:t>
            </w:r>
            <w:r>
              <w:rPr>
                <w:rFonts w:eastAsia="Calibri"/>
                <w:sz w:val="16"/>
                <w:szCs w:val="16"/>
                <w:lang w:val="es-NI" w:eastAsia="es-BO"/>
              </w:rPr>
              <w:t>.</w:t>
            </w:r>
          </w:p>
        </w:tc>
        <w:tc>
          <w:tcPr>
            <w:tcW w:w="2872" w:type="dxa"/>
            <w:shd w:val="clear" w:color="auto" w:fill="auto"/>
          </w:tcPr>
          <w:p w14:paraId="2B0A2FFE" w14:textId="0EFA1AE1" w:rsidR="0057038C" w:rsidRDefault="0057038C" w:rsidP="0057038C">
            <w:pPr>
              <w:spacing w:after="60" w:line="240" w:lineRule="auto"/>
              <w:jc w:val="both"/>
              <w:rPr>
                <w:rFonts w:eastAsia="Calibri"/>
                <w:sz w:val="16"/>
                <w:szCs w:val="16"/>
                <w:lang w:val="es-NI" w:eastAsia="es-BO"/>
              </w:rPr>
            </w:pPr>
            <w:r>
              <w:rPr>
                <w:rFonts w:eastAsia="Calibri"/>
                <w:sz w:val="16"/>
                <w:szCs w:val="16"/>
                <w:lang w:val="es-NI" w:eastAsia="es-BO"/>
              </w:rPr>
              <w:lastRenderedPageBreak/>
              <w:t xml:space="preserve">3. </w:t>
            </w:r>
            <w:r w:rsidRPr="006E25E0">
              <w:rPr>
                <w:rFonts w:eastAsia="Calibri"/>
                <w:sz w:val="16"/>
                <w:szCs w:val="16"/>
                <w:lang w:val="es-NI" w:eastAsia="es-BO"/>
              </w:rPr>
              <w:t xml:space="preserve">No hay meta cuantitativa pero contribuirá a la meta del indicador </w:t>
            </w:r>
            <w:r w:rsidR="00F71938" w:rsidRPr="006E25E0">
              <w:rPr>
                <w:rFonts w:eastAsia="Calibri"/>
                <w:sz w:val="16"/>
                <w:szCs w:val="16"/>
                <w:lang w:val="es-NI" w:eastAsia="es-BO"/>
              </w:rPr>
              <w:t>de búsqueda</w:t>
            </w:r>
            <w:r w:rsidRPr="006E25E0">
              <w:rPr>
                <w:rFonts w:eastAsia="Calibri"/>
                <w:sz w:val="16"/>
                <w:szCs w:val="16"/>
                <w:lang w:val="es-NI" w:eastAsia="es-BO"/>
              </w:rPr>
              <w:t xml:space="preserve"> de positivos.</w:t>
            </w:r>
          </w:p>
          <w:p w14:paraId="40DFE835" w14:textId="77777777" w:rsidR="0057038C" w:rsidRPr="006E25E0" w:rsidRDefault="0057038C" w:rsidP="0057038C">
            <w:pPr>
              <w:spacing w:after="60" w:line="240" w:lineRule="auto"/>
              <w:jc w:val="both"/>
              <w:rPr>
                <w:rFonts w:eastAsia="Calibri"/>
                <w:sz w:val="16"/>
                <w:szCs w:val="16"/>
                <w:lang w:val="es-NI" w:eastAsia="es-BO"/>
              </w:rPr>
            </w:pPr>
            <w:r w:rsidRPr="001E0232">
              <w:rPr>
                <w:rFonts w:eastAsia="Calibri"/>
                <w:b/>
                <w:bCs/>
                <w:sz w:val="16"/>
                <w:szCs w:val="16"/>
                <w:lang w:val="es-NI" w:eastAsia="es-BO"/>
              </w:rPr>
              <w:t xml:space="preserve">Resultado esperado: </w:t>
            </w:r>
            <w:r w:rsidRPr="001E0232">
              <w:rPr>
                <w:rFonts w:eastAsia="Calibri"/>
                <w:sz w:val="16"/>
                <w:szCs w:val="16"/>
                <w:lang w:val="es-NI" w:eastAsia="es-BO"/>
              </w:rPr>
              <w:t>Aceptación y aprobación de esta intervención por parte de la población, que nos ayude a encontrar más casos positivos y contribuir con esto a mejorar la cascada de atención.</w:t>
            </w:r>
          </w:p>
        </w:tc>
        <w:tc>
          <w:tcPr>
            <w:tcW w:w="2156" w:type="dxa"/>
          </w:tcPr>
          <w:p w14:paraId="68DC1749" w14:textId="57A46B19" w:rsidR="0057038C" w:rsidRPr="00B1395C" w:rsidRDefault="0057038C" w:rsidP="0057038C">
            <w:pPr>
              <w:spacing w:after="60" w:line="240" w:lineRule="auto"/>
              <w:jc w:val="both"/>
              <w:rPr>
                <w:rFonts w:eastAsia="Calibri"/>
                <w:sz w:val="16"/>
                <w:szCs w:val="16"/>
                <w:lang w:val="es-NI" w:eastAsia="es-BO"/>
              </w:rPr>
            </w:pPr>
            <w:r>
              <w:rPr>
                <w:rFonts w:eastAsia="Calibri"/>
                <w:sz w:val="16"/>
                <w:szCs w:val="16"/>
                <w:lang w:val="es-NI" w:eastAsia="es-BO"/>
              </w:rPr>
              <w:t xml:space="preserve">3. </w:t>
            </w:r>
            <w:r w:rsidR="00D7543F">
              <w:rPr>
                <w:rFonts w:eastAsia="Calibri"/>
                <w:sz w:val="16"/>
                <w:szCs w:val="16"/>
                <w:lang w:val="es-NI" w:eastAsia="es-BO"/>
              </w:rPr>
              <w:t>Auto prueba</w:t>
            </w:r>
          </w:p>
          <w:p w14:paraId="5E764A26" w14:textId="77777777" w:rsidR="0057038C" w:rsidRPr="006E25E0" w:rsidRDefault="0057038C" w:rsidP="0057038C">
            <w:pPr>
              <w:spacing w:after="60" w:line="240" w:lineRule="auto"/>
              <w:jc w:val="right"/>
              <w:rPr>
                <w:rFonts w:eastAsia="Calibri"/>
                <w:b/>
                <w:bCs/>
                <w:sz w:val="16"/>
                <w:szCs w:val="16"/>
                <w:lang w:val="es-NI" w:eastAsia="es-BO"/>
              </w:rPr>
            </w:pPr>
            <w:r w:rsidRPr="006E25E0">
              <w:rPr>
                <w:rFonts w:eastAsia="Calibri"/>
                <w:b/>
                <w:bCs/>
                <w:sz w:val="16"/>
                <w:szCs w:val="16"/>
                <w:lang w:val="es-NI" w:eastAsia="es-BO"/>
              </w:rPr>
              <w:t>$7</w:t>
            </w:r>
            <w:r>
              <w:rPr>
                <w:rFonts w:eastAsia="Calibri"/>
                <w:b/>
                <w:bCs/>
                <w:sz w:val="16"/>
                <w:szCs w:val="16"/>
                <w:lang w:val="es-NI" w:eastAsia="es-BO"/>
              </w:rPr>
              <w:t>1</w:t>
            </w:r>
            <w:r w:rsidRPr="006E25E0">
              <w:rPr>
                <w:rFonts w:eastAsia="Calibri"/>
                <w:b/>
                <w:bCs/>
                <w:sz w:val="16"/>
                <w:szCs w:val="16"/>
                <w:lang w:val="es-NI" w:eastAsia="es-BO"/>
              </w:rPr>
              <w:t>,</w:t>
            </w:r>
            <w:r>
              <w:rPr>
                <w:rFonts w:eastAsia="Calibri"/>
                <w:b/>
                <w:bCs/>
                <w:sz w:val="16"/>
                <w:szCs w:val="16"/>
                <w:lang w:val="es-NI" w:eastAsia="es-BO"/>
              </w:rPr>
              <w:t>037</w:t>
            </w:r>
          </w:p>
        </w:tc>
      </w:tr>
      <w:tr w:rsidR="0057038C" w:rsidRPr="00A56294" w14:paraId="792FA5FB" w14:textId="77777777" w:rsidTr="0057038C">
        <w:trPr>
          <w:cantSplit/>
          <w:trHeight w:val="1134"/>
        </w:trPr>
        <w:tc>
          <w:tcPr>
            <w:tcW w:w="715" w:type="dxa"/>
            <w:shd w:val="clear" w:color="auto" w:fill="auto"/>
            <w:textDirection w:val="btLr"/>
            <w:vAlign w:val="center"/>
          </w:tcPr>
          <w:p w14:paraId="42B1048E" w14:textId="77777777" w:rsidR="00E93A12" w:rsidRDefault="0057038C" w:rsidP="0057038C">
            <w:pPr>
              <w:spacing w:after="0" w:line="240" w:lineRule="auto"/>
              <w:ind w:left="113" w:right="113"/>
              <w:jc w:val="center"/>
              <w:rPr>
                <w:rFonts w:eastAsia="Calibri"/>
                <w:b/>
                <w:sz w:val="16"/>
                <w:szCs w:val="16"/>
                <w:lang w:val="es-NI" w:eastAsia="es-BO"/>
              </w:rPr>
            </w:pPr>
            <w:r w:rsidRPr="006E25E0">
              <w:rPr>
                <w:rFonts w:eastAsia="Calibri"/>
                <w:b/>
                <w:sz w:val="16"/>
                <w:szCs w:val="16"/>
                <w:lang w:val="es-NI" w:eastAsia="es-BO"/>
              </w:rPr>
              <w:t>Prevención de la transmisión</w:t>
            </w:r>
          </w:p>
          <w:p w14:paraId="66DDE66C" w14:textId="3DFA3431" w:rsidR="0057038C" w:rsidRPr="006E25E0" w:rsidRDefault="0057038C" w:rsidP="0057038C">
            <w:pPr>
              <w:spacing w:after="0" w:line="240" w:lineRule="auto"/>
              <w:ind w:left="113" w:right="113"/>
              <w:jc w:val="center"/>
              <w:rPr>
                <w:rFonts w:eastAsia="Calibri"/>
                <w:sz w:val="16"/>
                <w:szCs w:val="16"/>
                <w:lang w:val="es-NI"/>
              </w:rPr>
            </w:pPr>
            <w:r w:rsidRPr="006E25E0">
              <w:rPr>
                <w:rFonts w:eastAsia="Calibri"/>
                <w:b/>
                <w:sz w:val="16"/>
                <w:szCs w:val="16"/>
                <w:lang w:val="es-NI" w:eastAsia="es-BO"/>
              </w:rPr>
              <w:t>materno infantil y sífilis</w:t>
            </w:r>
          </w:p>
        </w:tc>
        <w:tc>
          <w:tcPr>
            <w:tcW w:w="4175" w:type="dxa"/>
            <w:shd w:val="clear" w:color="auto" w:fill="auto"/>
          </w:tcPr>
          <w:p w14:paraId="69DDA9F4" w14:textId="77777777" w:rsidR="0057038C" w:rsidRPr="007D3028" w:rsidRDefault="0057038C" w:rsidP="00617951">
            <w:pPr>
              <w:pStyle w:val="ListParagraph"/>
              <w:numPr>
                <w:ilvl w:val="0"/>
                <w:numId w:val="43"/>
              </w:numPr>
              <w:spacing w:after="60" w:line="240" w:lineRule="auto"/>
              <w:jc w:val="both"/>
              <w:rPr>
                <w:rFonts w:eastAsia="Calibri"/>
                <w:b/>
                <w:bCs/>
                <w:i/>
                <w:iCs/>
                <w:sz w:val="16"/>
                <w:szCs w:val="16"/>
                <w:lang w:val="es-NI" w:eastAsia="es-BO"/>
              </w:rPr>
            </w:pPr>
            <w:r w:rsidRPr="007D3028">
              <w:rPr>
                <w:rFonts w:eastAsia="Calibri"/>
                <w:b/>
                <w:bCs/>
                <w:i/>
                <w:iCs/>
                <w:sz w:val="16"/>
                <w:szCs w:val="16"/>
                <w:lang w:val="es-NI" w:eastAsia="es-BO"/>
              </w:rPr>
              <w:t>Prevención de la transmisión vertical del VIH</w:t>
            </w:r>
          </w:p>
          <w:p w14:paraId="77CDE4FB" w14:textId="77777777" w:rsidR="0057038C" w:rsidRPr="001E0232" w:rsidRDefault="0057038C" w:rsidP="0057038C">
            <w:pPr>
              <w:spacing w:after="60" w:line="240" w:lineRule="auto"/>
              <w:ind w:left="1020"/>
              <w:jc w:val="both"/>
              <w:rPr>
                <w:rFonts w:eastAsia="Calibri"/>
                <w:i/>
                <w:iCs/>
                <w:sz w:val="16"/>
                <w:szCs w:val="16"/>
                <w:lang w:val="es-NI" w:eastAsia="es-BO"/>
              </w:rPr>
            </w:pPr>
            <w:r w:rsidRPr="001E0232">
              <w:rPr>
                <w:rFonts w:eastAsia="Calibri"/>
                <w:i/>
                <w:iCs/>
                <w:sz w:val="16"/>
                <w:szCs w:val="16"/>
                <w:lang w:val="es-NI" w:eastAsia="es-BO"/>
              </w:rPr>
              <w:t>Población prioritaria: Embarazadas y sus hijos</w:t>
            </w:r>
          </w:p>
        </w:tc>
        <w:tc>
          <w:tcPr>
            <w:tcW w:w="6007" w:type="dxa"/>
            <w:shd w:val="clear" w:color="auto" w:fill="auto"/>
          </w:tcPr>
          <w:p w14:paraId="30D66E3D" w14:textId="77777777" w:rsidR="0057038C" w:rsidRPr="008E4FF6" w:rsidRDefault="0057038C" w:rsidP="00617951">
            <w:pPr>
              <w:pStyle w:val="ListParagraph"/>
              <w:numPr>
                <w:ilvl w:val="0"/>
                <w:numId w:val="57"/>
              </w:numPr>
              <w:spacing w:after="60" w:line="240" w:lineRule="auto"/>
              <w:jc w:val="both"/>
              <w:rPr>
                <w:rFonts w:eastAsia="Calibri"/>
                <w:b/>
                <w:bCs/>
                <w:sz w:val="16"/>
                <w:szCs w:val="16"/>
                <w:lang w:val="es-NI" w:eastAsia="es-BO"/>
              </w:rPr>
            </w:pPr>
            <w:r w:rsidRPr="008E4FF6">
              <w:rPr>
                <w:rFonts w:eastAsia="Calibri"/>
                <w:b/>
                <w:bCs/>
                <w:sz w:val="16"/>
                <w:szCs w:val="16"/>
                <w:lang w:val="es-NI" w:eastAsia="es-BO"/>
              </w:rPr>
              <w:t xml:space="preserve">Toma de prueba de VIH: </w:t>
            </w:r>
          </w:p>
          <w:p w14:paraId="2D4FFA25" w14:textId="77777777" w:rsidR="0057038C" w:rsidRPr="008E4FF6" w:rsidRDefault="0057038C" w:rsidP="0057038C">
            <w:pPr>
              <w:spacing w:after="60" w:line="240" w:lineRule="auto"/>
              <w:jc w:val="both"/>
              <w:rPr>
                <w:rFonts w:eastAsia="Calibri"/>
                <w:sz w:val="16"/>
                <w:szCs w:val="16"/>
                <w:lang w:val="es-NI" w:eastAsia="es-BO"/>
              </w:rPr>
            </w:pPr>
            <w:r w:rsidRPr="008E4FF6">
              <w:rPr>
                <w:rFonts w:eastAsia="Calibri"/>
                <w:sz w:val="16"/>
                <w:szCs w:val="16"/>
                <w:lang w:val="es-NI" w:eastAsia="es-BO"/>
              </w:rPr>
              <w:t>Las embarazadas reciben dos pruebas durante el embarazo, para detectar oportunamente los casos en los que se deba intervenir para evitar casos de recién nacidos con VIH y continuar el camino a la eliminación de la trasmisión vertical del VIH.</w:t>
            </w:r>
          </w:p>
          <w:p w14:paraId="703C2B11" w14:textId="77777777" w:rsidR="0057038C" w:rsidRPr="008E4FF6" w:rsidRDefault="0057038C" w:rsidP="0057038C">
            <w:pPr>
              <w:spacing w:after="60" w:line="240" w:lineRule="auto"/>
              <w:jc w:val="both"/>
              <w:rPr>
                <w:rFonts w:eastAsia="Calibri"/>
                <w:sz w:val="16"/>
                <w:szCs w:val="16"/>
                <w:lang w:val="es-NI" w:eastAsia="es-BO"/>
              </w:rPr>
            </w:pPr>
            <w:r w:rsidRPr="008E4FF6">
              <w:rPr>
                <w:rFonts w:eastAsia="Calibri"/>
                <w:sz w:val="16"/>
                <w:szCs w:val="16"/>
                <w:lang w:val="es-NI" w:eastAsia="es-BO"/>
              </w:rPr>
              <w:t>El contar con la información de las embarazadas atendidas en el ISSS permitirá alcanzar los objetivos del PENM.</w:t>
            </w:r>
          </w:p>
          <w:p w14:paraId="4F4D0BE8" w14:textId="77777777" w:rsidR="0057038C" w:rsidRPr="008E4FF6" w:rsidRDefault="0057038C" w:rsidP="0057038C">
            <w:pPr>
              <w:spacing w:after="60" w:line="240" w:lineRule="auto"/>
              <w:jc w:val="both"/>
              <w:rPr>
                <w:rFonts w:eastAsia="Calibri"/>
                <w:sz w:val="16"/>
                <w:szCs w:val="16"/>
                <w:lang w:val="es-NI" w:eastAsia="es-BO"/>
              </w:rPr>
            </w:pPr>
            <w:r w:rsidRPr="008E4FF6">
              <w:rPr>
                <w:rFonts w:eastAsia="Calibri"/>
                <w:sz w:val="16"/>
                <w:szCs w:val="16"/>
                <w:lang w:val="es-NI" w:eastAsia="es-BO"/>
              </w:rPr>
              <w:t>Para dar seguimiento a que se cumpla la toma de prueba, hay un sistema de monitoreo de seguimiento de pacientes.</w:t>
            </w:r>
          </w:p>
          <w:p w14:paraId="59CEB04D" w14:textId="05C37F41" w:rsidR="0057038C" w:rsidRPr="008E4FF6" w:rsidRDefault="00763864" w:rsidP="0057038C">
            <w:pPr>
              <w:spacing w:line="240" w:lineRule="auto"/>
              <w:jc w:val="both"/>
              <w:rPr>
                <w:rFonts w:eastAsia="Calibri"/>
                <w:sz w:val="16"/>
                <w:szCs w:val="16"/>
                <w:lang w:val="es-NI" w:eastAsia="es-BO"/>
              </w:rPr>
            </w:pPr>
            <w:r w:rsidRPr="008E4FF6">
              <w:rPr>
                <w:rFonts w:eastAsia="Calibri"/>
                <w:sz w:val="16"/>
                <w:szCs w:val="16"/>
                <w:lang w:val="es-NI" w:eastAsia="es-BO"/>
              </w:rPr>
              <w:t>De acuerdo con el</w:t>
            </w:r>
            <w:r w:rsidR="0057038C" w:rsidRPr="008E4FF6">
              <w:rPr>
                <w:rFonts w:eastAsia="Calibri"/>
                <w:sz w:val="16"/>
                <w:szCs w:val="16"/>
                <w:lang w:val="es-NI" w:eastAsia="es-BO"/>
              </w:rPr>
              <w:t xml:space="preserve"> documento voluntad de pago y contrapartida del RP MINSAL para la sostenibilidad de la respuesta, hay compromiso de garantizar el tratamiento antirretroviral y pruebas para esta población.</w:t>
            </w:r>
          </w:p>
          <w:p w14:paraId="694E5ED3" w14:textId="77777777" w:rsidR="0057038C" w:rsidRPr="001E0232" w:rsidRDefault="0057038C" w:rsidP="0057038C">
            <w:pPr>
              <w:spacing w:line="240" w:lineRule="auto"/>
              <w:jc w:val="both"/>
              <w:rPr>
                <w:rFonts w:eastAsia="Calibri"/>
                <w:sz w:val="16"/>
                <w:szCs w:val="16"/>
                <w:lang w:val="es-NI" w:eastAsia="es-BO"/>
              </w:rPr>
            </w:pPr>
            <w:r w:rsidRPr="008E4FF6">
              <w:rPr>
                <w:rFonts w:eastAsia="Times New Roman"/>
                <w:b/>
                <w:bCs/>
                <w:sz w:val="16"/>
                <w:szCs w:val="16"/>
                <w:lang w:val="es-NI" w:eastAsia="es-SV"/>
              </w:rPr>
              <w:t>Desafíos, obstáculos e inequidades</w:t>
            </w:r>
            <w:r w:rsidRPr="008E4FF6">
              <w:rPr>
                <w:rFonts w:eastAsia="Times New Roman"/>
                <w:sz w:val="16"/>
                <w:szCs w:val="16"/>
                <w:lang w:val="es-NI" w:eastAsia="es-SV"/>
              </w:rPr>
              <w:t xml:space="preserve">: </w:t>
            </w:r>
            <w:r w:rsidRPr="001E0232">
              <w:rPr>
                <w:rFonts w:eastAsia="Calibri"/>
                <w:sz w:val="16"/>
                <w:szCs w:val="16"/>
                <w:lang w:val="es-NI" w:eastAsia="es-BO"/>
              </w:rPr>
              <w:t>Riesgo social y territorialidad por parte de las pandillas.</w:t>
            </w:r>
          </w:p>
          <w:p w14:paraId="7E98B138" w14:textId="77777777" w:rsidR="0057038C" w:rsidRPr="008E4FF6" w:rsidRDefault="0057038C" w:rsidP="0057038C">
            <w:pPr>
              <w:spacing w:line="240" w:lineRule="auto"/>
              <w:jc w:val="both"/>
              <w:rPr>
                <w:rFonts w:eastAsia="Calibri"/>
                <w:sz w:val="16"/>
                <w:szCs w:val="16"/>
                <w:lang w:val="es-NI"/>
              </w:rPr>
            </w:pPr>
            <w:r w:rsidRPr="001E0232">
              <w:rPr>
                <w:rFonts w:eastAsia="Calibri"/>
                <w:sz w:val="16"/>
                <w:szCs w:val="16"/>
                <w:lang w:val="es-NI" w:eastAsia="es-BO"/>
              </w:rPr>
              <w:t>Inscripciones tardías a los controles prenatales</w:t>
            </w:r>
          </w:p>
        </w:tc>
        <w:tc>
          <w:tcPr>
            <w:tcW w:w="2872" w:type="dxa"/>
            <w:shd w:val="clear" w:color="auto" w:fill="auto"/>
          </w:tcPr>
          <w:p w14:paraId="42D3B91D" w14:textId="77777777" w:rsidR="0057038C" w:rsidRPr="00CD66C6" w:rsidRDefault="0057038C" w:rsidP="0057038C">
            <w:pPr>
              <w:spacing w:after="60" w:line="240" w:lineRule="auto"/>
              <w:jc w:val="both"/>
              <w:rPr>
                <w:rFonts w:eastAsia="Calibri"/>
                <w:sz w:val="16"/>
                <w:szCs w:val="16"/>
                <w:lang w:val="es-NI" w:eastAsia="es-BO"/>
              </w:rPr>
            </w:pPr>
            <w:r>
              <w:rPr>
                <w:rFonts w:eastAsia="Calibri"/>
                <w:sz w:val="16"/>
                <w:szCs w:val="16"/>
                <w:lang w:val="es-NI" w:eastAsia="es-BO"/>
              </w:rPr>
              <w:t xml:space="preserve">1. </w:t>
            </w:r>
            <w:r w:rsidRPr="00CD66C6">
              <w:rPr>
                <w:rFonts w:eastAsia="Calibri"/>
                <w:sz w:val="16"/>
                <w:szCs w:val="16"/>
                <w:lang w:val="es-NI" w:eastAsia="es-BO"/>
              </w:rPr>
              <w:t>No hay un indicador especifico en el Marco de Desempeño, pero se aspira llegar a cero casos de transmisión madre hijo durante el embarazo, parto, intraparto y por lactancia materna.</w:t>
            </w:r>
          </w:p>
          <w:p w14:paraId="4F716C78" w14:textId="77777777" w:rsidR="0057038C" w:rsidRDefault="0057038C" w:rsidP="0057038C">
            <w:pPr>
              <w:spacing w:after="60" w:line="240" w:lineRule="auto"/>
              <w:jc w:val="both"/>
              <w:rPr>
                <w:rFonts w:eastAsia="Calibri"/>
                <w:sz w:val="16"/>
                <w:szCs w:val="16"/>
                <w:lang w:val="es-NI" w:eastAsia="es-BO"/>
              </w:rPr>
            </w:pPr>
            <w:r w:rsidRPr="006E25E0">
              <w:rPr>
                <w:rFonts w:eastAsia="Calibri"/>
                <w:sz w:val="16"/>
                <w:szCs w:val="16"/>
                <w:lang w:val="es-NI" w:eastAsia="es-BO"/>
              </w:rPr>
              <w:t>En el año 2019 se reportó un solo caso de recién nacido afectado por el VIH.</w:t>
            </w:r>
          </w:p>
          <w:p w14:paraId="4D5B16C1" w14:textId="77777777" w:rsidR="0057038C" w:rsidRPr="006E25E0" w:rsidRDefault="0057038C" w:rsidP="0057038C">
            <w:pPr>
              <w:spacing w:after="60" w:line="240" w:lineRule="auto"/>
              <w:jc w:val="both"/>
              <w:rPr>
                <w:rFonts w:eastAsia="Calibri"/>
                <w:sz w:val="16"/>
                <w:szCs w:val="16"/>
                <w:lang w:val="es-NI"/>
              </w:rPr>
            </w:pPr>
            <w:r w:rsidRPr="001E0232">
              <w:rPr>
                <w:rFonts w:eastAsia="Calibri"/>
                <w:b/>
                <w:bCs/>
                <w:sz w:val="16"/>
                <w:szCs w:val="16"/>
                <w:lang w:val="es-NI" w:eastAsia="es-BO"/>
              </w:rPr>
              <w:t xml:space="preserve">Resultado esperado: </w:t>
            </w:r>
            <w:r w:rsidRPr="001E0232">
              <w:rPr>
                <w:rFonts w:eastAsia="Calibri"/>
                <w:sz w:val="16"/>
                <w:szCs w:val="16"/>
                <w:lang w:val="es-NI" w:eastAsia="es-BO"/>
              </w:rPr>
              <w:t>Lograr eliminar en El Salvador la transmisión materno infantil del VIH</w:t>
            </w:r>
          </w:p>
        </w:tc>
        <w:tc>
          <w:tcPr>
            <w:tcW w:w="2156" w:type="dxa"/>
          </w:tcPr>
          <w:p w14:paraId="3A84B7D1" w14:textId="77777777" w:rsidR="0057038C" w:rsidRPr="001E0232" w:rsidRDefault="0057038C" w:rsidP="0057038C">
            <w:pPr>
              <w:spacing w:after="60" w:line="240" w:lineRule="auto"/>
              <w:ind w:left="16"/>
              <w:jc w:val="both"/>
              <w:rPr>
                <w:rFonts w:eastAsia="Calibri"/>
                <w:sz w:val="16"/>
                <w:szCs w:val="16"/>
                <w:lang w:val="es-NI" w:eastAsia="es-BO"/>
              </w:rPr>
            </w:pPr>
            <w:r>
              <w:rPr>
                <w:rFonts w:eastAsia="Calibri"/>
                <w:sz w:val="16"/>
                <w:szCs w:val="16"/>
                <w:lang w:val="es-NI" w:eastAsia="es-BO"/>
              </w:rPr>
              <w:t xml:space="preserve">1. </w:t>
            </w:r>
            <w:r w:rsidRPr="001E0232">
              <w:rPr>
                <w:rFonts w:eastAsia="Calibri"/>
                <w:sz w:val="16"/>
                <w:szCs w:val="16"/>
                <w:lang w:val="es-NI" w:eastAsia="es-BO"/>
              </w:rPr>
              <w:t>Prevención de la transmisión vertical</w:t>
            </w:r>
          </w:p>
          <w:p w14:paraId="108C8E44" w14:textId="12DAFFC9" w:rsidR="0057038C" w:rsidRDefault="00AE79D5" w:rsidP="0057038C">
            <w:pPr>
              <w:spacing w:after="60" w:line="240" w:lineRule="auto"/>
              <w:jc w:val="right"/>
              <w:rPr>
                <w:rFonts w:eastAsia="Calibri"/>
                <w:b/>
                <w:bCs/>
                <w:sz w:val="16"/>
                <w:szCs w:val="16"/>
                <w:lang w:val="es-NI" w:eastAsia="es-BO"/>
              </w:rPr>
            </w:pPr>
            <w:r w:rsidRPr="00EF732D">
              <w:rPr>
                <w:rFonts w:eastAsia="Calibri"/>
                <w:b/>
                <w:bCs/>
                <w:sz w:val="16"/>
                <w:szCs w:val="16"/>
                <w:lang w:val="es-NI" w:eastAsia="es-BO"/>
              </w:rPr>
              <w:t>$442,353</w:t>
            </w:r>
          </w:p>
          <w:p w14:paraId="7B3A8929" w14:textId="77777777" w:rsidR="0057038C" w:rsidRDefault="0057038C" w:rsidP="0057038C">
            <w:pPr>
              <w:spacing w:after="60" w:line="240" w:lineRule="auto"/>
              <w:jc w:val="both"/>
              <w:rPr>
                <w:rFonts w:eastAsia="Calibri"/>
                <w:sz w:val="16"/>
                <w:szCs w:val="16"/>
                <w:lang w:val="es-NI" w:eastAsia="es-BO"/>
              </w:rPr>
            </w:pPr>
          </w:p>
          <w:p w14:paraId="0FACEE85" w14:textId="77777777" w:rsidR="0057038C" w:rsidRPr="006E25E0" w:rsidRDefault="0057038C" w:rsidP="0057038C">
            <w:pPr>
              <w:spacing w:after="60" w:line="240" w:lineRule="auto"/>
              <w:jc w:val="both"/>
              <w:rPr>
                <w:rFonts w:eastAsia="Calibri"/>
                <w:sz w:val="16"/>
                <w:szCs w:val="16"/>
                <w:lang w:val="es-NI" w:eastAsia="es-BO"/>
              </w:rPr>
            </w:pPr>
            <w:r w:rsidRPr="006E25E0">
              <w:rPr>
                <w:rFonts w:eastAsia="Calibri"/>
                <w:sz w:val="16"/>
                <w:szCs w:val="16"/>
                <w:lang w:val="es-NI" w:eastAsia="es-BO"/>
              </w:rPr>
              <w:t>En esta solicitud se proyecta que Fondo Mundial financie la adquisición del 50% de las pruebas de VIH.</w:t>
            </w:r>
          </w:p>
          <w:p w14:paraId="5D53F6CB" w14:textId="45957BFB" w:rsidR="0057038C" w:rsidRPr="006E25E0" w:rsidRDefault="0057038C" w:rsidP="00E93A12">
            <w:pPr>
              <w:spacing w:after="60" w:line="240" w:lineRule="auto"/>
              <w:jc w:val="both"/>
              <w:rPr>
                <w:rFonts w:eastAsia="Calibri"/>
                <w:b/>
                <w:bCs/>
                <w:sz w:val="16"/>
                <w:szCs w:val="16"/>
                <w:lang w:val="es-NI" w:eastAsia="es-BO"/>
              </w:rPr>
            </w:pPr>
            <w:r w:rsidRPr="006E25E0">
              <w:rPr>
                <w:rFonts w:eastAsia="Calibri"/>
                <w:sz w:val="16"/>
                <w:szCs w:val="16"/>
                <w:lang w:val="es-NI" w:eastAsia="es-BO"/>
              </w:rPr>
              <w:t>El MINSAL contribuye al 50% de las pruebas de VIH, al 100% del tratamiento antirretroviral de las mujeres embarazadas y al 100% sucedáneos de leche maternizadas a niños expuestos.</w:t>
            </w:r>
          </w:p>
        </w:tc>
      </w:tr>
      <w:tr w:rsidR="0057038C" w:rsidRPr="00A56294" w14:paraId="01533904" w14:textId="77777777" w:rsidTr="0057038C">
        <w:trPr>
          <w:cantSplit/>
          <w:trHeight w:val="1134"/>
        </w:trPr>
        <w:tc>
          <w:tcPr>
            <w:tcW w:w="715" w:type="dxa"/>
            <w:shd w:val="clear" w:color="auto" w:fill="FFEDD2" w:themeFill="accent6" w:themeFillTint="33"/>
            <w:textDirection w:val="btLr"/>
            <w:vAlign w:val="center"/>
          </w:tcPr>
          <w:p w14:paraId="33FF7F07" w14:textId="77777777" w:rsidR="0057038C" w:rsidRPr="006E25E0" w:rsidRDefault="0057038C" w:rsidP="0057038C">
            <w:pPr>
              <w:spacing w:after="0" w:line="240" w:lineRule="auto"/>
              <w:ind w:left="113" w:right="113"/>
              <w:jc w:val="center"/>
              <w:rPr>
                <w:rFonts w:eastAsia="Calibri"/>
                <w:sz w:val="16"/>
                <w:szCs w:val="16"/>
                <w:lang w:val="es-NI"/>
              </w:rPr>
            </w:pPr>
            <w:r w:rsidRPr="006E25E0">
              <w:rPr>
                <w:rFonts w:eastAsia="Calibri"/>
                <w:b/>
                <w:sz w:val="16"/>
                <w:szCs w:val="16"/>
                <w:lang w:val="es-NI" w:eastAsia="es-BO"/>
              </w:rPr>
              <w:lastRenderedPageBreak/>
              <w:t>Tratamiento atención y apoyo</w:t>
            </w:r>
          </w:p>
        </w:tc>
        <w:tc>
          <w:tcPr>
            <w:tcW w:w="4175" w:type="dxa"/>
            <w:shd w:val="clear" w:color="auto" w:fill="auto"/>
          </w:tcPr>
          <w:p w14:paraId="6BB8F84C" w14:textId="77777777" w:rsidR="0057038C" w:rsidRPr="006E25E0" w:rsidRDefault="0057038C" w:rsidP="0057038C">
            <w:pPr>
              <w:spacing w:after="60" w:line="240" w:lineRule="auto"/>
              <w:jc w:val="both"/>
              <w:rPr>
                <w:rFonts w:eastAsia="Calibri"/>
                <w:b/>
                <w:bCs/>
                <w:i/>
                <w:iCs/>
                <w:sz w:val="16"/>
                <w:szCs w:val="16"/>
                <w:lang w:val="es-BO" w:eastAsia="es-BO"/>
              </w:rPr>
            </w:pPr>
          </w:p>
          <w:p w14:paraId="321A63C3" w14:textId="77777777" w:rsidR="0057038C" w:rsidRPr="007D3028" w:rsidRDefault="0057038C" w:rsidP="00617951">
            <w:pPr>
              <w:pStyle w:val="ListParagraph"/>
              <w:numPr>
                <w:ilvl w:val="0"/>
                <w:numId w:val="44"/>
              </w:numPr>
              <w:spacing w:after="60" w:line="240" w:lineRule="auto"/>
              <w:jc w:val="both"/>
              <w:rPr>
                <w:rFonts w:eastAsia="Calibri"/>
                <w:b/>
                <w:bCs/>
                <w:i/>
                <w:iCs/>
                <w:sz w:val="16"/>
                <w:szCs w:val="16"/>
                <w:lang w:val="es-BO" w:eastAsia="es-BO"/>
              </w:rPr>
            </w:pPr>
            <w:r>
              <w:rPr>
                <w:rFonts w:eastAsia="Calibri"/>
                <w:b/>
                <w:bCs/>
                <w:i/>
                <w:iCs/>
                <w:sz w:val="16"/>
                <w:szCs w:val="16"/>
                <w:lang w:val="es-BO" w:eastAsia="es-BO"/>
              </w:rPr>
              <w:t>P</w:t>
            </w:r>
            <w:r w:rsidRPr="007D3028">
              <w:rPr>
                <w:rFonts w:eastAsia="Calibri"/>
                <w:b/>
                <w:bCs/>
                <w:i/>
                <w:iCs/>
                <w:sz w:val="16"/>
                <w:szCs w:val="16"/>
                <w:lang w:val="es-BO" w:eastAsia="es-BO"/>
              </w:rPr>
              <w:t>restación de servicios diferenciados de tratamiento ARV y atención para VIH</w:t>
            </w:r>
          </w:p>
          <w:p w14:paraId="3971F5E6" w14:textId="5AFB88BC" w:rsidR="0057038C" w:rsidRPr="001E0232" w:rsidRDefault="0057038C" w:rsidP="0057038C">
            <w:pPr>
              <w:spacing w:line="240" w:lineRule="auto"/>
              <w:ind w:left="1021"/>
              <w:jc w:val="both"/>
              <w:rPr>
                <w:rFonts w:eastAsia="Calibri"/>
                <w:i/>
                <w:iCs/>
                <w:sz w:val="16"/>
                <w:szCs w:val="16"/>
                <w:lang w:val="es-NI" w:eastAsia="es-BO"/>
              </w:rPr>
            </w:pPr>
            <w:r w:rsidRPr="001E0232">
              <w:rPr>
                <w:rFonts w:eastAsia="Calibri"/>
                <w:i/>
                <w:iCs/>
                <w:sz w:val="16"/>
                <w:szCs w:val="16"/>
                <w:lang w:val="es-NI" w:eastAsia="es-BO"/>
              </w:rPr>
              <w:t xml:space="preserve">Población prioritaria: </w:t>
            </w:r>
            <w:r w:rsidR="00F06328">
              <w:rPr>
                <w:rFonts w:eastAsia="Calibri"/>
                <w:i/>
                <w:iCs/>
                <w:sz w:val="16"/>
                <w:szCs w:val="16"/>
                <w:lang w:val="es-NI" w:eastAsia="es-BO"/>
              </w:rPr>
              <w:t>PVIH</w:t>
            </w:r>
          </w:p>
          <w:p w14:paraId="63F34C06" w14:textId="77777777" w:rsidR="0057038C" w:rsidRPr="00872C28" w:rsidRDefault="0057038C" w:rsidP="00617951">
            <w:pPr>
              <w:pStyle w:val="ListParagraph"/>
              <w:numPr>
                <w:ilvl w:val="0"/>
                <w:numId w:val="44"/>
              </w:numPr>
              <w:spacing w:after="60" w:line="240" w:lineRule="auto"/>
              <w:jc w:val="both"/>
              <w:rPr>
                <w:rFonts w:eastAsia="Calibri"/>
                <w:b/>
                <w:bCs/>
                <w:i/>
                <w:iCs/>
                <w:sz w:val="16"/>
                <w:szCs w:val="16"/>
                <w:lang w:val="es-BO" w:eastAsia="es-BO"/>
              </w:rPr>
            </w:pPr>
            <w:r w:rsidRPr="00872C28">
              <w:rPr>
                <w:rFonts w:eastAsia="Calibri"/>
                <w:b/>
                <w:bCs/>
                <w:i/>
                <w:iCs/>
                <w:sz w:val="16"/>
                <w:szCs w:val="16"/>
                <w:lang w:val="es-BO" w:eastAsia="es-BO"/>
              </w:rPr>
              <w:t>Seguimiento del tratamiento: carga viral</w:t>
            </w:r>
          </w:p>
          <w:p w14:paraId="48AEA678" w14:textId="2D388A11" w:rsidR="0057038C" w:rsidRPr="006E25E0" w:rsidRDefault="0057038C" w:rsidP="003F1951">
            <w:pPr>
              <w:spacing w:after="60" w:line="240" w:lineRule="auto"/>
              <w:ind w:left="1020"/>
              <w:jc w:val="both"/>
              <w:rPr>
                <w:rFonts w:eastAsia="Calibri"/>
                <w:sz w:val="16"/>
                <w:szCs w:val="16"/>
                <w:lang w:val="es-NI"/>
              </w:rPr>
            </w:pPr>
            <w:r w:rsidRPr="001E0232">
              <w:rPr>
                <w:rFonts w:eastAsia="Calibri"/>
                <w:i/>
                <w:iCs/>
                <w:sz w:val="16"/>
                <w:szCs w:val="16"/>
                <w:lang w:val="es-BO" w:eastAsia="es-BO"/>
              </w:rPr>
              <w:t xml:space="preserve">Población prioritaria: </w:t>
            </w:r>
            <w:r w:rsidR="00F06328">
              <w:rPr>
                <w:rFonts w:eastAsia="Calibri"/>
                <w:i/>
                <w:iCs/>
                <w:sz w:val="16"/>
                <w:szCs w:val="16"/>
                <w:lang w:val="es-BO" w:eastAsia="es-BO"/>
              </w:rPr>
              <w:t>PVIH</w:t>
            </w:r>
          </w:p>
        </w:tc>
        <w:tc>
          <w:tcPr>
            <w:tcW w:w="6007" w:type="dxa"/>
            <w:shd w:val="clear" w:color="auto" w:fill="auto"/>
          </w:tcPr>
          <w:p w14:paraId="6F351E56" w14:textId="77777777" w:rsidR="0057038C" w:rsidRPr="008E4FF6" w:rsidRDefault="0057038C" w:rsidP="0057038C">
            <w:pPr>
              <w:spacing w:after="60" w:line="240" w:lineRule="auto"/>
              <w:jc w:val="both"/>
              <w:rPr>
                <w:rFonts w:eastAsia="Calibri"/>
                <w:sz w:val="16"/>
                <w:szCs w:val="16"/>
                <w:lang w:val="es-BO" w:eastAsia="es-BO"/>
              </w:rPr>
            </w:pPr>
            <w:r w:rsidRPr="008E4FF6">
              <w:rPr>
                <w:rFonts w:eastAsia="Calibri"/>
                <w:sz w:val="16"/>
                <w:szCs w:val="16"/>
                <w:lang w:val="es-BO" w:eastAsia="es-BO"/>
              </w:rPr>
              <w:t>El país tiene como objetivo incrementar el número de personas diagnosticadas con VIH que se encuentren vinculados a la atención con el fin de disminuir la brecha actualmente existente de vinculación y lograr la meta de la cascada del continuo de la atención que se planteado el país (95%), lo que corresponde al pilar 3.</w:t>
            </w:r>
          </w:p>
          <w:p w14:paraId="63D9B3CA" w14:textId="77777777" w:rsidR="0057038C" w:rsidRDefault="0057038C" w:rsidP="0057038C">
            <w:pPr>
              <w:spacing w:after="60" w:line="240" w:lineRule="auto"/>
              <w:jc w:val="both"/>
              <w:rPr>
                <w:rFonts w:eastAsia="Calibri"/>
                <w:sz w:val="16"/>
                <w:szCs w:val="16"/>
                <w:lang w:val="es-BO" w:eastAsia="es-BO"/>
              </w:rPr>
            </w:pPr>
            <w:r w:rsidRPr="008E4FF6">
              <w:rPr>
                <w:rFonts w:eastAsia="Calibri"/>
                <w:sz w:val="16"/>
                <w:szCs w:val="16"/>
                <w:lang w:val="es-BO" w:eastAsia="es-BO"/>
              </w:rPr>
              <w:t xml:space="preserve">Con la actualización del algoritmo diagnóstico se pretende mejorar la vinculación y con esto reforzar el pilar de retención y así aumentar el número de personas en TAR, aumentar la adherencia y </w:t>
            </w:r>
            <w:r w:rsidRPr="001E0232">
              <w:rPr>
                <w:rFonts w:eastAsia="Calibri"/>
                <w:sz w:val="16"/>
                <w:szCs w:val="16"/>
                <w:lang w:val="es-BO" w:eastAsia="es-BO"/>
              </w:rPr>
              <w:t>recuperando a los que se han perdido en el seguimiento.</w:t>
            </w:r>
          </w:p>
          <w:p w14:paraId="31D3319D" w14:textId="2A8B6C93" w:rsidR="0057038C" w:rsidRPr="008E4FF6" w:rsidRDefault="0057038C" w:rsidP="0057038C">
            <w:pPr>
              <w:spacing w:after="60" w:line="240" w:lineRule="auto"/>
              <w:jc w:val="both"/>
              <w:rPr>
                <w:rFonts w:eastAsia="Calibri"/>
                <w:sz w:val="16"/>
                <w:szCs w:val="16"/>
                <w:lang w:val="es-BO" w:eastAsia="es-BO"/>
              </w:rPr>
            </w:pPr>
            <w:r w:rsidRPr="008E4FF6">
              <w:rPr>
                <w:rFonts w:eastAsia="Calibri"/>
                <w:sz w:val="16"/>
                <w:szCs w:val="16"/>
                <w:lang w:val="es-BO" w:eastAsia="es-BO"/>
              </w:rPr>
              <w:t xml:space="preserve">La vinculación, retención y adherencia continúa siendo un desafío para la atención de las </w:t>
            </w:r>
            <w:r w:rsidR="00D872E4">
              <w:rPr>
                <w:rFonts w:eastAsia="Calibri"/>
                <w:sz w:val="16"/>
                <w:szCs w:val="16"/>
                <w:lang w:val="es-BO" w:eastAsia="es-BO"/>
              </w:rPr>
              <w:t>personas con</w:t>
            </w:r>
            <w:r w:rsidR="00CA7ECE">
              <w:rPr>
                <w:rFonts w:eastAsia="Calibri"/>
                <w:sz w:val="16"/>
                <w:szCs w:val="16"/>
                <w:lang w:val="es-BO" w:eastAsia="es-BO"/>
              </w:rPr>
              <w:t xml:space="preserve"> VIH</w:t>
            </w:r>
            <w:r w:rsidRPr="008E4FF6">
              <w:rPr>
                <w:rFonts w:eastAsia="Calibri"/>
                <w:sz w:val="16"/>
                <w:szCs w:val="16"/>
                <w:lang w:val="es-BO" w:eastAsia="es-BO"/>
              </w:rPr>
              <w:t xml:space="preserve">, por lo que es un reto a enfrentar. Desde el año 2019 el país ha retomado estrategias de vinculación y búsqueda de abandonos con la colaboración de la sociedad civil, personal de salud y otras organizaciones que colaboran en la respuesta al VIH, teniendo una mejora en los resultados, aunque situaciones como la violencia social, en la cual existe áreas geográficas en las que no se puede </w:t>
            </w:r>
            <w:r>
              <w:rPr>
                <w:rFonts w:eastAsia="Calibri"/>
                <w:sz w:val="16"/>
                <w:szCs w:val="16"/>
                <w:lang w:val="es-BO" w:eastAsia="es-BO"/>
              </w:rPr>
              <w:t xml:space="preserve">tener acceso </w:t>
            </w:r>
            <w:r w:rsidRPr="008E4FF6">
              <w:rPr>
                <w:rFonts w:eastAsia="Calibri"/>
                <w:sz w:val="16"/>
                <w:szCs w:val="16"/>
                <w:lang w:val="es-BO" w:eastAsia="es-BO"/>
              </w:rPr>
              <w:t>por el dominio de las pandillas, la falta de veracidad en los datos generales del usuario como es dirección y número de teléfonos, en muchas ocasiones dificultan el trabajo realizado para disminuir las brechas existentes.</w:t>
            </w:r>
          </w:p>
          <w:p w14:paraId="0E2316BA" w14:textId="77777777" w:rsidR="0057038C" w:rsidRPr="008E4FF6" w:rsidRDefault="0057038C" w:rsidP="0057038C">
            <w:pPr>
              <w:spacing w:after="60" w:line="240" w:lineRule="auto"/>
              <w:jc w:val="both"/>
              <w:rPr>
                <w:rFonts w:eastAsia="Calibri"/>
                <w:sz w:val="16"/>
                <w:szCs w:val="16"/>
                <w:lang w:val="es-BO" w:eastAsia="es-BO"/>
              </w:rPr>
            </w:pPr>
            <w:r w:rsidRPr="008E4FF6">
              <w:rPr>
                <w:rFonts w:eastAsia="Calibri"/>
                <w:sz w:val="16"/>
                <w:szCs w:val="16"/>
                <w:lang w:val="es-BO" w:eastAsia="es-BO"/>
              </w:rPr>
              <w:t>A las PVIH se les da seguimiento a través de los promotores pares y los educadores SR para mejorar la adherencia al Tratamiento.</w:t>
            </w:r>
          </w:p>
          <w:p w14:paraId="732B8401" w14:textId="77777777" w:rsidR="0057038C" w:rsidRPr="008E4FF6" w:rsidRDefault="0057038C" w:rsidP="0057038C">
            <w:pPr>
              <w:spacing w:after="60" w:line="240" w:lineRule="auto"/>
              <w:jc w:val="both"/>
              <w:rPr>
                <w:rFonts w:eastAsia="Calibri"/>
                <w:sz w:val="16"/>
                <w:szCs w:val="16"/>
                <w:lang w:val="es-BO" w:eastAsia="es-BO"/>
              </w:rPr>
            </w:pPr>
            <w:r w:rsidRPr="008E4FF6">
              <w:rPr>
                <w:rFonts w:eastAsia="Calibri"/>
                <w:sz w:val="16"/>
                <w:szCs w:val="16"/>
                <w:lang w:val="es-BO" w:eastAsia="es-BO"/>
              </w:rPr>
              <w:t>Además, se realizará una reestructura de los grupos de apoyo en los cuales se reforzará la participación de los pares para posteriormente crear grupos de autoayuda creando habilidades en ellos temas como adherencia al tratamiento, infecciones oportunistas entre otros temas de innovación a través de capacitaciones virtuales con el apoyo del equipo multidisciplinario de las CAI.</w:t>
            </w:r>
          </w:p>
          <w:p w14:paraId="67742188" w14:textId="77777777" w:rsidR="0057038C" w:rsidRPr="008E4FF6" w:rsidRDefault="0057038C" w:rsidP="0057038C">
            <w:pPr>
              <w:spacing w:after="60" w:line="240" w:lineRule="auto"/>
              <w:jc w:val="both"/>
              <w:rPr>
                <w:rFonts w:eastAsia="Calibri"/>
                <w:sz w:val="16"/>
                <w:szCs w:val="16"/>
                <w:lang w:val="es-BO" w:eastAsia="es-BO"/>
              </w:rPr>
            </w:pPr>
            <w:r w:rsidRPr="008E4FF6">
              <w:rPr>
                <w:rFonts w:eastAsia="Calibri"/>
                <w:sz w:val="16"/>
                <w:szCs w:val="16"/>
                <w:lang w:val="es-BO" w:eastAsia="es-BO"/>
              </w:rPr>
              <w:t xml:space="preserve">De igualmente se reforzará las capacidades de los diferentes psicólogos de las CAI y de unidades comunitarias de salud familiar que cuentan con grupos de apoyo, con el fin de brindar atención psicológica y apoyo en la mejora de la adherencia al tratamiento. </w:t>
            </w:r>
          </w:p>
          <w:p w14:paraId="6D375251" w14:textId="77777777" w:rsidR="0057038C" w:rsidRPr="008E4FF6" w:rsidRDefault="0057038C" w:rsidP="0057038C">
            <w:pPr>
              <w:spacing w:after="60" w:line="240" w:lineRule="auto"/>
              <w:jc w:val="both"/>
              <w:rPr>
                <w:rFonts w:eastAsia="Calibri"/>
                <w:sz w:val="16"/>
                <w:szCs w:val="16"/>
                <w:lang w:val="es-BO" w:eastAsia="es-BO"/>
              </w:rPr>
            </w:pPr>
            <w:r w:rsidRPr="008E4FF6">
              <w:rPr>
                <w:rFonts w:eastAsia="Calibri"/>
                <w:sz w:val="16"/>
                <w:szCs w:val="16"/>
                <w:lang w:val="es-BO" w:eastAsia="es-BO"/>
              </w:rPr>
              <w:t>Para este fin también se actualizará los materiales educativos dirigido a los usuarios de las CAI.</w:t>
            </w:r>
          </w:p>
          <w:p w14:paraId="7E5DED8D" w14:textId="77777777" w:rsidR="0057038C" w:rsidRPr="008E4FF6" w:rsidRDefault="0057038C" w:rsidP="0057038C">
            <w:pPr>
              <w:spacing w:after="60" w:line="240" w:lineRule="auto"/>
              <w:jc w:val="both"/>
              <w:rPr>
                <w:rFonts w:eastAsia="Calibri"/>
                <w:sz w:val="16"/>
                <w:szCs w:val="16"/>
                <w:lang w:val="es-BO" w:eastAsia="es-BO"/>
              </w:rPr>
            </w:pPr>
            <w:r w:rsidRPr="008E4FF6">
              <w:rPr>
                <w:rFonts w:eastAsia="Calibri"/>
                <w:sz w:val="16"/>
                <w:szCs w:val="16"/>
                <w:lang w:val="es-BO" w:eastAsia="es-BO"/>
              </w:rPr>
              <w:t>Entre otras de las acciones a implementar para la mejora de la adherencia se iniciará el proceso de descentralización de los servicios que brindan atención integral a las personas con VIH como sigue:</w:t>
            </w:r>
          </w:p>
          <w:p w14:paraId="746F2B70" w14:textId="77777777" w:rsidR="0057038C" w:rsidRPr="008E4FF6" w:rsidRDefault="0057038C" w:rsidP="0057038C">
            <w:pPr>
              <w:spacing w:after="60" w:line="240" w:lineRule="auto"/>
              <w:jc w:val="both"/>
              <w:rPr>
                <w:rFonts w:eastAsia="Calibri"/>
                <w:sz w:val="16"/>
                <w:szCs w:val="16"/>
                <w:lang w:val="es-BO" w:eastAsia="es-BO"/>
              </w:rPr>
            </w:pPr>
            <w:r w:rsidRPr="008E4FF6">
              <w:rPr>
                <w:rFonts w:eastAsia="Calibri"/>
                <w:sz w:val="16"/>
                <w:szCs w:val="16"/>
                <w:lang w:val="es-BO" w:eastAsia="es-BO"/>
              </w:rPr>
              <w:t xml:space="preserve"> – con los últimos 10 hospitales que aún no prestan este servicio y se realizará de manera escalonada (4 el primer año, 4 el segundo año y 3 para el último año incluyendo hospital de la zona norte de San Salvador en fase de construcción),</w:t>
            </w:r>
          </w:p>
          <w:p w14:paraId="67E25335" w14:textId="77777777" w:rsidR="0057038C" w:rsidRPr="008E4FF6" w:rsidRDefault="0057038C" w:rsidP="0057038C">
            <w:pPr>
              <w:spacing w:after="60" w:line="240" w:lineRule="auto"/>
              <w:jc w:val="both"/>
              <w:rPr>
                <w:rFonts w:eastAsia="Calibri"/>
                <w:sz w:val="16"/>
                <w:szCs w:val="16"/>
                <w:lang w:val="es-BO" w:eastAsia="es-BO"/>
              </w:rPr>
            </w:pPr>
            <w:r w:rsidRPr="008E4FF6">
              <w:rPr>
                <w:rFonts w:eastAsia="Calibri"/>
                <w:sz w:val="16"/>
                <w:szCs w:val="16"/>
                <w:lang w:val="es-BO" w:eastAsia="es-BO"/>
              </w:rPr>
              <w:t>– Tres establecimientos de salud del primer nivel de atención (UCSF) en el segundo y tercer año de la subvención.</w:t>
            </w:r>
          </w:p>
          <w:p w14:paraId="709F0B44" w14:textId="59515F18" w:rsidR="0057038C" w:rsidRPr="008E4FF6" w:rsidRDefault="0057038C" w:rsidP="0057038C">
            <w:pPr>
              <w:spacing w:after="60" w:line="240" w:lineRule="auto"/>
              <w:jc w:val="both"/>
              <w:rPr>
                <w:rFonts w:eastAsia="Calibri"/>
                <w:sz w:val="16"/>
                <w:szCs w:val="16"/>
                <w:lang w:val="es-BO" w:eastAsia="es-BO"/>
              </w:rPr>
            </w:pPr>
            <w:r w:rsidRPr="008E4FF6">
              <w:rPr>
                <w:rFonts w:eastAsia="Calibri"/>
                <w:sz w:val="16"/>
                <w:szCs w:val="16"/>
                <w:lang w:val="es-BO" w:eastAsia="es-BO"/>
              </w:rPr>
              <w:t>A raíz de la pandemia por COVID-19, el país inició la entrega domiciliar de medicamentos para VIH y el despacho de receta multi</w:t>
            </w:r>
            <w:r w:rsidR="00EA36F7">
              <w:rPr>
                <w:rFonts w:eastAsia="Calibri"/>
                <w:sz w:val="16"/>
                <w:szCs w:val="16"/>
                <w:lang w:val="es-BO" w:eastAsia="es-BO"/>
              </w:rPr>
              <w:t xml:space="preserve"> </w:t>
            </w:r>
            <w:r w:rsidRPr="008E4FF6">
              <w:rPr>
                <w:rFonts w:eastAsia="Calibri"/>
                <w:sz w:val="16"/>
                <w:szCs w:val="16"/>
                <w:lang w:val="es-BO" w:eastAsia="es-BO"/>
              </w:rPr>
              <w:t>mes, actividad que se pretende continuar con lo que se espera mejore el acceso a los medicamentos y por ende la adherencia.</w:t>
            </w:r>
          </w:p>
          <w:p w14:paraId="208028F0" w14:textId="77777777" w:rsidR="0057038C" w:rsidRPr="001E0232" w:rsidRDefault="0057038C" w:rsidP="0057038C">
            <w:pPr>
              <w:spacing w:after="60" w:line="240" w:lineRule="auto"/>
              <w:jc w:val="both"/>
              <w:rPr>
                <w:rFonts w:eastAsia="Calibri"/>
                <w:sz w:val="16"/>
                <w:szCs w:val="16"/>
                <w:lang w:val="es-NI" w:eastAsia="es-BO"/>
              </w:rPr>
            </w:pPr>
            <w:r w:rsidRPr="008E4FF6">
              <w:rPr>
                <w:rFonts w:eastAsia="Calibri"/>
                <w:sz w:val="16"/>
                <w:szCs w:val="16"/>
                <w:lang w:val="es-BO" w:eastAsia="es-BO"/>
              </w:rPr>
              <w:t>Durante la futura subvención se pretende continuar con las estrategias de vinculación y búsqueda de abandonos con el apoyo de organizaciones socias y el personal de los establecimientos de salud, a través del seguimiento con llamadas telefónica y visita domiciliar</w:t>
            </w:r>
            <w:r w:rsidRPr="001E0232">
              <w:rPr>
                <w:rFonts w:eastAsia="Calibri"/>
                <w:sz w:val="16"/>
                <w:szCs w:val="16"/>
                <w:lang w:val="es-NI" w:eastAsia="es-BO"/>
              </w:rPr>
              <w:t>.</w:t>
            </w:r>
          </w:p>
          <w:p w14:paraId="6FAF5521" w14:textId="77777777" w:rsidR="0057038C" w:rsidRPr="008E4FF6" w:rsidRDefault="0057038C" w:rsidP="0057038C">
            <w:pPr>
              <w:spacing w:after="60" w:line="240" w:lineRule="auto"/>
              <w:jc w:val="both"/>
              <w:rPr>
                <w:rFonts w:eastAsia="Calibri"/>
                <w:sz w:val="16"/>
                <w:szCs w:val="16"/>
                <w:lang w:val="es-BO" w:eastAsia="es-BO"/>
              </w:rPr>
            </w:pPr>
            <w:r w:rsidRPr="008E4FF6">
              <w:rPr>
                <w:rFonts w:eastAsia="Calibri"/>
                <w:sz w:val="16"/>
                <w:szCs w:val="16"/>
                <w:lang w:val="es-NI" w:eastAsia="es-BO"/>
              </w:rPr>
              <w:t xml:space="preserve">El proyecto Cuidado y Tratamiento de USAID ha implementado </w:t>
            </w:r>
            <w:r w:rsidRPr="008E4FF6">
              <w:rPr>
                <w:rFonts w:eastAsia="Calibri"/>
                <w:sz w:val="16"/>
                <w:szCs w:val="16"/>
                <w:lang w:val="es-BO" w:eastAsia="es-BO"/>
              </w:rPr>
              <w:t xml:space="preserve">la aplicación electrónica ‘Alertar’ en siete hospitales a nivel nacional donde se brinda atención </w:t>
            </w:r>
            <w:r w:rsidRPr="008E4FF6">
              <w:rPr>
                <w:rFonts w:eastAsia="Calibri"/>
                <w:sz w:val="16"/>
                <w:szCs w:val="16"/>
                <w:lang w:val="es-BO" w:eastAsia="es-BO"/>
              </w:rPr>
              <w:lastRenderedPageBreak/>
              <w:t>a PVIH, dicha aplicación envía una notificación a dispositivos móviles de PVIH que han faltado a la cita médica o a sus exámenes de laboratorio. En el futuro, al contar con los recursos financieros necesarios, se espera expandir esta aplicación al resto de hospitales que brindan TAR.</w:t>
            </w:r>
          </w:p>
          <w:p w14:paraId="24271C35" w14:textId="77777777" w:rsidR="0057038C" w:rsidRPr="008E4FF6" w:rsidRDefault="0057038C" w:rsidP="0057038C">
            <w:pPr>
              <w:spacing w:after="60" w:line="240" w:lineRule="auto"/>
              <w:jc w:val="both"/>
              <w:rPr>
                <w:rFonts w:eastAsia="Calibri"/>
                <w:sz w:val="16"/>
                <w:szCs w:val="16"/>
                <w:lang w:val="es-BO" w:eastAsia="es-BO"/>
              </w:rPr>
            </w:pPr>
            <w:r w:rsidRPr="008E4FF6">
              <w:rPr>
                <w:rFonts w:eastAsia="Calibri"/>
                <w:sz w:val="16"/>
                <w:szCs w:val="16"/>
                <w:lang w:val="es-BO" w:eastAsia="es-BO"/>
              </w:rPr>
              <w:t>Con las pruebas para Infecciones oportunista se realiza diagnóstico oportuno y adecuado para mejor manejo de estas en PVIH.</w:t>
            </w:r>
          </w:p>
          <w:p w14:paraId="2B8EE302" w14:textId="77777777" w:rsidR="0057038C" w:rsidRPr="008E4FF6" w:rsidRDefault="0057038C" w:rsidP="0057038C">
            <w:pPr>
              <w:spacing w:line="240" w:lineRule="auto"/>
              <w:jc w:val="both"/>
              <w:rPr>
                <w:rFonts w:eastAsia="Calibri"/>
                <w:sz w:val="16"/>
                <w:szCs w:val="16"/>
                <w:lang w:val="es-NI" w:eastAsia="es-SV"/>
              </w:rPr>
            </w:pPr>
            <w:r w:rsidRPr="001E0232">
              <w:rPr>
                <w:rFonts w:eastAsia="Calibri"/>
                <w:sz w:val="16"/>
                <w:szCs w:val="16"/>
                <w:lang w:val="es-BO" w:eastAsia="es-BO"/>
              </w:rPr>
              <w:t xml:space="preserve">2. A las personas con VIH en TAR se les realiza una prueba de CD4 y una de Carga Viral cada año según la </w:t>
            </w:r>
            <w:bookmarkStart w:id="5" w:name="_Hlk63270012"/>
            <w:r w:rsidRPr="001E0232">
              <w:rPr>
                <w:rFonts w:eastAsia="Calibri"/>
                <w:sz w:val="16"/>
                <w:szCs w:val="16"/>
                <w:lang w:val="es-BO" w:eastAsia="es-BO"/>
              </w:rPr>
              <w:t>Guía clínica para la atención integral en salud de las personas con VIH del año 2020</w:t>
            </w:r>
            <w:bookmarkEnd w:id="5"/>
            <w:r w:rsidRPr="001E0232">
              <w:rPr>
                <w:rFonts w:eastAsia="Calibri"/>
                <w:sz w:val="16"/>
                <w:szCs w:val="16"/>
                <w:lang w:val="es-BO" w:eastAsia="es-BO"/>
              </w:rPr>
              <w:t xml:space="preserve">. El inicio de TAR no está condicionado a los resultados de estos exámenes, recomendándose que se inicie lo más pronto posible después del diagnóstico. </w:t>
            </w:r>
          </w:p>
          <w:p w14:paraId="23A78DC2" w14:textId="77777777" w:rsidR="0057038C" w:rsidRPr="001E0232" w:rsidRDefault="0057038C" w:rsidP="0057038C">
            <w:pPr>
              <w:spacing w:after="60" w:line="240" w:lineRule="auto"/>
              <w:jc w:val="both"/>
              <w:rPr>
                <w:rFonts w:eastAsia="Calibri"/>
                <w:sz w:val="16"/>
                <w:szCs w:val="16"/>
                <w:lang w:val="es-NI" w:eastAsia="es-BO"/>
              </w:rPr>
            </w:pPr>
            <w:r w:rsidRPr="00CF71E0">
              <w:rPr>
                <w:rFonts w:eastAsia="Times New Roman"/>
                <w:b/>
                <w:bCs/>
                <w:sz w:val="16"/>
                <w:szCs w:val="16"/>
                <w:lang w:val="es-NI" w:eastAsia="es-SV"/>
              </w:rPr>
              <w:t>Desafíos, obstáculos e inequidades</w:t>
            </w:r>
            <w:r w:rsidRPr="00CF71E0">
              <w:rPr>
                <w:rFonts w:eastAsia="Times New Roman"/>
                <w:sz w:val="16"/>
                <w:szCs w:val="16"/>
                <w:lang w:val="es-NI" w:eastAsia="es-SV"/>
              </w:rPr>
              <w:t>:</w:t>
            </w:r>
            <w:r w:rsidRPr="001E0232">
              <w:rPr>
                <w:rFonts w:eastAsia="Calibri"/>
                <w:b/>
                <w:bCs/>
                <w:sz w:val="16"/>
                <w:szCs w:val="16"/>
                <w:lang w:val="es-NI" w:eastAsia="es-BO"/>
              </w:rPr>
              <w:t xml:space="preserve"> </w:t>
            </w:r>
            <w:r w:rsidRPr="001E0232">
              <w:rPr>
                <w:rFonts w:eastAsia="Calibri"/>
                <w:sz w:val="16"/>
                <w:szCs w:val="16"/>
                <w:lang w:val="es-NI" w:eastAsia="es-BO"/>
              </w:rPr>
              <w:t>Falta de incorporación de la información por el ISSS en lo cual actualmente se está trabajando</w:t>
            </w:r>
          </w:p>
          <w:p w14:paraId="6DF610A2" w14:textId="77777777" w:rsidR="0057038C" w:rsidRPr="001E0232" w:rsidRDefault="0057038C" w:rsidP="0057038C">
            <w:pPr>
              <w:spacing w:after="60" w:line="240" w:lineRule="auto"/>
              <w:jc w:val="both"/>
              <w:rPr>
                <w:rFonts w:eastAsia="Calibri"/>
                <w:sz w:val="16"/>
                <w:szCs w:val="16"/>
                <w:lang w:val="es-NI" w:eastAsia="es-BO"/>
              </w:rPr>
            </w:pPr>
            <w:r w:rsidRPr="001E0232">
              <w:rPr>
                <w:rFonts w:eastAsia="Calibri"/>
                <w:sz w:val="16"/>
                <w:szCs w:val="16"/>
                <w:lang w:val="es-NI" w:eastAsia="es-BO"/>
              </w:rPr>
              <w:t>Riesgo social y territorialidad por parte de las pandillas</w:t>
            </w:r>
          </w:p>
          <w:p w14:paraId="13E909CB" w14:textId="77777777" w:rsidR="0057038C" w:rsidRPr="001E0232" w:rsidRDefault="0057038C" w:rsidP="0057038C">
            <w:pPr>
              <w:spacing w:after="60" w:line="240" w:lineRule="auto"/>
              <w:jc w:val="both"/>
              <w:rPr>
                <w:rFonts w:eastAsia="Calibri"/>
                <w:sz w:val="16"/>
                <w:szCs w:val="16"/>
                <w:lang w:val="es-NI" w:eastAsia="es-BO"/>
              </w:rPr>
            </w:pPr>
            <w:r w:rsidRPr="001E0232">
              <w:rPr>
                <w:rFonts w:eastAsia="Calibri"/>
                <w:sz w:val="16"/>
                <w:szCs w:val="16"/>
                <w:lang w:val="es-NI" w:eastAsia="es-BO"/>
              </w:rPr>
              <w:t>Falta de adherencia del usuario</w:t>
            </w:r>
          </w:p>
          <w:p w14:paraId="6E297CCC" w14:textId="77777777" w:rsidR="0057038C" w:rsidRPr="001E0232" w:rsidRDefault="0057038C" w:rsidP="0057038C">
            <w:pPr>
              <w:spacing w:after="60" w:line="240" w:lineRule="auto"/>
              <w:jc w:val="both"/>
              <w:rPr>
                <w:rFonts w:eastAsia="Calibri"/>
                <w:sz w:val="16"/>
                <w:szCs w:val="16"/>
                <w:lang w:val="es-NI" w:eastAsia="es-BO"/>
              </w:rPr>
            </w:pPr>
            <w:r w:rsidRPr="001E0232">
              <w:rPr>
                <w:rFonts w:eastAsia="Calibri"/>
                <w:sz w:val="16"/>
                <w:szCs w:val="16"/>
                <w:lang w:val="es-NI" w:eastAsia="es-BO"/>
              </w:rPr>
              <w:t>Factores económicos para acceder a sus consultas de control y a la realización de sus exámenes de seguimiento</w:t>
            </w:r>
          </w:p>
          <w:p w14:paraId="48A585F6" w14:textId="77777777" w:rsidR="0057038C" w:rsidRPr="001E0232" w:rsidRDefault="0057038C" w:rsidP="0057038C">
            <w:pPr>
              <w:spacing w:after="60" w:line="240" w:lineRule="auto"/>
              <w:jc w:val="both"/>
              <w:rPr>
                <w:rFonts w:eastAsia="Calibri"/>
                <w:sz w:val="16"/>
                <w:szCs w:val="16"/>
                <w:lang w:val="es-NI" w:eastAsia="es-BO"/>
              </w:rPr>
            </w:pPr>
            <w:r w:rsidRPr="001E0232">
              <w:rPr>
                <w:rFonts w:eastAsia="Calibri"/>
                <w:sz w:val="16"/>
                <w:szCs w:val="16"/>
                <w:lang w:val="es-NI" w:eastAsia="es-BO"/>
              </w:rPr>
              <w:t>Escaso personal de salud</w:t>
            </w:r>
          </w:p>
          <w:p w14:paraId="1110FEEB" w14:textId="77777777" w:rsidR="0057038C" w:rsidRPr="008E4FF6" w:rsidRDefault="0057038C" w:rsidP="0057038C">
            <w:pPr>
              <w:spacing w:line="240" w:lineRule="auto"/>
              <w:jc w:val="both"/>
              <w:rPr>
                <w:rFonts w:eastAsia="Calibri"/>
                <w:sz w:val="16"/>
                <w:szCs w:val="16"/>
                <w:lang w:val="es-NI"/>
              </w:rPr>
            </w:pPr>
            <w:r w:rsidRPr="001E0232">
              <w:rPr>
                <w:rFonts w:eastAsia="Calibri"/>
                <w:sz w:val="16"/>
                <w:szCs w:val="16"/>
                <w:lang w:val="es-NI" w:eastAsia="es-BO"/>
              </w:rPr>
              <w:t>Miedo al estigma y discriminación</w:t>
            </w:r>
            <w:r>
              <w:rPr>
                <w:rFonts w:eastAsia="Calibri"/>
                <w:sz w:val="16"/>
                <w:szCs w:val="16"/>
                <w:lang w:val="es-NI" w:eastAsia="es-BO"/>
              </w:rPr>
              <w:t>.</w:t>
            </w:r>
          </w:p>
        </w:tc>
        <w:tc>
          <w:tcPr>
            <w:tcW w:w="2872" w:type="dxa"/>
            <w:shd w:val="clear" w:color="auto" w:fill="auto"/>
          </w:tcPr>
          <w:p w14:paraId="54103AF6" w14:textId="77777777" w:rsidR="0057038C" w:rsidRPr="006E25E0" w:rsidRDefault="0057038C" w:rsidP="0057038C">
            <w:pPr>
              <w:spacing w:after="60" w:line="240" w:lineRule="auto"/>
              <w:jc w:val="both"/>
              <w:rPr>
                <w:rFonts w:eastAsia="Calibri"/>
                <w:sz w:val="16"/>
                <w:szCs w:val="16"/>
                <w:lang w:val="es-NI" w:eastAsia="es-SV"/>
              </w:rPr>
            </w:pPr>
            <w:r>
              <w:rPr>
                <w:rFonts w:eastAsia="Calibri"/>
                <w:sz w:val="16"/>
                <w:szCs w:val="16"/>
                <w:lang w:val="es-NI" w:eastAsia="es-SV"/>
              </w:rPr>
              <w:lastRenderedPageBreak/>
              <w:t xml:space="preserve">1. </w:t>
            </w:r>
            <w:r w:rsidRPr="006E25E0">
              <w:rPr>
                <w:rFonts w:eastAsia="Calibri"/>
                <w:sz w:val="16"/>
                <w:szCs w:val="16"/>
                <w:lang w:val="es-NI" w:eastAsia="es-SV"/>
              </w:rPr>
              <w:t>Para el indicador de personas en TAR cuyas metas son: para el año 2022: 72%, 2023:77% y 2024 un 81.67%</w:t>
            </w:r>
          </w:p>
          <w:p w14:paraId="0DB2D50C" w14:textId="77777777" w:rsidR="0057038C" w:rsidRPr="006E25E0" w:rsidRDefault="0057038C" w:rsidP="0057038C">
            <w:pPr>
              <w:spacing w:after="60" w:line="240" w:lineRule="auto"/>
              <w:jc w:val="both"/>
              <w:rPr>
                <w:rFonts w:eastAsia="Calibri"/>
                <w:sz w:val="16"/>
                <w:szCs w:val="16"/>
                <w:lang w:val="es-NI" w:eastAsia="es-SV"/>
              </w:rPr>
            </w:pPr>
            <w:r w:rsidRPr="006E25E0">
              <w:rPr>
                <w:rFonts w:eastAsia="Calibri"/>
                <w:sz w:val="16"/>
                <w:szCs w:val="16"/>
                <w:lang w:val="es-NI" w:eastAsia="es-SV"/>
              </w:rPr>
              <w:t>Numerador: Número de personas que viven con el VIH que reciben tratamiento antirretroviral al momento del reporte.</w:t>
            </w:r>
          </w:p>
          <w:p w14:paraId="20A3F37F" w14:textId="77777777" w:rsidR="0057038C" w:rsidRPr="006E25E0" w:rsidRDefault="0057038C" w:rsidP="0057038C">
            <w:pPr>
              <w:spacing w:after="60" w:line="240" w:lineRule="auto"/>
              <w:jc w:val="both"/>
              <w:rPr>
                <w:rFonts w:eastAsia="Calibri"/>
                <w:sz w:val="16"/>
                <w:szCs w:val="16"/>
                <w:lang w:val="es-NI" w:eastAsia="es-SV"/>
              </w:rPr>
            </w:pPr>
            <w:r w:rsidRPr="006E25E0">
              <w:rPr>
                <w:rFonts w:eastAsia="Calibri"/>
                <w:sz w:val="16"/>
                <w:szCs w:val="16"/>
                <w:lang w:val="es-NI" w:eastAsia="es-SV"/>
              </w:rPr>
              <w:t>Denominador: Número total de personas con VIH según las estimaciones y proyecciones Spectrum 2019</w:t>
            </w:r>
          </w:p>
          <w:p w14:paraId="4CC10336" w14:textId="77777777" w:rsidR="0057038C" w:rsidRPr="006E25E0" w:rsidRDefault="0057038C" w:rsidP="0057038C">
            <w:pPr>
              <w:spacing w:after="60" w:line="240" w:lineRule="auto"/>
              <w:jc w:val="both"/>
              <w:rPr>
                <w:rFonts w:eastAsia="Calibri"/>
                <w:sz w:val="16"/>
                <w:szCs w:val="16"/>
                <w:lang w:val="es-AR" w:eastAsia="es-SV"/>
              </w:rPr>
            </w:pPr>
            <w:r>
              <w:rPr>
                <w:rFonts w:eastAsia="Calibri"/>
                <w:sz w:val="16"/>
                <w:szCs w:val="16"/>
                <w:lang w:eastAsia="es-SV"/>
              </w:rPr>
              <w:t xml:space="preserve">2. </w:t>
            </w:r>
            <w:r w:rsidRPr="006E25E0">
              <w:rPr>
                <w:rFonts w:eastAsia="Calibri"/>
                <w:sz w:val="16"/>
                <w:szCs w:val="16"/>
                <w:lang w:eastAsia="es-SV"/>
              </w:rPr>
              <w:t xml:space="preserve">Meta para Indicador de carga viral es, </w:t>
            </w:r>
            <w:r w:rsidRPr="006E25E0">
              <w:rPr>
                <w:rFonts w:eastAsia="Calibri"/>
                <w:sz w:val="16"/>
                <w:szCs w:val="16"/>
                <w:lang w:val="es-AR" w:eastAsia="es-SV"/>
              </w:rPr>
              <w:t>para el año 2022 un 75%, un 80% para 2023 y un 85% para el 2024</w:t>
            </w:r>
          </w:p>
          <w:p w14:paraId="0EA3D246" w14:textId="7677DFBE" w:rsidR="0057038C" w:rsidRPr="006E25E0" w:rsidRDefault="0057038C" w:rsidP="003F1951">
            <w:pPr>
              <w:spacing w:after="60" w:line="240" w:lineRule="auto"/>
              <w:jc w:val="both"/>
              <w:rPr>
                <w:rFonts w:eastAsia="Calibri"/>
                <w:sz w:val="16"/>
                <w:szCs w:val="16"/>
                <w:lang w:val="es-NI"/>
              </w:rPr>
            </w:pPr>
            <w:r w:rsidRPr="006E25E0">
              <w:rPr>
                <w:rFonts w:eastAsia="Calibri"/>
                <w:sz w:val="16"/>
                <w:szCs w:val="16"/>
                <w:lang w:val="es-NI" w:eastAsia="es-SV"/>
              </w:rPr>
              <w:t>Tanto el numerador como el denominador de este indicador se obtendrá del SUMEVE.</w:t>
            </w:r>
          </w:p>
        </w:tc>
        <w:tc>
          <w:tcPr>
            <w:tcW w:w="2156" w:type="dxa"/>
          </w:tcPr>
          <w:p w14:paraId="3DC6724A" w14:textId="77777777" w:rsidR="0057038C" w:rsidRPr="008F7485" w:rsidRDefault="0057038C" w:rsidP="0057038C">
            <w:pPr>
              <w:spacing w:after="60" w:line="240" w:lineRule="auto"/>
              <w:jc w:val="both"/>
              <w:rPr>
                <w:rFonts w:eastAsia="Calibri"/>
                <w:sz w:val="16"/>
                <w:szCs w:val="16"/>
                <w:lang w:val="es-NI" w:eastAsia="es-BO"/>
              </w:rPr>
            </w:pPr>
            <w:r>
              <w:rPr>
                <w:rFonts w:eastAsia="Calibri"/>
                <w:i/>
                <w:iCs/>
                <w:sz w:val="16"/>
                <w:szCs w:val="16"/>
                <w:lang w:val="es-NI" w:eastAsia="es-BO"/>
              </w:rPr>
              <w:t xml:space="preserve">1. </w:t>
            </w:r>
            <w:r w:rsidRPr="00872C28">
              <w:rPr>
                <w:rFonts w:eastAsia="Calibri"/>
                <w:sz w:val="16"/>
                <w:szCs w:val="16"/>
                <w:lang w:val="es-NI" w:eastAsia="es-BO"/>
              </w:rPr>
              <w:t>Prestación de servicios diferenciados de tratamiento ARV y atención para VIH</w:t>
            </w:r>
          </w:p>
          <w:p w14:paraId="011B56D4" w14:textId="77777777" w:rsidR="0057038C" w:rsidRDefault="0057038C" w:rsidP="0057038C">
            <w:pPr>
              <w:spacing w:after="60" w:line="240" w:lineRule="auto"/>
              <w:jc w:val="right"/>
              <w:rPr>
                <w:rFonts w:eastAsia="Calibri"/>
                <w:b/>
                <w:bCs/>
                <w:sz w:val="16"/>
                <w:szCs w:val="16"/>
                <w:lang w:val="es-NI" w:eastAsia="es-SV"/>
              </w:rPr>
            </w:pPr>
            <w:r w:rsidRPr="006E25E0">
              <w:rPr>
                <w:rFonts w:eastAsia="Calibri"/>
                <w:b/>
                <w:bCs/>
                <w:sz w:val="16"/>
                <w:szCs w:val="16"/>
                <w:lang w:val="es-NI" w:eastAsia="es-SV"/>
              </w:rPr>
              <w:t>$</w:t>
            </w:r>
            <w:r>
              <w:rPr>
                <w:rFonts w:eastAsia="Calibri"/>
                <w:b/>
                <w:bCs/>
                <w:sz w:val="16"/>
                <w:szCs w:val="16"/>
                <w:lang w:val="es-NI" w:eastAsia="es-SV"/>
              </w:rPr>
              <w:t>597,536</w:t>
            </w:r>
          </w:p>
          <w:p w14:paraId="10DEC39B" w14:textId="77777777" w:rsidR="0057038C" w:rsidRDefault="0057038C" w:rsidP="0057038C">
            <w:pPr>
              <w:spacing w:after="60" w:line="240" w:lineRule="auto"/>
              <w:jc w:val="both"/>
              <w:rPr>
                <w:rFonts w:eastAsia="Calibri"/>
                <w:b/>
                <w:bCs/>
                <w:sz w:val="16"/>
                <w:szCs w:val="16"/>
                <w:lang w:val="es-NI" w:eastAsia="es-SV"/>
              </w:rPr>
            </w:pPr>
          </w:p>
          <w:p w14:paraId="4D02DAD0" w14:textId="77777777" w:rsidR="0057038C" w:rsidRPr="00872C28" w:rsidRDefault="0057038C" w:rsidP="0057038C">
            <w:pPr>
              <w:spacing w:after="60" w:line="240" w:lineRule="auto"/>
              <w:jc w:val="both"/>
              <w:rPr>
                <w:rFonts w:eastAsia="Calibri"/>
                <w:sz w:val="16"/>
                <w:szCs w:val="16"/>
                <w:lang w:val="es-NI" w:eastAsia="es-SV"/>
              </w:rPr>
            </w:pPr>
            <w:r>
              <w:rPr>
                <w:rFonts w:eastAsia="Calibri"/>
                <w:sz w:val="16"/>
                <w:szCs w:val="16"/>
                <w:lang w:val="es-NI" w:eastAsia="es-SV"/>
              </w:rPr>
              <w:t xml:space="preserve">2. </w:t>
            </w:r>
            <w:r w:rsidRPr="00872C28">
              <w:rPr>
                <w:rFonts w:eastAsia="Calibri"/>
                <w:sz w:val="16"/>
                <w:szCs w:val="16"/>
                <w:lang w:val="es-NI" w:eastAsia="es-SV"/>
              </w:rPr>
              <w:t>Seguimiento del tratamiento: carga viral:</w:t>
            </w:r>
          </w:p>
          <w:p w14:paraId="01914A2D" w14:textId="336DE8DE" w:rsidR="0057038C" w:rsidRPr="001E0232" w:rsidRDefault="00AE79D5" w:rsidP="0057038C">
            <w:pPr>
              <w:spacing w:after="60" w:line="240" w:lineRule="auto"/>
              <w:jc w:val="right"/>
              <w:rPr>
                <w:rFonts w:eastAsia="Calibri"/>
                <w:b/>
                <w:bCs/>
                <w:sz w:val="16"/>
                <w:szCs w:val="16"/>
                <w:lang w:val="es-NI" w:eastAsia="es-SV"/>
              </w:rPr>
            </w:pPr>
            <w:r w:rsidRPr="00EF732D">
              <w:rPr>
                <w:rFonts w:eastAsia="Calibri"/>
                <w:b/>
                <w:bCs/>
                <w:sz w:val="16"/>
                <w:szCs w:val="16"/>
                <w:lang w:val="es-NI" w:eastAsia="es-SV"/>
              </w:rPr>
              <w:t>$2,829,556</w:t>
            </w:r>
          </w:p>
          <w:p w14:paraId="3DD74BA8" w14:textId="77777777" w:rsidR="0057038C" w:rsidRDefault="0057038C" w:rsidP="0057038C">
            <w:pPr>
              <w:spacing w:after="60" w:line="240" w:lineRule="auto"/>
              <w:jc w:val="both"/>
              <w:rPr>
                <w:rFonts w:eastAsia="Calibri"/>
                <w:sz w:val="16"/>
                <w:szCs w:val="16"/>
                <w:lang w:val="es-NI" w:eastAsia="es-SV"/>
              </w:rPr>
            </w:pPr>
          </w:p>
          <w:p w14:paraId="077E456D" w14:textId="77777777" w:rsidR="0057038C" w:rsidRPr="006E25E0" w:rsidRDefault="0057038C" w:rsidP="0057038C">
            <w:pPr>
              <w:spacing w:after="60" w:line="240" w:lineRule="auto"/>
              <w:jc w:val="both"/>
              <w:rPr>
                <w:rFonts w:eastAsia="Calibri"/>
                <w:sz w:val="16"/>
                <w:szCs w:val="16"/>
                <w:lang w:val="es-NI" w:eastAsia="es-SV"/>
              </w:rPr>
            </w:pPr>
            <w:r w:rsidRPr="006E25E0">
              <w:rPr>
                <w:rFonts w:eastAsia="Calibri"/>
                <w:sz w:val="16"/>
                <w:szCs w:val="16"/>
                <w:lang w:val="es-NI" w:eastAsia="es-SV"/>
              </w:rPr>
              <w:t xml:space="preserve">Intervenciones:  adquisición de </w:t>
            </w:r>
            <w:r>
              <w:rPr>
                <w:rFonts w:eastAsia="Calibri"/>
                <w:sz w:val="16"/>
                <w:szCs w:val="16"/>
                <w:lang w:val="es-NI" w:eastAsia="es-SV"/>
              </w:rPr>
              <w:t>70</w:t>
            </w:r>
            <w:r w:rsidRPr="006E25E0">
              <w:rPr>
                <w:rFonts w:eastAsia="Calibri"/>
                <w:sz w:val="16"/>
                <w:szCs w:val="16"/>
                <w:lang w:val="es-NI" w:eastAsia="es-SV"/>
              </w:rPr>
              <w:t xml:space="preserve">%, </w:t>
            </w:r>
            <w:r>
              <w:rPr>
                <w:rFonts w:eastAsia="Calibri"/>
                <w:sz w:val="16"/>
                <w:szCs w:val="16"/>
                <w:lang w:val="es-NI" w:eastAsia="es-SV"/>
              </w:rPr>
              <w:t>65% y 6</w:t>
            </w:r>
            <w:r w:rsidRPr="006E25E0">
              <w:rPr>
                <w:rFonts w:eastAsia="Calibri"/>
                <w:sz w:val="16"/>
                <w:szCs w:val="16"/>
                <w:lang w:val="es-NI" w:eastAsia="es-SV"/>
              </w:rPr>
              <w:t>0% de necesidades nacionales de reactivos para CD4 y carga viral para las personas esperadas a estar vinculadas a la atención en 2022 al 2024; apoyo para la red de transporte de muestras y análisis de la calidad de los datos.</w:t>
            </w:r>
          </w:p>
          <w:p w14:paraId="5A015CD5" w14:textId="6FCF7076" w:rsidR="0057038C" w:rsidRPr="00872C28" w:rsidRDefault="0057038C" w:rsidP="003F1951">
            <w:pPr>
              <w:spacing w:line="240" w:lineRule="auto"/>
              <w:jc w:val="both"/>
              <w:rPr>
                <w:rFonts w:eastAsia="Calibri"/>
                <w:sz w:val="16"/>
                <w:szCs w:val="16"/>
                <w:lang w:val="es-NI" w:eastAsia="es-SV"/>
              </w:rPr>
            </w:pPr>
            <w:r w:rsidRPr="006E25E0">
              <w:rPr>
                <w:rFonts w:eastAsia="Calibri"/>
                <w:sz w:val="16"/>
                <w:szCs w:val="16"/>
                <w:lang w:val="es-NI" w:eastAsia="es-SV"/>
              </w:rPr>
              <w:t>El Estado cubrirá 100% de las necesidades de ARV.</w:t>
            </w:r>
          </w:p>
        </w:tc>
      </w:tr>
      <w:tr w:rsidR="0057038C" w:rsidRPr="006E25E0" w14:paraId="6DFAB8B2" w14:textId="77777777" w:rsidTr="0057038C">
        <w:trPr>
          <w:cantSplit/>
          <w:trHeight w:val="1134"/>
        </w:trPr>
        <w:tc>
          <w:tcPr>
            <w:tcW w:w="715" w:type="dxa"/>
            <w:shd w:val="clear" w:color="auto" w:fill="auto"/>
            <w:textDirection w:val="btLr"/>
            <w:vAlign w:val="center"/>
          </w:tcPr>
          <w:p w14:paraId="70BEF590" w14:textId="77777777" w:rsidR="0057038C" w:rsidRDefault="0057038C" w:rsidP="0057038C">
            <w:pPr>
              <w:spacing w:after="0" w:line="240" w:lineRule="auto"/>
              <w:ind w:left="113" w:right="113"/>
              <w:jc w:val="center"/>
              <w:rPr>
                <w:rFonts w:eastAsia="Times New Roman"/>
                <w:b/>
                <w:sz w:val="16"/>
                <w:szCs w:val="16"/>
                <w:lang w:val="es-NI" w:eastAsia="es-SV"/>
              </w:rPr>
            </w:pPr>
            <w:r w:rsidRPr="006E25E0">
              <w:rPr>
                <w:rFonts w:eastAsia="Times New Roman"/>
                <w:b/>
                <w:sz w:val="16"/>
                <w:szCs w:val="16"/>
                <w:lang w:val="es-NI" w:eastAsia="es-SV"/>
              </w:rPr>
              <w:lastRenderedPageBreak/>
              <w:t>Sistemas de información de gestión</w:t>
            </w:r>
          </w:p>
          <w:p w14:paraId="68DF8E78" w14:textId="77777777" w:rsidR="0057038C" w:rsidRPr="006E25E0" w:rsidRDefault="0057038C" w:rsidP="0057038C">
            <w:pPr>
              <w:spacing w:after="0" w:line="240" w:lineRule="auto"/>
              <w:ind w:left="113" w:right="113"/>
              <w:jc w:val="center"/>
              <w:rPr>
                <w:rFonts w:eastAsia="Calibri"/>
                <w:sz w:val="16"/>
                <w:szCs w:val="16"/>
                <w:lang w:val="es-NI"/>
              </w:rPr>
            </w:pPr>
            <w:r w:rsidRPr="006E25E0">
              <w:rPr>
                <w:rFonts w:eastAsia="Times New Roman"/>
                <w:b/>
                <w:sz w:val="16"/>
                <w:szCs w:val="16"/>
                <w:lang w:val="es-NI" w:eastAsia="es-SV"/>
              </w:rPr>
              <w:t>de salud y Monitoreo</w:t>
            </w:r>
            <w:r w:rsidRPr="006E25E0">
              <w:rPr>
                <w:rFonts w:eastAsia="Times New Roman"/>
                <w:b/>
                <w:sz w:val="16"/>
                <w:szCs w:val="16"/>
                <w:lang w:val="es-EC" w:eastAsia="es-SV"/>
              </w:rPr>
              <w:t xml:space="preserve"> y </w:t>
            </w:r>
            <w:r w:rsidRPr="006E25E0">
              <w:rPr>
                <w:rFonts w:eastAsia="Times New Roman"/>
                <w:b/>
                <w:sz w:val="16"/>
                <w:szCs w:val="16"/>
                <w:lang w:val="es-NI" w:eastAsia="es-SV"/>
              </w:rPr>
              <w:t>evaluación</w:t>
            </w:r>
          </w:p>
        </w:tc>
        <w:tc>
          <w:tcPr>
            <w:tcW w:w="4175" w:type="dxa"/>
            <w:shd w:val="clear" w:color="auto" w:fill="auto"/>
          </w:tcPr>
          <w:p w14:paraId="63699265" w14:textId="77777777" w:rsidR="0057038C" w:rsidRPr="007D3028" w:rsidRDefault="0057038C" w:rsidP="00617951">
            <w:pPr>
              <w:pStyle w:val="ListParagraph"/>
              <w:numPr>
                <w:ilvl w:val="0"/>
                <w:numId w:val="45"/>
              </w:numPr>
              <w:spacing w:line="240" w:lineRule="auto"/>
              <w:ind w:left="714" w:hanging="357"/>
              <w:contextualSpacing w:val="0"/>
              <w:rPr>
                <w:rFonts w:eastAsia="Times New Roman"/>
                <w:b/>
                <w:bCs/>
                <w:sz w:val="16"/>
                <w:szCs w:val="16"/>
                <w:lang w:val="es-NI" w:eastAsia="es-SV"/>
              </w:rPr>
            </w:pPr>
            <w:r w:rsidRPr="007D3028">
              <w:rPr>
                <w:rFonts w:eastAsia="Times New Roman"/>
                <w:b/>
                <w:bCs/>
                <w:sz w:val="16"/>
                <w:szCs w:val="16"/>
                <w:lang w:val="es-NI" w:eastAsia="es-SV"/>
              </w:rPr>
              <w:t>Análisis, evaluaciones, revisión y transparencia. / Encuestas: Este módulo pretende reforzar y actualizar datos e información estratégica para la respuesta nacional al VIH (PLAN-MINSAL)</w:t>
            </w:r>
          </w:p>
          <w:p w14:paraId="64220FBF" w14:textId="77777777" w:rsidR="0057038C" w:rsidRPr="007D3028" w:rsidRDefault="0057038C" w:rsidP="00617951">
            <w:pPr>
              <w:pStyle w:val="ListParagraph"/>
              <w:numPr>
                <w:ilvl w:val="0"/>
                <w:numId w:val="45"/>
              </w:numPr>
              <w:spacing w:after="0" w:line="240" w:lineRule="auto"/>
              <w:rPr>
                <w:rFonts w:eastAsia="Calibri"/>
                <w:b/>
                <w:bCs/>
                <w:sz w:val="16"/>
                <w:szCs w:val="16"/>
                <w:lang w:val="es-NI"/>
              </w:rPr>
            </w:pPr>
            <w:r w:rsidRPr="007D3028">
              <w:rPr>
                <w:rFonts w:eastAsia="Calibri"/>
                <w:b/>
                <w:bCs/>
                <w:sz w:val="16"/>
                <w:szCs w:val="16"/>
                <w:lang w:val="es-NI"/>
              </w:rPr>
              <w:t>Calidad del programa y los datos (PLAN)</w:t>
            </w:r>
          </w:p>
        </w:tc>
        <w:tc>
          <w:tcPr>
            <w:tcW w:w="6007" w:type="dxa"/>
            <w:shd w:val="clear" w:color="auto" w:fill="auto"/>
          </w:tcPr>
          <w:p w14:paraId="09C2F12D" w14:textId="77777777" w:rsidR="0057038C" w:rsidRDefault="0057038C" w:rsidP="0057038C">
            <w:pPr>
              <w:spacing w:after="60" w:line="240" w:lineRule="auto"/>
              <w:jc w:val="both"/>
              <w:rPr>
                <w:rFonts w:eastAsia="Calibri"/>
                <w:sz w:val="16"/>
                <w:szCs w:val="16"/>
                <w:lang w:val="es-BO" w:eastAsia="es-BO"/>
              </w:rPr>
            </w:pPr>
            <w:r>
              <w:rPr>
                <w:rFonts w:eastAsia="Calibri"/>
                <w:sz w:val="16"/>
                <w:szCs w:val="16"/>
                <w:lang w:val="es-BO" w:eastAsia="es-BO"/>
              </w:rPr>
              <w:t xml:space="preserve">1. </w:t>
            </w:r>
            <w:r w:rsidRPr="006E25E0">
              <w:rPr>
                <w:rFonts w:eastAsia="Calibri"/>
                <w:sz w:val="16"/>
                <w:szCs w:val="16"/>
                <w:lang w:val="es-BO" w:eastAsia="es-BO"/>
              </w:rPr>
              <w:t>A través de esta intervención se pretende actualizar el estudio tamaño poblacional de las poblaciones claves HSH, Trans y MTS para así poder contar con datos más recientes.</w:t>
            </w:r>
            <w:r>
              <w:rPr>
                <w:rFonts w:eastAsia="Calibri"/>
                <w:sz w:val="16"/>
                <w:szCs w:val="16"/>
                <w:lang w:val="es-BO" w:eastAsia="es-BO"/>
              </w:rPr>
              <w:t xml:space="preserve"> Esta intervención incluye la impresión de los estudios (versiones impresas del informe final) así como la socialización (presentación pública del informe final).</w:t>
            </w:r>
          </w:p>
          <w:p w14:paraId="16AAF636" w14:textId="07881034" w:rsidR="0057038C" w:rsidRPr="006E25E0" w:rsidRDefault="0057038C" w:rsidP="0057038C">
            <w:pPr>
              <w:spacing w:after="60" w:line="240" w:lineRule="auto"/>
              <w:jc w:val="both"/>
              <w:rPr>
                <w:rFonts w:eastAsia="Calibri"/>
                <w:sz w:val="16"/>
                <w:szCs w:val="16"/>
                <w:lang w:val="es-BO" w:eastAsia="es-BO"/>
              </w:rPr>
            </w:pPr>
            <w:r>
              <w:rPr>
                <w:rFonts w:eastAsia="Calibri"/>
                <w:sz w:val="16"/>
                <w:szCs w:val="16"/>
                <w:lang w:val="es-BO" w:eastAsia="es-BO"/>
              </w:rPr>
              <w:t xml:space="preserve">En caso se logren identificar economías, se aumentará el alcance de estos estudios para incluir el </w:t>
            </w:r>
            <w:r w:rsidRPr="00424489">
              <w:rPr>
                <w:rFonts w:eastAsia="Calibri"/>
                <w:sz w:val="16"/>
                <w:szCs w:val="16"/>
                <w:lang w:val="es-BO" w:eastAsia="es-BO"/>
              </w:rPr>
              <w:t>estudio de prevalencia y cambio de comportamiento (incluido en el PAAR).</w:t>
            </w:r>
            <w:r w:rsidR="008E25D9" w:rsidRPr="00424489">
              <w:rPr>
                <w:rFonts w:eastAsia="Calibri"/>
                <w:sz w:val="16"/>
                <w:szCs w:val="16"/>
                <w:lang w:val="es-BO" w:eastAsia="es-BO"/>
              </w:rPr>
              <w:t xml:space="preserve"> [Anexo 1.33]</w:t>
            </w:r>
            <w:r w:rsidR="008E25D9">
              <w:rPr>
                <w:rFonts w:eastAsia="Calibri"/>
                <w:sz w:val="16"/>
                <w:szCs w:val="16"/>
                <w:lang w:val="es-BO" w:eastAsia="es-BO"/>
              </w:rPr>
              <w:t xml:space="preserve"> </w:t>
            </w:r>
          </w:p>
          <w:p w14:paraId="37B42533" w14:textId="77777777" w:rsidR="0057038C" w:rsidRDefault="0057038C" w:rsidP="0057038C">
            <w:pPr>
              <w:spacing w:line="240" w:lineRule="auto"/>
              <w:jc w:val="both"/>
              <w:rPr>
                <w:rFonts w:eastAsia="Calibri"/>
                <w:sz w:val="16"/>
                <w:szCs w:val="16"/>
                <w:lang w:val="es-BO" w:eastAsia="es-BO"/>
              </w:rPr>
            </w:pPr>
            <w:r w:rsidRPr="006E25E0">
              <w:rPr>
                <w:rFonts w:eastAsia="Calibri"/>
                <w:sz w:val="16"/>
                <w:szCs w:val="16"/>
                <w:lang w:val="es-BO" w:eastAsia="es-BO"/>
              </w:rPr>
              <w:t>Se realizará estudio de conocimientos, actitudes y prácticas (CAP) en poblaciones jóvenes clave en mayor riesgo de contraer VIH</w:t>
            </w:r>
            <w:r>
              <w:rPr>
                <w:rFonts w:eastAsia="Calibri"/>
                <w:sz w:val="16"/>
                <w:szCs w:val="16"/>
                <w:lang w:val="es-BO" w:eastAsia="es-BO"/>
              </w:rPr>
              <w:t xml:space="preserve"> (incluido en el PAAR).</w:t>
            </w:r>
          </w:p>
          <w:p w14:paraId="1503D61E" w14:textId="77777777" w:rsidR="0057038C" w:rsidRPr="001E0232" w:rsidRDefault="0057038C" w:rsidP="0057038C">
            <w:pPr>
              <w:pStyle w:val="ListParagraph"/>
              <w:spacing w:line="240" w:lineRule="auto"/>
              <w:ind w:left="0"/>
              <w:jc w:val="both"/>
              <w:rPr>
                <w:rFonts w:eastAsia="Calibri"/>
                <w:sz w:val="16"/>
                <w:szCs w:val="16"/>
                <w:lang w:val="es-BO" w:eastAsia="es-BO"/>
              </w:rPr>
            </w:pPr>
            <w:r>
              <w:rPr>
                <w:rFonts w:eastAsia="Calibri"/>
                <w:sz w:val="16"/>
                <w:szCs w:val="16"/>
                <w:lang w:val="es-BO" w:eastAsia="es-BO"/>
              </w:rPr>
              <w:t xml:space="preserve">2. </w:t>
            </w:r>
            <w:r w:rsidRPr="001E0232">
              <w:rPr>
                <w:rFonts w:eastAsia="Calibri"/>
                <w:sz w:val="16"/>
                <w:szCs w:val="16"/>
                <w:lang w:val="es-BO" w:eastAsia="es-BO"/>
              </w:rPr>
              <w:t xml:space="preserve">Fortalecimiento/actualización de SIGPRO. La realización de esta intervención incluye reuniones de coordinación, conversatorios con poblaciones clave para redefinir estrategias de abordaje, contratación de consultoría para la readecuación del sistema SIGPRO, adquisición de software y hardware que contribuyan a la calidad de los datos que se recolectan producto de las actividades de prevención y testeo. Adicionalmente incluye contratación de recursos humanos para desarrollar las actividades relativas al monitoreo y evaluación de la efectividad </w:t>
            </w:r>
            <w:r>
              <w:rPr>
                <w:rFonts w:eastAsia="Calibri"/>
                <w:sz w:val="16"/>
                <w:szCs w:val="16"/>
                <w:lang w:val="es-BO" w:eastAsia="es-BO"/>
              </w:rPr>
              <w:t xml:space="preserve">y la calidad de datos </w:t>
            </w:r>
            <w:r w:rsidRPr="001E0232">
              <w:rPr>
                <w:rFonts w:eastAsia="Calibri"/>
                <w:sz w:val="16"/>
                <w:szCs w:val="16"/>
                <w:lang w:val="es-BO" w:eastAsia="es-BO"/>
              </w:rPr>
              <w:t>del programa.</w:t>
            </w:r>
          </w:p>
          <w:p w14:paraId="4F3A0667" w14:textId="77777777" w:rsidR="0057038C" w:rsidRPr="006E25E0" w:rsidRDefault="0057038C" w:rsidP="0057038C">
            <w:pPr>
              <w:spacing w:after="60" w:line="240" w:lineRule="auto"/>
              <w:jc w:val="both"/>
              <w:rPr>
                <w:rFonts w:eastAsia="Calibri"/>
                <w:b/>
                <w:bCs/>
                <w:sz w:val="16"/>
                <w:szCs w:val="16"/>
                <w:lang w:val="es-BO" w:eastAsia="es-BO"/>
              </w:rPr>
            </w:pPr>
            <w:r w:rsidRPr="006E25E0">
              <w:rPr>
                <w:rFonts w:eastAsia="Calibri"/>
                <w:b/>
                <w:bCs/>
                <w:sz w:val="16"/>
                <w:szCs w:val="16"/>
                <w:lang w:val="es-BO" w:eastAsia="es-BO"/>
              </w:rPr>
              <w:t>Cambios propuestos:</w:t>
            </w:r>
          </w:p>
          <w:p w14:paraId="00147E87" w14:textId="77777777" w:rsidR="0057038C" w:rsidRPr="006E25E0" w:rsidRDefault="0057038C" w:rsidP="0057038C">
            <w:pPr>
              <w:spacing w:line="240" w:lineRule="auto"/>
              <w:jc w:val="both"/>
              <w:rPr>
                <w:rFonts w:eastAsia="Calibri"/>
                <w:sz w:val="16"/>
                <w:szCs w:val="16"/>
                <w:lang w:val="es-BO" w:eastAsia="es-BO"/>
              </w:rPr>
            </w:pPr>
            <w:r w:rsidRPr="006E25E0">
              <w:rPr>
                <w:rFonts w:eastAsia="Calibri"/>
                <w:sz w:val="16"/>
                <w:szCs w:val="16"/>
                <w:lang w:val="es-BO" w:eastAsia="es-BO"/>
              </w:rPr>
              <w:t>Contar con actualización de las tallas, prevalencias y otros aspectos que permitan caracterizar mejor a las poblaciones clave contribuirá a redefinir las metas tanto del PENM como de marco de desempeño de esta subvención.</w:t>
            </w:r>
          </w:p>
        </w:tc>
        <w:tc>
          <w:tcPr>
            <w:tcW w:w="2872" w:type="dxa"/>
            <w:shd w:val="clear" w:color="auto" w:fill="auto"/>
          </w:tcPr>
          <w:p w14:paraId="2D46C41B" w14:textId="77777777" w:rsidR="0057038C" w:rsidRPr="006E25E0" w:rsidRDefault="0057038C" w:rsidP="0057038C">
            <w:pPr>
              <w:spacing w:after="60" w:line="240" w:lineRule="auto"/>
              <w:jc w:val="both"/>
              <w:rPr>
                <w:rFonts w:eastAsia="Calibri"/>
                <w:sz w:val="16"/>
                <w:szCs w:val="16"/>
                <w:lang w:val="es-BO" w:eastAsia="es-SV"/>
              </w:rPr>
            </w:pPr>
            <w:r w:rsidRPr="006E25E0">
              <w:rPr>
                <w:rFonts w:eastAsia="Calibri"/>
                <w:sz w:val="16"/>
                <w:szCs w:val="16"/>
                <w:lang w:val="es-BO" w:eastAsia="es-BO"/>
              </w:rPr>
              <w:t xml:space="preserve">No se tiene indicador para estas intervenciones en el marco de desempeño, pero el objetivo es:  </w:t>
            </w:r>
            <w:r w:rsidRPr="006E25E0">
              <w:rPr>
                <w:rFonts w:eastAsia="Calibri"/>
                <w:sz w:val="16"/>
                <w:szCs w:val="16"/>
                <w:lang w:val="es-BO" w:eastAsia="es-SV"/>
              </w:rPr>
              <w:t>Mejorar la calidad de la información</w:t>
            </w:r>
            <w:r>
              <w:rPr>
                <w:rFonts w:eastAsia="Calibri"/>
                <w:sz w:val="16"/>
                <w:szCs w:val="16"/>
                <w:lang w:val="es-BO" w:eastAsia="es-SV"/>
              </w:rPr>
              <w:t xml:space="preserve"> y</w:t>
            </w:r>
            <w:r w:rsidRPr="006E25E0">
              <w:rPr>
                <w:rFonts w:eastAsia="Calibri"/>
                <w:sz w:val="16"/>
                <w:szCs w:val="16"/>
                <w:lang w:val="es-BO" w:eastAsia="es-SV"/>
              </w:rPr>
              <w:t xml:space="preserve"> </w:t>
            </w:r>
          </w:p>
          <w:p w14:paraId="0EDE0918" w14:textId="77777777" w:rsidR="0057038C" w:rsidRPr="006E25E0" w:rsidRDefault="0057038C" w:rsidP="0057038C">
            <w:pPr>
              <w:spacing w:after="60" w:line="240" w:lineRule="auto"/>
              <w:jc w:val="both"/>
              <w:rPr>
                <w:rFonts w:eastAsia="Calibri"/>
                <w:sz w:val="16"/>
                <w:szCs w:val="16"/>
                <w:lang w:val="es-NI"/>
              </w:rPr>
            </w:pPr>
            <w:r w:rsidRPr="006E25E0">
              <w:rPr>
                <w:rFonts w:eastAsia="Calibri"/>
                <w:sz w:val="16"/>
                <w:szCs w:val="16"/>
                <w:lang w:val="es-BO" w:eastAsia="es-SV"/>
              </w:rPr>
              <w:t xml:space="preserve">Mejorar la calidad del dato registrado. </w:t>
            </w:r>
          </w:p>
        </w:tc>
        <w:tc>
          <w:tcPr>
            <w:tcW w:w="2156" w:type="dxa"/>
          </w:tcPr>
          <w:p w14:paraId="770F9131" w14:textId="77777777" w:rsidR="0057038C" w:rsidRPr="006E25E0" w:rsidRDefault="0057038C" w:rsidP="0057038C">
            <w:pPr>
              <w:spacing w:after="60" w:line="240" w:lineRule="auto"/>
              <w:jc w:val="both"/>
              <w:rPr>
                <w:rFonts w:eastAsia="Calibri"/>
                <w:sz w:val="16"/>
                <w:szCs w:val="16"/>
                <w:lang w:val="es-BO" w:eastAsia="es-BO"/>
              </w:rPr>
            </w:pPr>
            <w:r>
              <w:rPr>
                <w:rFonts w:eastAsia="Calibri"/>
                <w:sz w:val="16"/>
                <w:szCs w:val="16"/>
                <w:lang w:val="es-BO" w:eastAsia="es-BO"/>
              </w:rPr>
              <w:t xml:space="preserve">1. </w:t>
            </w:r>
            <w:r w:rsidRPr="006E25E0">
              <w:rPr>
                <w:rFonts w:eastAsia="Calibri"/>
                <w:sz w:val="16"/>
                <w:szCs w:val="16"/>
                <w:lang w:val="es-BO" w:eastAsia="es-BO"/>
              </w:rPr>
              <w:t>Análisis, evaluaciones…</w:t>
            </w:r>
          </w:p>
          <w:p w14:paraId="2B41FCD6" w14:textId="77777777" w:rsidR="0057038C" w:rsidRPr="006E25E0" w:rsidRDefault="0057038C" w:rsidP="0057038C">
            <w:pPr>
              <w:spacing w:after="60" w:line="240" w:lineRule="auto"/>
              <w:jc w:val="right"/>
              <w:rPr>
                <w:rFonts w:eastAsia="Calibri"/>
                <w:b/>
                <w:bCs/>
                <w:sz w:val="16"/>
                <w:szCs w:val="16"/>
                <w:lang w:val="es-BO" w:eastAsia="es-BO"/>
              </w:rPr>
            </w:pPr>
            <w:r w:rsidRPr="006E25E0">
              <w:rPr>
                <w:rFonts w:eastAsia="Calibri"/>
                <w:b/>
                <w:bCs/>
                <w:sz w:val="16"/>
                <w:szCs w:val="16"/>
                <w:lang w:val="es-BO" w:eastAsia="es-BO"/>
              </w:rPr>
              <w:t>$</w:t>
            </w:r>
            <w:r>
              <w:rPr>
                <w:rFonts w:eastAsia="Calibri"/>
                <w:b/>
                <w:bCs/>
                <w:sz w:val="16"/>
                <w:szCs w:val="16"/>
                <w:lang w:val="es-BO" w:eastAsia="es-BO"/>
              </w:rPr>
              <w:t>169</w:t>
            </w:r>
            <w:r w:rsidRPr="006E25E0">
              <w:rPr>
                <w:rFonts w:eastAsia="Calibri"/>
                <w:b/>
                <w:bCs/>
                <w:sz w:val="16"/>
                <w:szCs w:val="16"/>
                <w:lang w:val="es-BO" w:eastAsia="es-BO"/>
              </w:rPr>
              <w:t>,</w:t>
            </w:r>
            <w:r>
              <w:rPr>
                <w:rFonts w:eastAsia="Calibri"/>
                <w:b/>
                <w:bCs/>
                <w:sz w:val="16"/>
                <w:szCs w:val="16"/>
                <w:lang w:val="es-BO" w:eastAsia="es-BO"/>
              </w:rPr>
              <w:t>050</w:t>
            </w:r>
          </w:p>
          <w:p w14:paraId="1D8D7749" w14:textId="77777777" w:rsidR="0057038C" w:rsidRPr="006E25E0" w:rsidRDefault="0057038C" w:rsidP="0057038C">
            <w:pPr>
              <w:spacing w:after="60" w:line="240" w:lineRule="auto"/>
              <w:jc w:val="both"/>
              <w:rPr>
                <w:rFonts w:eastAsia="Calibri"/>
                <w:b/>
                <w:bCs/>
                <w:sz w:val="16"/>
                <w:szCs w:val="16"/>
                <w:lang w:val="es-BO" w:eastAsia="es-BO"/>
              </w:rPr>
            </w:pPr>
          </w:p>
          <w:p w14:paraId="5725E151" w14:textId="77777777" w:rsidR="0057038C" w:rsidRPr="006E25E0" w:rsidRDefault="0057038C" w:rsidP="0057038C">
            <w:pPr>
              <w:spacing w:after="60" w:line="240" w:lineRule="auto"/>
              <w:jc w:val="both"/>
              <w:rPr>
                <w:rFonts w:eastAsia="Calibri"/>
                <w:sz w:val="16"/>
                <w:szCs w:val="16"/>
                <w:lang w:val="es-BO" w:eastAsia="es-BO"/>
              </w:rPr>
            </w:pPr>
            <w:r>
              <w:rPr>
                <w:rFonts w:eastAsia="Calibri"/>
                <w:sz w:val="16"/>
                <w:szCs w:val="16"/>
                <w:lang w:val="es-BO" w:eastAsia="es-BO"/>
              </w:rPr>
              <w:t xml:space="preserve">2. </w:t>
            </w:r>
            <w:r w:rsidRPr="006E25E0">
              <w:rPr>
                <w:rFonts w:eastAsia="Calibri"/>
                <w:sz w:val="16"/>
                <w:szCs w:val="16"/>
                <w:lang w:val="es-BO" w:eastAsia="es-BO"/>
              </w:rPr>
              <w:t>Calidad del programa y los datos</w:t>
            </w:r>
          </w:p>
          <w:p w14:paraId="6341CA4C" w14:textId="77777777" w:rsidR="0057038C" w:rsidRPr="006E25E0" w:rsidRDefault="0057038C" w:rsidP="0057038C">
            <w:pPr>
              <w:spacing w:after="60" w:line="240" w:lineRule="auto"/>
              <w:jc w:val="right"/>
              <w:rPr>
                <w:rFonts w:eastAsia="Calibri"/>
                <w:b/>
                <w:bCs/>
                <w:sz w:val="16"/>
                <w:szCs w:val="16"/>
                <w:lang w:val="es-BO" w:eastAsia="es-BO"/>
              </w:rPr>
            </w:pPr>
            <w:r w:rsidRPr="006E25E0">
              <w:rPr>
                <w:rFonts w:eastAsia="Calibri"/>
                <w:b/>
                <w:bCs/>
                <w:sz w:val="16"/>
                <w:szCs w:val="16"/>
                <w:lang w:val="es-BO" w:eastAsia="es-BO"/>
              </w:rPr>
              <w:t>$5</w:t>
            </w:r>
            <w:r>
              <w:rPr>
                <w:rFonts w:eastAsia="Calibri"/>
                <w:b/>
                <w:bCs/>
                <w:sz w:val="16"/>
                <w:szCs w:val="16"/>
                <w:lang w:val="es-BO" w:eastAsia="es-BO"/>
              </w:rPr>
              <w:t>3</w:t>
            </w:r>
            <w:r w:rsidRPr="006E25E0">
              <w:rPr>
                <w:rFonts w:eastAsia="Calibri"/>
                <w:b/>
                <w:bCs/>
                <w:sz w:val="16"/>
                <w:szCs w:val="16"/>
                <w:lang w:val="es-BO" w:eastAsia="es-BO"/>
              </w:rPr>
              <w:t>3,</w:t>
            </w:r>
            <w:r>
              <w:rPr>
                <w:rFonts w:eastAsia="Calibri"/>
                <w:b/>
                <w:bCs/>
                <w:sz w:val="16"/>
                <w:szCs w:val="16"/>
                <w:lang w:val="es-BO" w:eastAsia="es-BO"/>
              </w:rPr>
              <w:t>575</w:t>
            </w:r>
          </w:p>
        </w:tc>
      </w:tr>
      <w:tr w:rsidR="0057038C" w:rsidRPr="00C8511B" w14:paraId="7BD8A5F8" w14:textId="77777777" w:rsidTr="0057038C">
        <w:trPr>
          <w:cantSplit/>
          <w:trHeight w:val="1871"/>
        </w:trPr>
        <w:tc>
          <w:tcPr>
            <w:tcW w:w="715" w:type="dxa"/>
            <w:shd w:val="clear" w:color="auto" w:fill="auto"/>
            <w:textDirection w:val="btLr"/>
            <w:vAlign w:val="center"/>
          </w:tcPr>
          <w:p w14:paraId="468C84DE" w14:textId="77777777" w:rsidR="0057038C" w:rsidRPr="006E25E0" w:rsidRDefault="0057038C" w:rsidP="0057038C">
            <w:pPr>
              <w:spacing w:after="0" w:line="240" w:lineRule="auto"/>
              <w:ind w:left="113" w:right="113"/>
              <w:jc w:val="center"/>
              <w:rPr>
                <w:rFonts w:eastAsia="Times New Roman"/>
                <w:b/>
                <w:sz w:val="16"/>
                <w:szCs w:val="16"/>
                <w:lang w:val="es-NI" w:eastAsia="es-SV"/>
              </w:rPr>
            </w:pPr>
            <w:r w:rsidRPr="006E25E0">
              <w:rPr>
                <w:rFonts w:eastAsia="Times New Roman"/>
                <w:b/>
                <w:sz w:val="16"/>
                <w:szCs w:val="16"/>
                <w:lang w:val="es-NI" w:eastAsia="es-SV"/>
              </w:rPr>
              <w:t xml:space="preserve">SSRS: </w:t>
            </w:r>
            <w:r>
              <w:rPr>
                <w:rFonts w:eastAsia="Times New Roman"/>
                <w:b/>
                <w:sz w:val="16"/>
                <w:szCs w:val="16"/>
                <w:lang w:val="es-NI" w:eastAsia="es-SV"/>
              </w:rPr>
              <w:t>m</w:t>
            </w:r>
            <w:r w:rsidRPr="006E25E0">
              <w:rPr>
                <w:rFonts w:eastAsia="Times New Roman"/>
                <w:b/>
                <w:sz w:val="16"/>
                <w:szCs w:val="16"/>
                <w:lang w:val="es-NI" w:eastAsia="es-SV"/>
              </w:rPr>
              <w:t>ejora de la calidad y servicios integrados</w:t>
            </w:r>
          </w:p>
        </w:tc>
        <w:tc>
          <w:tcPr>
            <w:tcW w:w="4175" w:type="dxa"/>
            <w:shd w:val="clear" w:color="auto" w:fill="auto"/>
          </w:tcPr>
          <w:p w14:paraId="17D20A66" w14:textId="77777777" w:rsidR="0057038C" w:rsidRPr="007D3028" w:rsidRDefault="0057038C" w:rsidP="0057038C">
            <w:pPr>
              <w:spacing w:after="0" w:line="240" w:lineRule="auto"/>
              <w:rPr>
                <w:rFonts w:eastAsia="Times New Roman"/>
                <w:b/>
                <w:bCs/>
                <w:sz w:val="16"/>
                <w:szCs w:val="16"/>
                <w:lang w:val="es-NI" w:eastAsia="es-SV"/>
              </w:rPr>
            </w:pPr>
            <w:r w:rsidRPr="007D3028">
              <w:rPr>
                <w:rFonts w:eastAsia="Times New Roman"/>
                <w:b/>
                <w:bCs/>
                <w:sz w:val="16"/>
                <w:szCs w:val="16"/>
                <w:lang w:val="es-NI" w:eastAsia="es-SV"/>
              </w:rPr>
              <w:t>Infraestructura de la prestación de los servicios</w:t>
            </w:r>
          </w:p>
        </w:tc>
        <w:tc>
          <w:tcPr>
            <w:tcW w:w="6007" w:type="dxa"/>
            <w:shd w:val="clear" w:color="auto" w:fill="auto"/>
          </w:tcPr>
          <w:p w14:paraId="6FE5A50C" w14:textId="77777777" w:rsidR="0057038C" w:rsidRPr="006E25E0" w:rsidRDefault="0057038C" w:rsidP="0057038C">
            <w:pPr>
              <w:spacing w:line="240" w:lineRule="auto"/>
              <w:jc w:val="both"/>
              <w:rPr>
                <w:rFonts w:eastAsia="Calibri"/>
                <w:sz w:val="16"/>
                <w:szCs w:val="16"/>
                <w:lang w:val="es-BO" w:eastAsia="es-BO"/>
              </w:rPr>
            </w:pPr>
            <w:r w:rsidRPr="006E25E0">
              <w:rPr>
                <w:rFonts w:eastAsia="Times New Roman"/>
                <w:sz w:val="16"/>
                <w:szCs w:val="16"/>
                <w:lang w:val="es-NI" w:eastAsia="es-SV"/>
              </w:rPr>
              <w:t>Descentralización de la TAR a 10 hospitales y 6 UCSF-VICITS (readecuación de las instalaciones mobiliarias)</w:t>
            </w:r>
          </w:p>
        </w:tc>
        <w:tc>
          <w:tcPr>
            <w:tcW w:w="2872" w:type="dxa"/>
            <w:shd w:val="clear" w:color="auto" w:fill="auto"/>
          </w:tcPr>
          <w:p w14:paraId="57F9ADD3" w14:textId="77777777" w:rsidR="0057038C" w:rsidRPr="006E25E0" w:rsidRDefault="0057038C" w:rsidP="0057038C">
            <w:pPr>
              <w:spacing w:after="60" w:line="240" w:lineRule="auto"/>
              <w:jc w:val="both"/>
              <w:rPr>
                <w:rFonts w:eastAsia="Calibri"/>
                <w:sz w:val="16"/>
                <w:szCs w:val="16"/>
                <w:lang w:val="es-BO" w:eastAsia="es-BO"/>
              </w:rPr>
            </w:pPr>
            <w:r w:rsidRPr="006E25E0">
              <w:rPr>
                <w:rFonts w:eastAsia="Calibri"/>
                <w:sz w:val="16"/>
                <w:szCs w:val="16"/>
                <w:lang w:val="es-BO" w:eastAsia="es-BO"/>
              </w:rPr>
              <w:t>No lleva indicador.</w:t>
            </w:r>
          </w:p>
          <w:p w14:paraId="208E6A38" w14:textId="77777777" w:rsidR="0057038C" w:rsidRPr="006E25E0" w:rsidRDefault="0057038C" w:rsidP="0057038C">
            <w:pPr>
              <w:spacing w:after="60" w:line="240" w:lineRule="auto"/>
              <w:jc w:val="both"/>
              <w:rPr>
                <w:rFonts w:eastAsia="Calibri"/>
                <w:sz w:val="16"/>
                <w:szCs w:val="16"/>
                <w:lang w:val="es-BO" w:eastAsia="es-BO"/>
              </w:rPr>
            </w:pPr>
            <w:r w:rsidRPr="006E25E0">
              <w:rPr>
                <w:rFonts w:eastAsia="Calibri"/>
                <w:sz w:val="16"/>
                <w:szCs w:val="16"/>
                <w:lang w:val="es-BO" w:eastAsia="es-BO"/>
              </w:rPr>
              <w:t>Se busca con esto acercar los servicios a los usuarios y mejorar la adherencia.</w:t>
            </w:r>
          </w:p>
        </w:tc>
        <w:tc>
          <w:tcPr>
            <w:tcW w:w="2156" w:type="dxa"/>
          </w:tcPr>
          <w:p w14:paraId="128DB5C5" w14:textId="77777777" w:rsidR="0057038C" w:rsidRPr="007D3028" w:rsidRDefault="0057038C" w:rsidP="0057038C">
            <w:pPr>
              <w:spacing w:after="60" w:line="240" w:lineRule="auto"/>
              <w:jc w:val="both"/>
              <w:rPr>
                <w:rFonts w:eastAsia="Calibri"/>
                <w:sz w:val="16"/>
                <w:szCs w:val="16"/>
                <w:lang w:val="es-BO" w:eastAsia="es-BO"/>
              </w:rPr>
            </w:pPr>
            <w:r w:rsidRPr="007D3028">
              <w:rPr>
                <w:rFonts w:eastAsia="Calibri"/>
                <w:sz w:val="16"/>
                <w:szCs w:val="16"/>
                <w:lang w:val="es-BO" w:eastAsia="es-BO"/>
              </w:rPr>
              <w:t>Infraestructura de la prestación de los servicios</w:t>
            </w:r>
          </w:p>
          <w:p w14:paraId="4F7681E9" w14:textId="77777777" w:rsidR="0057038C" w:rsidRDefault="00AE79D5" w:rsidP="0057038C">
            <w:pPr>
              <w:spacing w:after="60" w:line="240" w:lineRule="auto"/>
              <w:jc w:val="right"/>
              <w:rPr>
                <w:rFonts w:eastAsia="Calibri"/>
                <w:b/>
                <w:bCs/>
                <w:sz w:val="16"/>
                <w:szCs w:val="16"/>
                <w:lang w:val="es-BO" w:eastAsia="es-BO"/>
              </w:rPr>
            </w:pPr>
            <w:r w:rsidRPr="00EF732D">
              <w:rPr>
                <w:rFonts w:eastAsia="Calibri"/>
                <w:b/>
                <w:bCs/>
                <w:sz w:val="16"/>
                <w:szCs w:val="16"/>
                <w:lang w:val="es-BO" w:eastAsia="es-BO"/>
              </w:rPr>
              <w:t>$222,955</w:t>
            </w:r>
          </w:p>
          <w:p w14:paraId="7F20CAA1" w14:textId="77777777" w:rsidR="00AE79D5" w:rsidRDefault="00AE79D5" w:rsidP="00AE79D5">
            <w:pPr>
              <w:spacing w:after="0" w:line="240" w:lineRule="auto"/>
              <w:rPr>
                <w:rFonts w:eastAsia="Times New Roman"/>
                <w:sz w:val="16"/>
                <w:szCs w:val="16"/>
                <w:lang w:val="es-NI" w:eastAsia="es-SV"/>
              </w:rPr>
            </w:pPr>
          </w:p>
          <w:p w14:paraId="1062A349" w14:textId="5C6739C9" w:rsidR="00AE79D5" w:rsidRPr="00AE79D5" w:rsidRDefault="00AE79D5" w:rsidP="00AE79D5">
            <w:pPr>
              <w:spacing w:after="0" w:line="240" w:lineRule="auto"/>
              <w:rPr>
                <w:rFonts w:eastAsia="Times New Roman"/>
                <w:sz w:val="16"/>
                <w:szCs w:val="16"/>
                <w:lang w:val="es-NI" w:eastAsia="es-SV"/>
              </w:rPr>
            </w:pPr>
            <w:r w:rsidRPr="00AE79D5">
              <w:rPr>
                <w:rFonts w:eastAsia="Times New Roman"/>
                <w:sz w:val="16"/>
                <w:szCs w:val="16"/>
                <w:lang w:val="es-NI" w:eastAsia="es-SV"/>
              </w:rPr>
              <w:t>Organización de los servicios y gestión de los establecimientos de salud</w:t>
            </w:r>
          </w:p>
          <w:p w14:paraId="61830EB8" w14:textId="331EE09E" w:rsidR="00AE79D5" w:rsidRPr="006E25E0" w:rsidRDefault="00AE79D5" w:rsidP="00AE79D5">
            <w:pPr>
              <w:spacing w:after="60" w:line="240" w:lineRule="auto"/>
              <w:jc w:val="right"/>
              <w:rPr>
                <w:rFonts w:eastAsia="Calibri"/>
                <w:b/>
                <w:bCs/>
                <w:sz w:val="16"/>
                <w:szCs w:val="16"/>
                <w:lang w:val="es-BO" w:eastAsia="es-BO"/>
              </w:rPr>
            </w:pPr>
            <w:r w:rsidRPr="00EF732D">
              <w:rPr>
                <w:rFonts w:eastAsia="Calibri"/>
                <w:b/>
                <w:bCs/>
                <w:sz w:val="16"/>
                <w:szCs w:val="16"/>
                <w:lang w:val="es-BO" w:eastAsia="es-BO"/>
              </w:rPr>
              <w:t>$270,300</w:t>
            </w:r>
          </w:p>
        </w:tc>
      </w:tr>
      <w:tr w:rsidR="0057038C" w:rsidRPr="00C8511B" w14:paraId="2C5B9205" w14:textId="77777777" w:rsidTr="0057038C">
        <w:trPr>
          <w:cantSplit/>
          <w:trHeight w:val="1134"/>
        </w:trPr>
        <w:tc>
          <w:tcPr>
            <w:tcW w:w="715" w:type="dxa"/>
            <w:shd w:val="clear" w:color="auto" w:fill="auto"/>
            <w:textDirection w:val="btLr"/>
            <w:vAlign w:val="center"/>
          </w:tcPr>
          <w:p w14:paraId="41642855" w14:textId="77777777" w:rsidR="0057038C" w:rsidRPr="006E25E0" w:rsidRDefault="0057038C" w:rsidP="0057038C">
            <w:pPr>
              <w:spacing w:after="0" w:line="240" w:lineRule="auto"/>
              <w:ind w:left="113" w:right="113"/>
              <w:jc w:val="center"/>
              <w:rPr>
                <w:rFonts w:eastAsia="Times New Roman"/>
                <w:b/>
                <w:sz w:val="16"/>
                <w:szCs w:val="16"/>
                <w:lang w:val="es-NI" w:eastAsia="es-SV"/>
              </w:rPr>
            </w:pPr>
            <w:r w:rsidRPr="006E25E0">
              <w:rPr>
                <w:rFonts w:eastAsia="Times New Roman"/>
                <w:b/>
                <w:sz w:val="16"/>
                <w:szCs w:val="16"/>
                <w:lang w:val="es-NI" w:eastAsia="es-SV"/>
              </w:rPr>
              <w:t>Gestión de programas</w:t>
            </w:r>
          </w:p>
        </w:tc>
        <w:tc>
          <w:tcPr>
            <w:tcW w:w="4175" w:type="dxa"/>
            <w:shd w:val="clear" w:color="auto" w:fill="auto"/>
          </w:tcPr>
          <w:p w14:paraId="3A6C2DDB" w14:textId="77777777" w:rsidR="0057038C" w:rsidRPr="007D3028" w:rsidRDefault="0057038C" w:rsidP="00617951">
            <w:pPr>
              <w:pStyle w:val="ListParagraph"/>
              <w:numPr>
                <w:ilvl w:val="0"/>
                <w:numId w:val="46"/>
              </w:numPr>
              <w:spacing w:after="0" w:line="240" w:lineRule="auto"/>
              <w:rPr>
                <w:rFonts w:eastAsia="Times New Roman"/>
                <w:b/>
                <w:bCs/>
                <w:sz w:val="16"/>
                <w:szCs w:val="16"/>
                <w:lang w:val="es-NI" w:eastAsia="es-SV"/>
              </w:rPr>
            </w:pPr>
            <w:r w:rsidRPr="007D3028">
              <w:rPr>
                <w:rFonts w:eastAsia="Times New Roman"/>
                <w:b/>
                <w:bCs/>
                <w:sz w:val="16"/>
                <w:szCs w:val="16"/>
                <w:lang w:val="es-NI" w:eastAsia="es-SV"/>
              </w:rPr>
              <w:t>Coordinación y gestión de los programas nacionales de control de enfermedades.</w:t>
            </w:r>
          </w:p>
          <w:p w14:paraId="6327F064" w14:textId="77777777" w:rsidR="0057038C" w:rsidRPr="007D3028" w:rsidRDefault="0057038C" w:rsidP="0057038C">
            <w:pPr>
              <w:spacing w:after="0" w:line="240" w:lineRule="auto"/>
              <w:rPr>
                <w:rFonts w:eastAsia="Times New Roman"/>
                <w:b/>
                <w:bCs/>
                <w:sz w:val="16"/>
                <w:szCs w:val="16"/>
                <w:lang w:val="es-NI" w:eastAsia="es-SV"/>
              </w:rPr>
            </w:pPr>
          </w:p>
          <w:p w14:paraId="0E3E1143" w14:textId="77777777" w:rsidR="0057038C" w:rsidRPr="007D3028" w:rsidRDefault="0057038C" w:rsidP="00617951">
            <w:pPr>
              <w:pStyle w:val="ListParagraph"/>
              <w:numPr>
                <w:ilvl w:val="0"/>
                <w:numId w:val="46"/>
              </w:numPr>
              <w:spacing w:after="0" w:line="240" w:lineRule="auto"/>
              <w:rPr>
                <w:rFonts w:eastAsia="Times New Roman"/>
                <w:b/>
                <w:bCs/>
                <w:sz w:val="16"/>
                <w:szCs w:val="16"/>
                <w:lang w:val="es-NI" w:eastAsia="es-SV"/>
              </w:rPr>
            </w:pPr>
            <w:r w:rsidRPr="007D3028">
              <w:rPr>
                <w:rFonts w:eastAsia="Times New Roman"/>
                <w:b/>
                <w:bCs/>
                <w:sz w:val="16"/>
                <w:szCs w:val="16"/>
                <w:lang w:val="es-NI" w:eastAsia="es-SV"/>
              </w:rPr>
              <w:t>Gestión de subvenciones</w:t>
            </w:r>
          </w:p>
        </w:tc>
        <w:tc>
          <w:tcPr>
            <w:tcW w:w="6007" w:type="dxa"/>
            <w:shd w:val="clear" w:color="auto" w:fill="auto"/>
          </w:tcPr>
          <w:p w14:paraId="7E28DE26" w14:textId="77777777" w:rsidR="0057038C" w:rsidRPr="006E25E0" w:rsidRDefault="0057038C" w:rsidP="0057038C">
            <w:pPr>
              <w:spacing w:after="60" w:line="240" w:lineRule="auto"/>
              <w:jc w:val="both"/>
              <w:rPr>
                <w:rFonts w:eastAsia="Times New Roman"/>
                <w:sz w:val="16"/>
                <w:szCs w:val="16"/>
                <w:lang w:val="es-NI" w:eastAsia="es-SV"/>
              </w:rPr>
            </w:pPr>
            <w:r w:rsidRPr="006E25E0">
              <w:rPr>
                <w:rFonts w:eastAsia="Times New Roman"/>
                <w:sz w:val="16"/>
                <w:szCs w:val="16"/>
                <w:lang w:val="es-NI" w:eastAsia="es-SV"/>
              </w:rPr>
              <w:t>Gastos administrativos utilizados para la ejecución y seguimiento de la subvención en MINSAL.</w:t>
            </w:r>
          </w:p>
          <w:p w14:paraId="00DF5B75" w14:textId="77777777" w:rsidR="0057038C" w:rsidRPr="006E25E0" w:rsidRDefault="0057038C" w:rsidP="0057038C">
            <w:pPr>
              <w:spacing w:line="240" w:lineRule="auto"/>
              <w:jc w:val="both"/>
              <w:rPr>
                <w:rFonts w:eastAsia="Times New Roman"/>
                <w:sz w:val="16"/>
                <w:szCs w:val="16"/>
                <w:lang w:val="es-NI" w:eastAsia="es-SV"/>
              </w:rPr>
            </w:pPr>
            <w:r w:rsidRPr="006E25E0">
              <w:rPr>
                <w:rFonts w:eastAsia="Times New Roman"/>
                <w:sz w:val="16"/>
                <w:szCs w:val="16"/>
                <w:lang w:val="es-NI" w:eastAsia="es-SV"/>
              </w:rPr>
              <w:t>Gastos administrativos utilizados para la ejecución y seguimiento de la subvención en Plan International.</w:t>
            </w:r>
          </w:p>
        </w:tc>
        <w:tc>
          <w:tcPr>
            <w:tcW w:w="2872" w:type="dxa"/>
            <w:shd w:val="clear" w:color="auto" w:fill="auto"/>
          </w:tcPr>
          <w:p w14:paraId="13C45087" w14:textId="77777777" w:rsidR="0057038C" w:rsidRPr="006E25E0" w:rsidRDefault="0057038C" w:rsidP="0057038C">
            <w:pPr>
              <w:spacing w:after="60" w:line="240" w:lineRule="auto"/>
              <w:jc w:val="both"/>
              <w:rPr>
                <w:rFonts w:eastAsia="Calibri"/>
                <w:sz w:val="16"/>
                <w:szCs w:val="16"/>
                <w:lang w:val="es-BO" w:eastAsia="es-BO"/>
              </w:rPr>
            </w:pPr>
            <w:r w:rsidRPr="006E25E0">
              <w:rPr>
                <w:rFonts w:eastAsia="Calibri"/>
                <w:sz w:val="16"/>
                <w:szCs w:val="16"/>
                <w:lang w:val="es-BO" w:eastAsia="es-BO"/>
              </w:rPr>
              <w:t>No lleva indicador.</w:t>
            </w:r>
          </w:p>
        </w:tc>
        <w:tc>
          <w:tcPr>
            <w:tcW w:w="2156" w:type="dxa"/>
          </w:tcPr>
          <w:p w14:paraId="6D520749" w14:textId="2745A4C9" w:rsidR="0057038C" w:rsidRPr="006E25E0" w:rsidRDefault="00AE79D5" w:rsidP="0057038C">
            <w:pPr>
              <w:spacing w:after="60" w:line="240" w:lineRule="auto"/>
              <w:jc w:val="both"/>
              <w:rPr>
                <w:rFonts w:eastAsia="Calibri"/>
                <w:b/>
                <w:bCs/>
                <w:sz w:val="16"/>
                <w:szCs w:val="16"/>
                <w:lang w:val="es-BO" w:eastAsia="es-BO"/>
              </w:rPr>
            </w:pPr>
            <w:r w:rsidRPr="00EF732D">
              <w:rPr>
                <w:rFonts w:eastAsia="Calibri"/>
                <w:b/>
                <w:bCs/>
                <w:sz w:val="16"/>
                <w:szCs w:val="16"/>
                <w:lang w:val="es-BO" w:eastAsia="es-BO"/>
              </w:rPr>
              <w:t>1. $613,544</w:t>
            </w:r>
          </w:p>
          <w:p w14:paraId="7EEE625B" w14:textId="77777777" w:rsidR="0057038C" w:rsidRDefault="0057038C" w:rsidP="0057038C">
            <w:pPr>
              <w:spacing w:after="60" w:line="240" w:lineRule="auto"/>
              <w:jc w:val="both"/>
              <w:rPr>
                <w:rFonts w:eastAsia="Calibri"/>
                <w:b/>
                <w:bCs/>
                <w:sz w:val="16"/>
                <w:szCs w:val="16"/>
                <w:lang w:val="es-BO" w:eastAsia="es-BO"/>
              </w:rPr>
            </w:pPr>
          </w:p>
          <w:p w14:paraId="1A4035C5" w14:textId="5EFE8FCE" w:rsidR="0057038C" w:rsidRPr="006E25E0" w:rsidRDefault="00AE79D5" w:rsidP="0057038C">
            <w:pPr>
              <w:spacing w:after="60" w:line="240" w:lineRule="auto"/>
              <w:jc w:val="both"/>
              <w:rPr>
                <w:rFonts w:eastAsia="Calibri"/>
                <w:b/>
                <w:bCs/>
                <w:sz w:val="16"/>
                <w:szCs w:val="16"/>
                <w:lang w:val="es-BO" w:eastAsia="es-BO"/>
              </w:rPr>
            </w:pPr>
            <w:r w:rsidRPr="00EF732D">
              <w:rPr>
                <w:rFonts w:eastAsia="Calibri"/>
                <w:b/>
                <w:bCs/>
                <w:sz w:val="16"/>
                <w:szCs w:val="16"/>
                <w:lang w:val="es-BO" w:eastAsia="es-BO"/>
              </w:rPr>
              <w:t>2. $2,101,259</w:t>
            </w:r>
          </w:p>
        </w:tc>
      </w:tr>
    </w:tbl>
    <w:bookmarkEnd w:id="2"/>
    <w:bookmarkEnd w:id="4"/>
    <w:p w14:paraId="61CC3A6D" w14:textId="1AF9E3A3" w:rsidR="0057038C" w:rsidRPr="00E93A12" w:rsidRDefault="0057038C" w:rsidP="0057038C">
      <w:pPr>
        <w:spacing w:after="0"/>
        <w:ind w:left="90"/>
        <w:jc w:val="both"/>
        <w:rPr>
          <w:rFonts w:cs="Arial"/>
        </w:rPr>
        <w:sectPr w:rsidR="0057038C" w:rsidRPr="00E93A12" w:rsidSect="0057038C">
          <w:pgSz w:w="16838" w:h="11906" w:orient="landscape" w:code="9"/>
          <w:pgMar w:top="720" w:right="720" w:bottom="720" w:left="720" w:header="720" w:footer="289" w:gutter="0"/>
          <w:cols w:space="720"/>
          <w:titlePg/>
          <w:docGrid w:linePitch="360"/>
        </w:sectPr>
      </w:pPr>
      <w:r w:rsidRPr="00E93A12">
        <w:rPr>
          <w:lang w:val="es-NI"/>
        </w:rPr>
        <w:t xml:space="preserve">En el anexo </w:t>
      </w:r>
      <w:r w:rsidR="003F1951" w:rsidRPr="00E93A12">
        <w:rPr>
          <w:lang w:val="es-NI"/>
        </w:rPr>
        <w:t xml:space="preserve">1.23 </w:t>
      </w:r>
      <w:r w:rsidRPr="00E93A12">
        <w:rPr>
          <w:lang w:val="es-NI"/>
        </w:rPr>
        <w:t>‘De</w:t>
      </w:r>
      <w:r w:rsidR="003F1951" w:rsidRPr="00E93A12">
        <w:rPr>
          <w:lang w:val="es-NI"/>
        </w:rPr>
        <w:t xml:space="preserve">scripción </w:t>
      </w:r>
      <w:r w:rsidRPr="00E93A12">
        <w:rPr>
          <w:lang w:val="es-NI"/>
        </w:rPr>
        <w:t>de las intervenciones</w:t>
      </w:r>
      <w:r w:rsidR="003F1951" w:rsidRPr="00E93A12">
        <w:rPr>
          <w:lang w:val="es-NI"/>
        </w:rPr>
        <w:t xml:space="preserve"> en la propuesta</w:t>
      </w:r>
      <w:r w:rsidRPr="00E93A12">
        <w:rPr>
          <w:lang w:val="es-NI"/>
        </w:rPr>
        <w:t xml:space="preserve">’ se brinda información adicional a la contenida en la tabla </w:t>
      </w:r>
      <w:r w:rsidRPr="00424489">
        <w:rPr>
          <w:lang w:val="es-NI"/>
        </w:rPr>
        <w:t>anterio</w:t>
      </w:r>
      <w:r w:rsidR="003F1951" w:rsidRPr="00424489">
        <w:rPr>
          <w:lang w:val="es-NI"/>
        </w:rPr>
        <w:t>r</w:t>
      </w:r>
      <w:r w:rsidR="008D25C3" w:rsidRPr="00424489">
        <w:rPr>
          <w:lang w:val="es-NI"/>
        </w:rPr>
        <w:t xml:space="preserve"> [Anexo 1.30]</w:t>
      </w:r>
    </w:p>
    <w:p w14:paraId="6B219CAE" w14:textId="18171F8D" w:rsidR="005A1EDA" w:rsidRPr="00841157" w:rsidRDefault="005A1EDA" w:rsidP="00DC496B">
      <w:pPr>
        <w:pStyle w:val="ListParagraph"/>
        <w:numPr>
          <w:ilvl w:val="0"/>
          <w:numId w:val="23"/>
        </w:numPr>
        <w:spacing w:line="240" w:lineRule="auto"/>
        <w:ind w:left="272" w:hanging="272"/>
        <w:contextualSpacing w:val="0"/>
        <w:jc w:val="both"/>
        <w:rPr>
          <w:rFonts w:asciiTheme="majorHAnsi" w:hAnsiTheme="majorHAnsi" w:cstheme="majorHAnsi"/>
          <w:bCs/>
          <w:iCs/>
        </w:rPr>
      </w:pPr>
      <w:r w:rsidRPr="008C21CF">
        <w:rPr>
          <w:rFonts w:asciiTheme="majorHAnsi" w:hAnsiTheme="majorHAnsi" w:cstheme="majorHAnsi"/>
          <w:lang w:bidi="es-ES"/>
        </w:rPr>
        <w:lastRenderedPageBreak/>
        <w:t xml:space="preserve">¿Hay algún aspecto de esta solicitud de financiamiento que recurra a la modalidad de </w:t>
      </w:r>
      <w:r w:rsidR="00323FC5">
        <w:rPr>
          <w:rFonts w:asciiTheme="majorHAnsi" w:hAnsiTheme="majorHAnsi" w:cstheme="majorHAnsi"/>
          <w:b/>
          <w:lang w:bidi="es-ES"/>
        </w:rPr>
        <w:t>financiamiento</w:t>
      </w:r>
      <w:r w:rsidR="00323FC5" w:rsidRPr="008C21CF">
        <w:rPr>
          <w:rFonts w:asciiTheme="majorHAnsi" w:hAnsiTheme="majorHAnsi" w:cstheme="majorHAnsi"/>
          <w:b/>
          <w:lang w:bidi="es-ES"/>
        </w:rPr>
        <w:t xml:space="preserve"> </w:t>
      </w:r>
      <w:r w:rsidRPr="008C21CF">
        <w:rPr>
          <w:rFonts w:asciiTheme="majorHAnsi" w:hAnsiTheme="majorHAnsi" w:cstheme="majorHAnsi"/>
          <w:b/>
          <w:lang w:bidi="es-ES"/>
        </w:rPr>
        <w:t>por resultados</w:t>
      </w:r>
      <w:r w:rsidRPr="008C21CF">
        <w:rPr>
          <w:rFonts w:asciiTheme="majorHAnsi" w:hAnsiTheme="majorHAnsi" w:cstheme="majorHAnsi"/>
          <w:lang w:bidi="es-ES"/>
        </w:rPr>
        <w:t xml:space="preserve">? </w:t>
      </w:r>
    </w:p>
    <w:p w14:paraId="0384A4D1" w14:textId="16E8D8B1" w:rsidR="005A1EDA" w:rsidRPr="00841157" w:rsidRDefault="00381E40" w:rsidP="0098143C">
      <w:pPr>
        <w:pStyle w:val="ListParagraph"/>
        <w:spacing w:after="0" w:line="240" w:lineRule="auto"/>
        <w:ind w:left="90" w:firstLine="540"/>
        <w:jc w:val="both"/>
        <w:rPr>
          <w:rFonts w:asciiTheme="majorHAnsi" w:hAnsiTheme="majorHAnsi" w:cstheme="majorHAnsi"/>
          <w:bCs/>
          <w:iCs/>
        </w:rPr>
      </w:pPr>
      <w:sdt>
        <w:sdtPr>
          <w:rPr>
            <w:rFonts w:asciiTheme="majorHAnsi" w:eastAsia="MS Gothic" w:hAnsiTheme="majorHAnsi" w:cstheme="majorHAnsi"/>
            <w:bCs/>
            <w:iCs/>
          </w:rPr>
          <w:id w:val="1477947221"/>
          <w14:checkbox>
            <w14:checked w14:val="0"/>
            <w14:checkedState w14:val="2612" w14:font="MS Gothic"/>
            <w14:uncheckedState w14:val="2610" w14:font="MS Gothic"/>
          </w14:checkbox>
        </w:sdtPr>
        <w:sdtContent>
          <w:r w:rsidR="0098143C">
            <w:rPr>
              <w:rFonts w:ascii="MS Gothic" w:eastAsia="MS Gothic" w:hAnsi="MS Gothic" w:cstheme="majorHAnsi" w:hint="eastAsia"/>
              <w:lang w:bidi="es-ES"/>
            </w:rPr>
            <w:t>☐</w:t>
          </w:r>
        </w:sdtContent>
      </w:sdt>
      <w:r w:rsidR="005A1EDA" w:rsidRPr="008C21CF">
        <w:rPr>
          <w:rFonts w:asciiTheme="majorHAnsi" w:hAnsiTheme="majorHAnsi" w:cstheme="majorHAnsi"/>
          <w:lang w:bidi="es-ES"/>
        </w:rPr>
        <w:t xml:space="preserve"> Sí         </w:t>
      </w:r>
      <w:sdt>
        <w:sdtPr>
          <w:rPr>
            <w:rFonts w:asciiTheme="majorHAnsi" w:hAnsiTheme="majorHAnsi" w:cstheme="majorHAnsi"/>
            <w:bCs/>
            <w:iCs/>
            <w:lang w:val="es-NI"/>
          </w:rPr>
          <w:id w:val="-1054162004"/>
          <w14:checkbox>
            <w14:checked w14:val="1"/>
            <w14:checkedState w14:val="2612" w14:font="MS Gothic"/>
            <w14:uncheckedState w14:val="2610" w14:font="MS Gothic"/>
          </w14:checkbox>
        </w:sdtPr>
        <w:sdtContent>
          <w:r w:rsidR="00DC496B" w:rsidRPr="00DC496B">
            <w:rPr>
              <w:rFonts w:ascii="MS Gothic" w:eastAsia="MS Gothic" w:hAnsi="MS Gothic" w:cstheme="majorHAnsi" w:hint="eastAsia"/>
              <w:bCs/>
              <w:iCs/>
              <w:lang w:val="es-NI"/>
            </w:rPr>
            <w:t>☒</w:t>
          </w:r>
        </w:sdtContent>
      </w:sdt>
      <w:r w:rsidR="005A1EDA" w:rsidRPr="008C21CF">
        <w:rPr>
          <w:rFonts w:asciiTheme="majorHAnsi" w:hAnsiTheme="majorHAnsi" w:cstheme="majorHAnsi"/>
          <w:lang w:bidi="es-ES"/>
        </w:rPr>
        <w:t xml:space="preserve"> No</w:t>
      </w:r>
    </w:p>
    <w:p w14:paraId="10D141EB" w14:textId="4223C459" w:rsidR="005A1EDA" w:rsidRPr="00841157" w:rsidRDefault="005A1EDA" w:rsidP="00DC496B">
      <w:pPr>
        <w:spacing w:before="120" w:after="0" w:line="240" w:lineRule="auto"/>
        <w:ind w:left="272"/>
        <w:jc w:val="both"/>
        <w:rPr>
          <w:rFonts w:asciiTheme="majorHAnsi" w:hAnsiTheme="majorHAnsi" w:cstheme="majorHAnsi"/>
          <w:bCs/>
          <w:iCs/>
        </w:rPr>
      </w:pPr>
      <w:r w:rsidRPr="00B2724B">
        <w:rPr>
          <w:rFonts w:asciiTheme="majorHAnsi" w:hAnsiTheme="majorHAnsi" w:cstheme="majorHAnsi"/>
          <w:b/>
          <w:lang w:bidi="es-ES"/>
        </w:rPr>
        <w:t>En caso afirmativo</w:t>
      </w:r>
      <w:r w:rsidRPr="00B2724B">
        <w:rPr>
          <w:rFonts w:asciiTheme="majorHAnsi" w:hAnsiTheme="majorHAnsi" w:cstheme="majorHAnsi"/>
          <w:lang w:bidi="es-ES"/>
        </w:rPr>
        <w:t>, indique en la tabla a continuación cuáles son los indicadores de desempeño aplicables</w:t>
      </w:r>
      <w:r w:rsidR="00323FC5">
        <w:rPr>
          <w:rFonts w:asciiTheme="majorHAnsi" w:hAnsiTheme="majorHAnsi" w:cstheme="majorHAnsi"/>
          <w:lang w:bidi="es-ES"/>
        </w:rPr>
        <w:t xml:space="preserve"> (incluyendo medidas de seguimiento del plan de trabajo)</w:t>
      </w:r>
      <w:r w:rsidRPr="00B2724B">
        <w:rPr>
          <w:rFonts w:asciiTheme="majorHAnsi" w:hAnsiTheme="majorHAnsi" w:cstheme="majorHAnsi"/>
          <w:lang w:bidi="es-ES"/>
        </w:rPr>
        <w:t xml:space="preserve"> y la justificación de que se hayan escogido los indicadores de desempeño o hitos.</w:t>
      </w:r>
    </w:p>
    <w:tbl>
      <w:tblPr>
        <w:tblW w:w="10379"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615"/>
        <w:gridCol w:w="1121"/>
        <w:gridCol w:w="850"/>
        <w:gridCol w:w="803"/>
        <w:gridCol w:w="850"/>
        <w:gridCol w:w="1170"/>
        <w:gridCol w:w="2970"/>
      </w:tblGrid>
      <w:tr w:rsidR="005A1EDA" w:rsidRPr="00A56294" w14:paraId="1B9B62C4" w14:textId="77777777" w:rsidTr="00A757CB">
        <w:trPr>
          <w:trHeight w:val="323"/>
        </w:trPr>
        <w:tc>
          <w:tcPr>
            <w:tcW w:w="2615" w:type="dxa"/>
            <w:vMerge w:val="restart"/>
            <w:tcBorders>
              <w:top w:val="single" w:sz="4" w:space="0" w:color="808080" w:themeColor="background1" w:themeShade="80"/>
              <w:left w:val="single" w:sz="4" w:space="0" w:color="808080" w:themeColor="background1" w:themeShade="80"/>
            </w:tcBorders>
            <w:shd w:val="clear" w:color="auto" w:fill="D9D9D9" w:themeFill="background1" w:themeFillShade="D9"/>
            <w:vAlign w:val="center"/>
          </w:tcPr>
          <w:p w14:paraId="46DA90B0" w14:textId="77777777" w:rsidR="005A1EDA" w:rsidRPr="007529C4" w:rsidRDefault="005A1EDA" w:rsidP="009B1BDA">
            <w:pPr>
              <w:spacing w:after="0"/>
              <w:jc w:val="center"/>
              <w:rPr>
                <w:rFonts w:asciiTheme="majorHAnsi" w:hAnsiTheme="majorHAnsi" w:cstheme="majorHAnsi"/>
                <w:b/>
                <w:lang w:val="pt-PT"/>
              </w:rPr>
            </w:pPr>
            <w:r w:rsidRPr="007529C4">
              <w:rPr>
                <w:rFonts w:asciiTheme="majorHAnsi" w:hAnsiTheme="majorHAnsi" w:cstheme="majorHAnsi"/>
                <w:b/>
                <w:lang w:val="pt-PT" w:bidi="es-ES"/>
              </w:rPr>
              <w:t>Indicador de desempeño o hito</w:t>
            </w:r>
          </w:p>
        </w:tc>
        <w:tc>
          <w:tcPr>
            <w:tcW w:w="3624" w:type="dxa"/>
            <w:gridSpan w:val="4"/>
            <w:tcBorders>
              <w:top w:val="single" w:sz="4" w:space="0" w:color="808080" w:themeColor="background1" w:themeShade="80"/>
            </w:tcBorders>
            <w:shd w:val="clear" w:color="auto" w:fill="D9D9D9" w:themeFill="background1" w:themeFillShade="D9"/>
            <w:vAlign w:val="center"/>
          </w:tcPr>
          <w:p w14:paraId="49ED923E" w14:textId="77777777" w:rsidR="005A1EDA" w:rsidRPr="008C21CF" w:rsidRDefault="005A1EDA" w:rsidP="009B1BDA">
            <w:pPr>
              <w:spacing w:after="0"/>
              <w:jc w:val="center"/>
              <w:rPr>
                <w:rFonts w:asciiTheme="majorHAnsi" w:hAnsiTheme="majorHAnsi" w:cstheme="majorHAnsi"/>
                <w:b/>
                <w:iCs/>
              </w:rPr>
            </w:pPr>
            <w:r w:rsidRPr="008C21CF">
              <w:rPr>
                <w:rFonts w:asciiTheme="majorHAnsi" w:hAnsiTheme="majorHAnsi" w:cstheme="majorHAnsi"/>
                <w:b/>
                <w:lang w:bidi="es-ES"/>
              </w:rPr>
              <w:t>Meta</w:t>
            </w:r>
          </w:p>
        </w:tc>
        <w:tc>
          <w:tcPr>
            <w:tcW w:w="4140" w:type="dxa"/>
            <w:gridSpan w:val="2"/>
            <w:vMerge w:val="restart"/>
            <w:tcBorders>
              <w:top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A103A5A" w14:textId="77777777" w:rsidR="005A1EDA" w:rsidRPr="00841157" w:rsidRDefault="005A1EDA" w:rsidP="009B1BDA">
            <w:pPr>
              <w:spacing w:after="0"/>
              <w:jc w:val="center"/>
              <w:rPr>
                <w:rFonts w:asciiTheme="majorHAnsi" w:hAnsiTheme="majorHAnsi" w:cstheme="majorHAnsi"/>
                <w:b/>
                <w:iCs/>
              </w:rPr>
            </w:pPr>
            <w:r w:rsidRPr="008C21CF">
              <w:rPr>
                <w:rFonts w:asciiTheme="majorHAnsi" w:hAnsiTheme="majorHAnsi" w:cstheme="majorHAnsi"/>
                <w:b/>
                <w:lang w:bidi="es-ES"/>
              </w:rPr>
              <w:t>Justificación de que se haya escogido el indicador o hito para el financiamiento del Fondo Mundial</w:t>
            </w:r>
          </w:p>
        </w:tc>
      </w:tr>
      <w:tr w:rsidR="00323FC5" w:rsidRPr="00BF4BEE" w14:paraId="34BB0491" w14:textId="77777777" w:rsidTr="00A757CB">
        <w:trPr>
          <w:trHeight w:val="322"/>
        </w:trPr>
        <w:tc>
          <w:tcPr>
            <w:tcW w:w="2615" w:type="dxa"/>
            <w:vMerge/>
            <w:tcBorders>
              <w:left w:val="single" w:sz="4" w:space="0" w:color="808080" w:themeColor="background1" w:themeShade="80"/>
            </w:tcBorders>
            <w:shd w:val="clear" w:color="auto" w:fill="D9D9D9" w:themeFill="background1" w:themeFillShade="D9"/>
            <w:vAlign w:val="center"/>
          </w:tcPr>
          <w:p w14:paraId="3328CB67" w14:textId="77777777" w:rsidR="005A1EDA" w:rsidRPr="00841157" w:rsidRDefault="005A1EDA" w:rsidP="009B1BDA">
            <w:pPr>
              <w:spacing w:after="0"/>
              <w:jc w:val="center"/>
              <w:rPr>
                <w:rFonts w:asciiTheme="majorHAnsi" w:hAnsiTheme="majorHAnsi" w:cstheme="majorHAnsi"/>
              </w:rPr>
            </w:pPr>
          </w:p>
        </w:tc>
        <w:tc>
          <w:tcPr>
            <w:tcW w:w="1121" w:type="dxa"/>
            <w:shd w:val="clear" w:color="auto" w:fill="D9D9D9" w:themeFill="background1" w:themeFillShade="D9"/>
            <w:vAlign w:val="center"/>
          </w:tcPr>
          <w:p w14:paraId="3F0FEBDC" w14:textId="34421738" w:rsidR="005A1EDA" w:rsidRPr="008C21CF" w:rsidRDefault="00FA39E6" w:rsidP="009B1BDA">
            <w:pPr>
              <w:spacing w:before="120" w:after="0"/>
              <w:jc w:val="center"/>
              <w:rPr>
                <w:rFonts w:asciiTheme="majorHAnsi" w:hAnsiTheme="majorHAnsi" w:cstheme="majorHAnsi"/>
                <w:b/>
                <w:iCs/>
              </w:rPr>
            </w:pPr>
            <w:r>
              <w:rPr>
                <w:rFonts w:asciiTheme="majorHAnsi" w:hAnsiTheme="majorHAnsi" w:cstheme="majorHAnsi"/>
                <w:b/>
                <w:lang w:bidi="es-ES"/>
              </w:rPr>
              <w:t>Línea</w:t>
            </w:r>
            <w:r w:rsidR="00323FC5">
              <w:rPr>
                <w:rFonts w:asciiTheme="majorHAnsi" w:hAnsiTheme="majorHAnsi" w:cstheme="majorHAnsi"/>
                <w:b/>
                <w:lang w:bidi="es-ES"/>
              </w:rPr>
              <w:t xml:space="preserve"> de base</w:t>
            </w:r>
          </w:p>
        </w:tc>
        <w:tc>
          <w:tcPr>
            <w:tcW w:w="850" w:type="dxa"/>
            <w:shd w:val="clear" w:color="auto" w:fill="D9D9D9" w:themeFill="background1" w:themeFillShade="D9"/>
            <w:vAlign w:val="center"/>
          </w:tcPr>
          <w:p w14:paraId="60D82EA9" w14:textId="2A004A3D" w:rsidR="005A1EDA" w:rsidRPr="008C21CF" w:rsidRDefault="005A1EDA" w:rsidP="009B1BDA">
            <w:pPr>
              <w:spacing w:before="120" w:after="0"/>
              <w:jc w:val="center"/>
              <w:rPr>
                <w:rFonts w:asciiTheme="majorHAnsi" w:hAnsiTheme="majorHAnsi" w:cstheme="majorHAnsi"/>
                <w:b/>
                <w:iCs/>
              </w:rPr>
            </w:pPr>
            <w:r w:rsidRPr="008C21CF">
              <w:rPr>
                <w:rFonts w:asciiTheme="majorHAnsi" w:hAnsiTheme="majorHAnsi" w:cstheme="majorHAnsi"/>
                <w:b/>
                <w:lang w:bidi="es-ES"/>
              </w:rPr>
              <w:t>A</w:t>
            </w:r>
            <w:r w:rsidR="00323FC5">
              <w:rPr>
                <w:rFonts w:asciiTheme="majorHAnsi" w:hAnsiTheme="majorHAnsi" w:cstheme="majorHAnsi"/>
                <w:b/>
                <w:lang w:bidi="es-ES"/>
              </w:rPr>
              <w:t xml:space="preserve">ño </w:t>
            </w:r>
            <w:r w:rsidRPr="008C21CF">
              <w:rPr>
                <w:rFonts w:asciiTheme="majorHAnsi" w:hAnsiTheme="majorHAnsi" w:cstheme="majorHAnsi"/>
                <w:b/>
                <w:lang w:bidi="es-ES"/>
              </w:rPr>
              <w:t>1</w:t>
            </w:r>
          </w:p>
        </w:tc>
        <w:tc>
          <w:tcPr>
            <w:tcW w:w="803" w:type="dxa"/>
            <w:shd w:val="clear" w:color="auto" w:fill="D9D9D9" w:themeFill="background1" w:themeFillShade="D9"/>
            <w:vAlign w:val="center"/>
          </w:tcPr>
          <w:p w14:paraId="6082FE22" w14:textId="4C4F8497" w:rsidR="005A1EDA" w:rsidRPr="008C21CF" w:rsidRDefault="005A1EDA" w:rsidP="009B1BDA">
            <w:pPr>
              <w:spacing w:before="120" w:after="0"/>
              <w:jc w:val="center"/>
              <w:rPr>
                <w:rFonts w:asciiTheme="majorHAnsi" w:hAnsiTheme="majorHAnsi" w:cstheme="majorHAnsi"/>
                <w:b/>
                <w:iCs/>
              </w:rPr>
            </w:pPr>
            <w:r w:rsidRPr="008C21CF">
              <w:rPr>
                <w:rFonts w:asciiTheme="majorHAnsi" w:hAnsiTheme="majorHAnsi" w:cstheme="majorHAnsi"/>
                <w:b/>
                <w:lang w:bidi="es-ES"/>
              </w:rPr>
              <w:t>A</w:t>
            </w:r>
            <w:r w:rsidR="00323FC5">
              <w:rPr>
                <w:rFonts w:asciiTheme="majorHAnsi" w:hAnsiTheme="majorHAnsi" w:cstheme="majorHAnsi"/>
                <w:b/>
                <w:lang w:bidi="es-ES"/>
              </w:rPr>
              <w:t xml:space="preserve">ño </w:t>
            </w:r>
            <w:r w:rsidRPr="008C21CF">
              <w:rPr>
                <w:rFonts w:asciiTheme="majorHAnsi" w:hAnsiTheme="majorHAnsi" w:cstheme="majorHAnsi"/>
                <w:b/>
                <w:lang w:bidi="es-ES"/>
              </w:rPr>
              <w:t>2</w:t>
            </w:r>
          </w:p>
        </w:tc>
        <w:tc>
          <w:tcPr>
            <w:tcW w:w="850" w:type="dxa"/>
            <w:shd w:val="clear" w:color="auto" w:fill="D9D9D9" w:themeFill="background1" w:themeFillShade="D9"/>
            <w:vAlign w:val="center"/>
          </w:tcPr>
          <w:p w14:paraId="1C5C380B" w14:textId="49183581" w:rsidR="005A1EDA" w:rsidRPr="008C21CF" w:rsidRDefault="005A1EDA" w:rsidP="009B1BDA">
            <w:pPr>
              <w:spacing w:before="120" w:after="0"/>
              <w:jc w:val="center"/>
              <w:rPr>
                <w:rFonts w:asciiTheme="majorHAnsi" w:hAnsiTheme="majorHAnsi" w:cstheme="majorHAnsi"/>
                <w:b/>
                <w:iCs/>
              </w:rPr>
            </w:pPr>
            <w:r w:rsidRPr="008C21CF">
              <w:rPr>
                <w:rFonts w:asciiTheme="majorHAnsi" w:hAnsiTheme="majorHAnsi" w:cstheme="majorHAnsi"/>
                <w:b/>
                <w:lang w:bidi="es-ES"/>
              </w:rPr>
              <w:t>A</w:t>
            </w:r>
            <w:r w:rsidR="00323FC5">
              <w:rPr>
                <w:rFonts w:asciiTheme="majorHAnsi" w:hAnsiTheme="majorHAnsi" w:cstheme="majorHAnsi"/>
                <w:b/>
                <w:lang w:bidi="es-ES"/>
              </w:rPr>
              <w:t xml:space="preserve">ño </w:t>
            </w:r>
            <w:r w:rsidRPr="008C21CF">
              <w:rPr>
                <w:rFonts w:asciiTheme="majorHAnsi" w:hAnsiTheme="majorHAnsi" w:cstheme="majorHAnsi"/>
                <w:b/>
                <w:lang w:bidi="es-ES"/>
              </w:rPr>
              <w:t>3</w:t>
            </w:r>
          </w:p>
        </w:tc>
        <w:tc>
          <w:tcPr>
            <w:tcW w:w="4140" w:type="dxa"/>
            <w:gridSpan w:val="2"/>
            <w:vMerge/>
            <w:tcBorders>
              <w:right w:val="single" w:sz="4" w:space="0" w:color="808080" w:themeColor="background1" w:themeShade="80"/>
            </w:tcBorders>
            <w:shd w:val="clear" w:color="auto" w:fill="D9D9D9" w:themeFill="background1" w:themeFillShade="D9"/>
            <w:vAlign w:val="center"/>
          </w:tcPr>
          <w:p w14:paraId="18DEC1BC" w14:textId="77777777" w:rsidR="005A1EDA" w:rsidRPr="004619FD" w:rsidRDefault="005A1EDA" w:rsidP="009B1BDA">
            <w:pPr>
              <w:spacing w:before="120" w:after="0"/>
              <w:jc w:val="center"/>
              <w:rPr>
                <w:rFonts w:asciiTheme="majorHAnsi" w:hAnsiTheme="majorHAnsi" w:cstheme="majorHAnsi"/>
                <w:iCs/>
              </w:rPr>
            </w:pPr>
          </w:p>
        </w:tc>
      </w:tr>
      <w:tr w:rsidR="00323FC5" w:rsidRPr="00BF4BEE" w14:paraId="78A643B9" w14:textId="77777777" w:rsidTr="00A757CB">
        <w:trPr>
          <w:trHeight w:val="522"/>
        </w:trPr>
        <w:tc>
          <w:tcPr>
            <w:tcW w:w="2615" w:type="dxa"/>
            <w:tcBorders>
              <w:left w:val="single" w:sz="4" w:space="0" w:color="808080" w:themeColor="background1" w:themeShade="80"/>
            </w:tcBorders>
            <w:vAlign w:val="center"/>
          </w:tcPr>
          <w:p w14:paraId="05AAFC28" w14:textId="77777777" w:rsidR="005A1EDA" w:rsidRPr="008C21CF" w:rsidRDefault="005A1EDA" w:rsidP="009B1BDA">
            <w:pPr>
              <w:pStyle w:val="ListParagraph"/>
              <w:tabs>
                <w:tab w:val="left" w:pos="63"/>
              </w:tabs>
              <w:spacing w:after="0"/>
              <w:ind w:left="63" w:right="-54"/>
              <w:rPr>
                <w:rFonts w:asciiTheme="majorHAnsi" w:hAnsiTheme="majorHAnsi" w:cstheme="majorHAnsi"/>
                <w:b/>
                <w:bCs/>
                <w:iCs/>
              </w:rPr>
            </w:pPr>
          </w:p>
        </w:tc>
        <w:tc>
          <w:tcPr>
            <w:tcW w:w="1121" w:type="dxa"/>
            <w:shd w:val="clear" w:color="auto" w:fill="FFFFFF" w:themeFill="text2" w:themeFillTint="33"/>
            <w:vAlign w:val="center"/>
          </w:tcPr>
          <w:p w14:paraId="0B9836F8"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50" w:type="dxa"/>
            <w:shd w:val="clear" w:color="auto" w:fill="FFFFFF" w:themeFill="text2" w:themeFillTint="33"/>
            <w:vAlign w:val="center"/>
          </w:tcPr>
          <w:p w14:paraId="6981708E"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03" w:type="dxa"/>
            <w:shd w:val="clear" w:color="auto" w:fill="FFFFFF" w:themeFill="text2" w:themeFillTint="33"/>
            <w:vAlign w:val="center"/>
          </w:tcPr>
          <w:p w14:paraId="25C7D4B9"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50" w:type="dxa"/>
            <w:shd w:val="clear" w:color="auto" w:fill="FFFFFF" w:themeFill="text2" w:themeFillTint="33"/>
            <w:vAlign w:val="center"/>
          </w:tcPr>
          <w:p w14:paraId="7E388E93"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4140" w:type="dxa"/>
            <w:gridSpan w:val="2"/>
            <w:tcBorders>
              <w:right w:val="single" w:sz="4" w:space="0" w:color="808080" w:themeColor="background1" w:themeShade="80"/>
            </w:tcBorders>
            <w:vAlign w:val="center"/>
          </w:tcPr>
          <w:p w14:paraId="5AC2A7A5" w14:textId="77777777" w:rsidR="005A1EDA" w:rsidRPr="008C21CF" w:rsidRDefault="005A1EDA" w:rsidP="009B1BDA">
            <w:pPr>
              <w:spacing w:after="0"/>
              <w:rPr>
                <w:rFonts w:asciiTheme="majorHAnsi" w:hAnsiTheme="majorHAnsi" w:cstheme="majorHAnsi"/>
                <w:b/>
                <w:bCs/>
                <w:iCs/>
              </w:rPr>
            </w:pPr>
          </w:p>
        </w:tc>
      </w:tr>
      <w:tr w:rsidR="00323FC5" w:rsidRPr="00BF4BEE" w14:paraId="59964124" w14:textId="77777777" w:rsidTr="00A757CB">
        <w:trPr>
          <w:trHeight w:val="559"/>
        </w:trPr>
        <w:tc>
          <w:tcPr>
            <w:tcW w:w="2615" w:type="dxa"/>
            <w:tcBorders>
              <w:left w:val="single" w:sz="4" w:space="0" w:color="808080" w:themeColor="background1" w:themeShade="80"/>
            </w:tcBorders>
            <w:vAlign w:val="center"/>
          </w:tcPr>
          <w:p w14:paraId="1D8107CC" w14:textId="77777777" w:rsidR="005A1EDA" w:rsidRPr="008C21CF" w:rsidRDefault="005A1EDA" w:rsidP="009B1BDA">
            <w:pPr>
              <w:pStyle w:val="ListParagraph"/>
              <w:tabs>
                <w:tab w:val="left" w:pos="63"/>
              </w:tabs>
              <w:spacing w:after="0"/>
              <w:ind w:left="63"/>
              <w:rPr>
                <w:rFonts w:asciiTheme="majorHAnsi" w:hAnsiTheme="majorHAnsi" w:cstheme="majorHAnsi"/>
                <w:b/>
                <w:bCs/>
                <w:iCs/>
              </w:rPr>
            </w:pPr>
          </w:p>
        </w:tc>
        <w:tc>
          <w:tcPr>
            <w:tcW w:w="1121" w:type="dxa"/>
            <w:shd w:val="clear" w:color="auto" w:fill="FFFFFF" w:themeFill="text2" w:themeFillTint="33"/>
            <w:vAlign w:val="center"/>
          </w:tcPr>
          <w:p w14:paraId="7A14CCB0"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50" w:type="dxa"/>
            <w:shd w:val="clear" w:color="auto" w:fill="FFFFFF" w:themeFill="text2" w:themeFillTint="33"/>
            <w:vAlign w:val="center"/>
          </w:tcPr>
          <w:p w14:paraId="0AFD62E4"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03" w:type="dxa"/>
            <w:shd w:val="clear" w:color="auto" w:fill="FFFFFF" w:themeFill="text2" w:themeFillTint="33"/>
            <w:vAlign w:val="center"/>
          </w:tcPr>
          <w:p w14:paraId="35C78E7C"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50" w:type="dxa"/>
            <w:shd w:val="clear" w:color="auto" w:fill="FFFFFF" w:themeFill="text2" w:themeFillTint="33"/>
            <w:vAlign w:val="center"/>
          </w:tcPr>
          <w:p w14:paraId="43B1F3BA"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4140" w:type="dxa"/>
            <w:gridSpan w:val="2"/>
            <w:tcBorders>
              <w:right w:val="single" w:sz="4" w:space="0" w:color="808080" w:themeColor="background1" w:themeShade="80"/>
            </w:tcBorders>
            <w:vAlign w:val="center"/>
          </w:tcPr>
          <w:p w14:paraId="1CE007C1" w14:textId="77777777" w:rsidR="005A1EDA" w:rsidRPr="008C21CF" w:rsidRDefault="005A1EDA" w:rsidP="009B1BDA">
            <w:pPr>
              <w:spacing w:after="0"/>
              <w:ind w:right="-54"/>
              <w:rPr>
                <w:rFonts w:asciiTheme="majorHAnsi" w:hAnsiTheme="majorHAnsi" w:cstheme="majorHAnsi"/>
                <w:b/>
                <w:bCs/>
                <w:iCs/>
              </w:rPr>
            </w:pPr>
          </w:p>
        </w:tc>
      </w:tr>
      <w:tr w:rsidR="00323FC5" w:rsidRPr="00A56294" w14:paraId="4528FF7A" w14:textId="77777777" w:rsidTr="00A757CB">
        <w:trPr>
          <w:trHeight w:val="553"/>
        </w:trPr>
        <w:tc>
          <w:tcPr>
            <w:tcW w:w="2615" w:type="dxa"/>
            <w:tcBorders>
              <w:left w:val="single" w:sz="4" w:space="0" w:color="808080" w:themeColor="background1" w:themeShade="80"/>
            </w:tcBorders>
            <w:vAlign w:val="center"/>
          </w:tcPr>
          <w:p w14:paraId="744DED99" w14:textId="77777777" w:rsidR="005A1EDA" w:rsidRPr="00841157" w:rsidRDefault="005A1EDA" w:rsidP="009B1BDA">
            <w:pPr>
              <w:pStyle w:val="ListParagraph"/>
              <w:tabs>
                <w:tab w:val="left" w:pos="63"/>
              </w:tabs>
              <w:spacing w:after="0"/>
              <w:ind w:left="63"/>
              <w:rPr>
                <w:rFonts w:asciiTheme="majorHAnsi" w:hAnsiTheme="majorHAnsi" w:cstheme="majorHAnsi"/>
                <w:b/>
                <w:bCs/>
                <w:i/>
                <w:iCs/>
              </w:rPr>
            </w:pPr>
            <w:r w:rsidRPr="008C21CF">
              <w:rPr>
                <w:rFonts w:asciiTheme="majorHAnsi" w:hAnsiTheme="majorHAnsi" w:cstheme="majorHAnsi"/>
                <w:lang w:bidi="es-ES"/>
              </w:rPr>
              <w:t>Añada más filas en caso necesario</w:t>
            </w:r>
          </w:p>
        </w:tc>
        <w:tc>
          <w:tcPr>
            <w:tcW w:w="1121" w:type="dxa"/>
            <w:shd w:val="clear" w:color="auto" w:fill="FFFFFF" w:themeFill="text2" w:themeFillTint="33"/>
            <w:vAlign w:val="center"/>
          </w:tcPr>
          <w:p w14:paraId="6CA0F985" w14:textId="77777777" w:rsidR="005A1EDA" w:rsidRPr="00841157"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50" w:type="dxa"/>
            <w:shd w:val="clear" w:color="auto" w:fill="FFFFFF" w:themeFill="text2" w:themeFillTint="33"/>
            <w:vAlign w:val="center"/>
          </w:tcPr>
          <w:p w14:paraId="769155BB" w14:textId="77777777" w:rsidR="005A1EDA" w:rsidRPr="00841157"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03" w:type="dxa"/>
            <w:shd w:val="clear" w:color="auto" w:fill="FFFFFF" w:themeFill="text2" w:themeFillTint="33"/>
            <w:vAlign w:val="center"/>
          </w:tcPr>
          <w:p w14:paraId="4092CEDC" w14:textId="77777777" w:rsidR="005A1EDA" w:rsidRPr="00841157"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50" w:type="dxa"/>
            <w:shd w:val="clear" w:color="auto" w:fill="FFFFFF" w:themeFill="text2" w:themeFillTint="33"/>
            <w:vAlign w:val="center"/>
          </w:tcPr>
          <w:p w14:paraId="5B16A55D" w14:textId="77777777" w:rsidR="005A1EDA" w:rsidRPr="00841157" w:rsidRDefault="005A1EDA" w:rsidP="009B1BDA">
            <w:pPr>
              <w:pStyle w:val="ListParagraph"/>
              <w:tabs>
                <w:tab w:val="left" w:pos="360"/>
              </w:tabs>
              <w:spacing w:after="0"/>
              <w:ind w:left="0" w:right="-54"/>
              <w:jc w:val="center"/>
              <w:rPr>
                <w:rFonts w:asciiTheme="majorHAnsi" w:hAnsiTheme="majorHAnsi" w:cstheme="majorHAnsi"/>
                <w:b/>
                <w:bCs/>
                <w:iCs/>
              </w:rPr>
            </w:pPr>
          </w:p>
        </w:tc>
        <w:tc>
          <w:tcPr>
            <w:tcW w:w="4140" w:type="dxa"/>
            <w:gridSpan w:val="2"/>
            <w:tcBorders>
              <w:right w:val="single" w:sz="4" w:space="0" w:color="808080" w:themeColor="background1" w:themeShade="80"/>
            </w:tcBorders>
            <w:vAlign w:val="center"/>
          </w:tcPr>
          <w:p w14:paraId="0ED2B9A7" w14:textId="77777777" w:rsidR="005A1EDA" w:rsidRPr="00841157" w:rsidRDefault="005A1EDA" w:rsidP="009B1BDA">
            <w:pPr>
              <w:spacing w:after="0"/>
              <w:ind w:right="-54"/>
              <w:rPr>
                <w:rFonts w:asciiTheme="majorHAnsi" w:hAnsiTheme="majorHAnsi" w:cstheme="majorHAnsi"/>
                <w:b/>
                <w:bCs/>
                <w:iCs/>
              </w:rPr>
            </w:pPr>
          </w:p>
        </w:tc>
      </w:tr>
      <w:tr w:rsidR="004F034A" w:rsidRPr="00A56294" w14:paraId="297F4E88" w14:textId="77777777" w:rsidTr="00A757CB">
        <w:trPr>
          <w:trHeight w:val="395"/>
        </w:trPr>
        <w:tc>
          <w:tcPr>
            <w:tcW w:w="7409" w:type="dxa"/>
            <w:gridSpan w:val="6"/>
            <w:tcBorders>
              <w:left w:val="single" w:sz="4" w:space="0" w:color="808080" w:themeColor="background1" w:themeShade="80"/>
            </w:tcBorders>
            <w:shd w:val="clear" w:color="auto" w:fill="D9D9D9" w:themeFill="background1" w:themeFillShade="D9"/>
            <w:vAlign w:val="center"/>
          </w:tcPr>
          <w:p w14:paraId="640546A3" w14:textId="2C789C62" w:rsidR="004F034A" w:rsidRPr="00841157" w:rsidRDefault="004F034A" w:rsidP="009A1DC8">
            <w:pPr>
              <w:pStyle w:val="ListParagraph"/>
              <w:spacing w:after="0" w:line="240" w:lineRule="auto"/>
              <w:ind w:left="360" w:hanging="350"/>
              <w:rPr>
                <w:rFonts w:asciiTheme="majorHAnsi" w:hAnsiTheme="majorHAnsi" w:cstheme="majorHAnsi"/>
                <w:b/>
                <w:bCs/>
                <w:iCs/>
              </w:rPr>
            </w:pPr>
            <w:r w:rsidRPr="009A1DC8">
              <w:rPr>
                <w:rFonts w:cs="Arial"/>
                <w:b/>
                <w:lang w:bidi="es-ES"/>
              </w:rPr>
              <w:t>Monto total que se solicita al Fondo Mundial</w:t>
            </w:r>
          </w:p>
        </w:tc>
        <w:tc>
          <w:tcPr>
            <w:tcW w:w="2970" w:type="dxa"/>
            <w:tcBorders>
              <w:right w:val="single" w:sz="4" w:space="0" w:color="808080" w:themeColor="background1" w:themeShade="80"/>
            </w:tcBorders>
            <w:vAlign w:val="center"/>
          </w:tcPr>
          <w:p w14:paraId="3973C5FD" w14:textId="77777777" w:rsidR="004F034A" w:rsidRPr="00841157" w:rsidRDefault="004F034A" w:rsidP="009B1BDA">
            <w:pPr>
              <w:spacing w:after="0"/>
              <w:ind w:right="-54"/>
              <w:rPr>
                <w:rFonts w:asciiTheme="majorHAnsi" w:hAnsiTheme="majorHAnsi" w:cstheme="majorHAnsi"/>
                <w:b/>
                <w:bCs/>
                <w:iCs/>
              </w:rPr>
            </w:pPr>
          </w:p>
        </w:tc>
      </w:tr>
    </w:tbl>
    <w:p w14:paraId="42362067" w14:textId="7BEB785D" w:rsidR="00C921BC" w:rsidRPr="00841157" w:rsidRDefault="00323FC5" w:rsidP="00DC496B">
      <w:pPr>
        <w:autoSpaceDE w:val="0"/>
        <w:autoSpaceDN w:val="0"/>
        <w:spacing w:before="120" w:line="240" w:lineRule="auto"/>
        <w:rPr>
          <w:rFonts w:eastAsia="Calibri"/>
        </w:rPr>
      </w:pPr>
      <w:r>
        <w:rPr>
          <w:lang w:bidi="es-ES"/>
        </w:rPr>
        <w:t xml:space="preserve">Especifica </w:t>
      </w:r>
      <w:r w:rsidR="009835CB">
        <w:rPr>
          <w:lang w:bidi="es-ES"/>
        </w:rPr>
        <w:t xml:space="preserve">cómo va a garantizarse la </w:t>
      </w:r>
      <w:r>
        <w:rPr>
          <w:lang w:bidi="es-ES"/>
        </w:rPr>
        <w:t>calidad de los datos para reportar los resultados</w:t>
      </w:r>
      <w:r w:rsidR="009835CB">
        <w:rPr>
          <w:lang w:bidi="es-ES"/>
        </w:rPr>
        <w:t>.</w:t>
      </w:r>
    </w:p>
    <w:tbl>
      <w:tblPr>
        <w:tblStyle w:val="TableGrid"/>
        <w:tblW w:w="0" w:type="auto"/>
        <w:tblLook w:val="04A0" w:firstRow="1" w:lastRow="0" w:firstColumn="1" w:lastColumn="0" w:noHBand="0" w:noVBand="1"/>
      </w:tblPr>
      <w:tblGrid>
        <w:gridCol w:w="10456"/>
      </w:tblGrid>
      <w:tr w:rsidR="00C921BC" w:rsidRPr="00DC496B" w14:paraId="7CB23CD6" w14:textId="77777777" w:rsidTr="00815549">
        <w:tc>
          <w:tcPr>
            <w:tcW w:w="10790" w:type="dxa"/>
          </w:tcPr>
          <w:p w14:paraId="7EBB90E2" w14:textId="1F2F7D6D" w:rsidR="00C921BC" w:rsidRPr="00DC496B" w:rsidRDefault="00DC496B" w:rsidP="00DC496B">
            <w:pPr>
              <w:spacing w:after="0"/>
              <w:rPr>
                <w:lang w:val="es-NI"/>
              </w:rPr>
            </w:pPr>
            <w:r w:rsidRPr="00DC496B">
              <w:rPr>
                <w:lang w:val="es-NI"/>
              </w:rPr>
              <w:t>N/A</w:t>
            </w:r>
          </w:p>
        </w:tc>
      </w:tr>
    </w:tbl>
    <w:p w14:paraId="67E3E790" w14:textId="6A1FA61A" w:rsidR="00C921BC" w:rsidRPr="00DC496B" w:rsidRDefault="00C921BC" w:rsidP="00C921BC">
      <w:pPr>
        <w:rPr>
          <w:rFonts w:cs="Arial"/>
          <w:bCs/>
          <w:lang w:val="es-NI"/>
        </w:rPr>
      </w:pPr>
    </w:p>
    <w:p w14:paraId="20EC314E" w14:textId="3C2A20B9" w:rsidR="000E0ACF" w:rsidRPr="00841157" w:rsidRDefault="000E0ACF" w:rsidP="00025BC8">
      <w:pPr>
        <w:pStyle w:val="ListParagraph"/>
        <w:numPr>
          <w:ilvl w:val="0"/>
          <w:numId w:val="23"/>
        </w:numPr>
        <w:ind w:left="360"/>
        <w:jc w:val="both"/>
        <w:rPr>
          <w:rFonts w:asciiTheme="majorHAnsi" w:hAnsiTheme="majorHAnsi" w:cstheme="majorHAnsi"/>
        </w:rPr>
      </w:pPr>
      <w:r w:rsidRPr="00A57DC5">
        <w:rPr>
          <w:rFonts w:cs="Arial"/>
          <w:b/>
          <w:lang w:bidi="es-ES"/>
        </w:rPr>
        <w:t xml:space="preserve">Oportunidades de integración: </w:t>
      </w:r>
      <w:r>
        <w:rPr>
          <w:rFonts w:asciiTheme="majorHAnsi" w:hAnsiTheme="majorHAnsi" w:cstheme="majorHAnsi"/>
          <w:lang w:bidi="es-ES"/>
        </w:rPr>
        <w:t xml:space="preserve">Explique de qué forma </w:t>
      </w:r>
      <w:r w:rsidR="00323FC5">
        <w:rPr>
          <w:rFonts w:asciiTheme="majorHAnsi" w:hAnsiTheme="majorHAnsi" w:cstheme="majorHAnsi"/>
          <w:lang w:bidi="es-ES"/>
        </w:rPr>
        <w:t xml:space="preserve">la solicitud de financiamiento </w:t>
      </w:r>
      <w:r>
        <w:rPr>
          <w:rFonts w:asciiTheme="majorHAnsi" w:hAnsiTheme="majorHAnsi" w:cstheme="majorHAnsi"/>
          <w:lang w:bidi="es-ES"/>
        </w:rPr>
        <w:t xml:space="preserve">tiene en cuenta </w:t>
      </w:r>
      <w:r w:rsidR="00323FC5">
        <w:rPr>
          <w:rFonts w:asciiTheme="majorHAnsi" w:hAnsiTheme="majorHAnsi" w:cstheme="majorHAnsi"/>
          <w:lang w:bidi="es-ES"/>
        </w:rPr>
        <w:t>lo siguiente</w:t>
      </w:r>
      <w:r>
        <w:rPr>
          <w:rFonts w:asciiTheme="majorHAnsi" w:hAnsiTheme="majorHAnsi" w:cstheme="majorHAnsi"/>
          <w:lang w:bidi="es-ES"/>
        </w:rPr>
        <w:t xml:space="preserve">: </w:t>
      </w:r>
    </w:p>
    <w:p w14:paraId="202C3D7A" w14:textId="52DF277E" w:rsidR="000E0ACF" w:rsidRPr="00841157" w:rsidRDefault="00F112AD" w:rsidP="00025BC8">
      <w:pPr>
        <w:pStyle w:val="ListParagraph"/>
        <w:numPr>
          <w:ilvl w:val="0"/>
          <w:numId w:val="24"/>
        </w:numPr>
        <w:spacing w:after="0"/>
        <w:jc w:val="both"/>
        <w:rPr>
          <w:rFonts w:asciiTheme="majorHAnsi" w:hAnsiTheme="majorHAnsi" w:cstheme="majorHAnsi"/>
        </w:rPr>
      </w:pPr>
      <w:r>
        <w:rPr>
          <w:rFonts w:asciiTheme="majorHAnsi" w:hAnsiTheme="majorHAnsi" w:cstheme="majorHAnsi"/>
          <w:lang w:bidi="es-ES"/>
        </w:rPr>
        <w:t xml:space="preserve">Las necesidades </w:t>
      </w:r>
      <w:r w:rsidR="003962E5">
        <w:rPr>
          <w:rFonts w:asciiTheme="majorHAnsi" w:hAnsiTheme="majorHAnsi" w:cstheme="majorHAnsi"/>
          <w:lang w:bidi="es-ES"/>
        </w:rPr>
        <w:t>comunes que cubren</w:t>
      </w:r>
      <w:r>
        <w:rPr>
          <w:rFonts w:asciiTheme="majorHAnsi" w:hAnsiTheme="majorHAnsi" w:cstheme="majorHAnsi"/>
          <w:lang w:bidi="es-ES"/>
        </w:rPr>
        <w:t xml:space="preserve"> las tres enfermedades y </w:t>
      </w:r>
      <w:r w:rsidR="00323FC5">
        <w:rPr>
          <w:rFonts w:asciiTheme="majorHAnsi" w:hAnsiTheme="majorHAnsi" w:cstheme="majorHAnsi"/>
          <w:lang w:bidi="es-ES"/>
        </w:rPr>
        <w:t xml:space="preserve">aquellas </w:t>
      </w:r>
      <w:r>
        <w:rPr>
          <w:rFonts w:asciiTheme="majorHAnsi" w:hAnsiTheme="majorHAnsi" w:cstheme="majorHAnsi"/>
          <w:lang w:bidi="es-ES"/>
        </w:rPr>
        <w:t xml:space="preserve">de otros programas </w:t>
      </w:r>
      <w:r w:rsidR="00323FC5">
        <w:rPr>
          <w:rFonts w:asciiTheme="majorHAnsi" w:hAnsiTheme="majorHAnsi" w:cstheme="majorHAnsi"/>
          <w:lang w:bidi="es-ES"/>
        </w:rPr>
        <w:t xml:space="preserve">de salud </w:t>
      </w:r>
      <w:r>
        <w:rPr>
          <w:rFonts w:asciiTheme="majorHAnsi" w:hAnsiTheme="majorHAnsi" w:cstheme="majorHAnsi"/>
          <w:lang w:bidi="es-ES"/>
        </w:rPr>
        <w:t xml:space="preserve">relacionados. </w:t>
      </w:r>
    </w:p>
    <w:p w14:paraId="5C3F3760" w14:textId="55FAFDC4" w:rsidR="000E0ACF" w:rsidRPr="00841157" w:rsidRDefault="00F112AD" w:rsidP="00025BC8">
      <w:pPr>
        <w:pStyle w:val="NormalWeb"/>
        <w:numPr>
          <w:ilvl w:val="0"/>
          <w:numId w:val="24"/>
        </w:numPr>
        <w:spacing w:after="0" w:line="240" w:lineRule="auto"/>
        <w:jc w:val="both"/>
        <w:rPr>
          <w:rFonts w:asciiTheme="majorHAnsi" w:hAnsiTheme="majorHAnsi" w:cstheme="majorHAnsi"/>
          <w:sz w:val="22"/>
          <w:szCs w:val="22"/>
        </w:rPr>
      </w:pPr>
      <w:r>
        <w:rPr>
          <w:rFonts w:asciiTheme="majorHAnsi" w:hAnsiTheme="majorHAnsi" w:cstheme="majorHAnsi"/>
          <w:sz w:val="22"/>
          <w:szCs w:val="22"/>
          <w:lang w:bidi="es-ES"/>
        </w:rPr>
        <w:t xml:space="preserve">La </w:t>
      </w:r>
      <w:r w:rsidR="00323FC5">
        <w:rPr>
          <w:rFonts w:asciiTheme="majorHAnsi" w:hAnsiTheme="majorHAnsi" w:cstheme="majorHAnsi"/>
          <w:sz w:val="22"/>
          <w:szCs w:val="22"/>
          <w:lang w:bidi="es-ES"/>
        </w:rPr>
        <w:t xml:space="preserve">articulación ampliada </w:t>
      </w:r>
      <w:r>
        <w:rPr>
          <w:rFonts w:asciiTheme="majorHAnsi" w:hAnsiTheme="majorHAnsi" w:cstheme="majorHAnsi"/>
          <w:sz w:val="22"/>
          <w:szCs w:val="22"/>
          <w:lang w:bidi="es-ES"/>
        </w:rPr>
        <w:t xml:space="preserve">con los sistemas de salud </w:t>
      </w:r>
      <w:r w:rsidR="00323FC5">
        <w:rPr>
          <w:rFonts w:asciiTheme="majorHAnsi" w:hAnsiTheme="majorHAnsi" w:cstheme="majorHAnsi"/>
          <w:sz w:val="22"/>
          <w:szCs w:val="22"/>
          <w:lang w:bidi="es-ES"/>
        </w:rPr>
        <w:t xml:space="preserve">en general </w:t>
      </w:r>
      <w:r>
        <w:rPr>
          <w:rFonts w:asciiTheme="majorHAnsi" w:hAnsiTheme="majorHAnsi" w:cstheme="majorHAnsi"/>
          <w:sz w:val="22"/>
          <w:szCs w:val="22"/>
          <w:lang w:bidi="es-ES"/>
        </w:rPr>
        <w:t xml:space="preserve">para </w:t>
      </w:r>
      <w:r w:rsidR="00323FC5">
        <w:rPr>
          <w:rFonts w:asciiTheme="majorHAnsi" w:hAnsiTheme="majorHAnsi" w:cstheme="majorHAnsi"/>
          <w:sz w:val="22"/>
          <w:szCs w:val="22"/>
          <w:lang w:bidi="es-ES"/>
        </w:rPr>
        <w:t>obtener mejores</w:t>
      </w:r>
      <w:r>
        <w:rPr>
          <w:rFonts w:asciiTheme="majorHAnsi" w:hAnsiTheme="majorHAnsi" w:cstheme="majorHAnsi"/>
          <w:sz w:val="22"/>
          <w:szCs w:val="22"/>
          <w:lang w:bidi="es-ES"/>
        </w:rPr>
        <w:t xml:space="preserve"> resultados respecto </w:t>
      </w:r>
      <w:r w:rsidR="00323FC5">
        <w:rPr>
          <w:rFonts w:asciiTheme="majorHAnsi" w:hAnsiTheme="majorHAnsi" w:cstheme="majorHAnsi"/>
          <w:sz w:val="22"/>
          <w:szCs w:val="22"/>
          <w:lang w:bidi="es-ES"/>
        </w:rPr>
        <w:t>en el abordaje de las</w:t>
      </w:r>
      <w:r>
        <w:rPr>
          <w:rFonts w:asciiTheme="majorHAnsi" w:hAnsiTheme="majorHAnsi" w:cstheme="majorHAnsi"/>
          <w:sz w:val="22"/>
          <w:szCs w:val="22"/>
          <w:lang w:bidi="es-ES"/>
        </w:rPr>
        <w:t xml:space="preserve"> enfermedades</w:t>
      </w:r>
      <w:r w:rsidR="003962E5">
        <w:rPr>
          <w:rFonts w:asciiTheme="majorHAnsi" w:hAnsiTheme="majorHAnsi" w:cstheme="majorHAnsi"/>
          <w:sz w:val="22"/>
          <w:szCs w:val="22"/>
          <w:lang w:bidi="es-ES"/>
        </w:rPr>
        <w:t xml:space="preserve"> </w:t>
      </w:r>
      <w:r w:rsidR="00323FC5">
        <w:rPr>
          <w:rFonts w:asciiTheme="majorHAnsi" w:hAnsiTheme="majorHAnsi" w:cstheme="majorHAnsi"/>
          <w:sz w:val="22"/>
          <w:szCs w:val="22"/>
          <w:lang w:bidi="es-ES"/>
        </w:rPr>
        <w:t xml:space="preserve">y mejorar la </w:t>
      </w:r>
      <w:r>
        <w:rPr>
          <w:rFonts w:asciiTheme="majorHAnsi" w:hAnsiTheme="majorHAnsi" w:cstheme="majorHAnsi"/>
          <w:sz w:val="22"/>
          <w:szCs w:val="22"/>
          <w:lang w:bidi="es-ES"/>
        </w:rPr>
        <w:t>eficiencia y la sostenibilidad del programa.</w:t>
      </w:r>
    </w:p>
    <w:p w14:paraId="003C57B6" w14:textId="77777777" w:rsidR="000E0ACF" w:rsidRPr="00841157" w:rsidRDefault="000E0ACF" w:rsidP="000E0ACF">
      <w:pPr>
        <w:pStyle w:val="ListParagraph"/>
        <w:spacing w:after="0" w:line="240" w:lineRule="auto"/>
        <w:ind w:left="0"/>
        <w:rPr>
          <w:rFonts w:cs="Arial"/>
          <w:szCs w:val="20"/>
        </w:rPr>
      </w:pPr>
    </w:p>
    <w:tbl>
      <w:tblPr>
        <w:tblStyle w:val="TableGrid"/>
        <w:tblW w:w="10456" w:type="dxa"/>
        <w:tblLook w:val="04A0" w:firstRow="1" w:lastRow="0" w:firstColumn="1" w:lastColumn="0" w:noHBand="0" w:noVBand="1"/>
      </w:tblPr>
      <w:tblGrid>
        <w:gridCol w:w="10456"/>
      </w:tblGrid>
      <w:tr w:rsidR="00DC01DC" w:rsidRPr="00A56294" w14:paraId="63001F24" w14:textId="77777777" w:rsidTr="00DC01DC">
        <w:tc>
          <w:tcPr>
            <w:tcW w:w="10456" w:type="dxa"/>
          </w:tcPr>
          <w:p w14:paraId="73927AD7" w14:textId="77777777" w:rsidR="00DC01DC" w:rsidRPr="00DC496B" w:rsidRDefault="00DC01DC" w:rsidP="00DC496B">
            <w:pPr>
              <w:jc w:val="both"/>
              <w:rPr>
                <w:lang w:val="es-NI"/>
              </w:rPr>
            </w:pPr>
            <w:r w:rsidRPr="00DC496B">
              <w:rPr>
                <w:lang w:val="es-NI"/>
              </w:rPr>
              <w:t>El país se encuentra en un proceso de articulación y consolidación de un Sistema Nacional Integrado de Salud (SNIS), en el que se proyecta, a mediano y largo plazo, la integración de intervenciones, actividades y tareas para fortalecimiento del SNIS de forma armónica entre los programas de VIH y TB del MINSAL, así como con los demás integrantes del SNIS, como áreas transversales durante el curso de vida de la persona.</w:t>
            </w:r>
          </w:p>
          <w:p w14:paraId="557F7999" w14:textId="77777777" w:rsidR="00DC01DC" w:rsidRPr="00DC496B" w:rsidRDefault="00DC01DC" w:rsidP="00DC496B">
            <w:pPr>
              <w:jc w:val="both"/>
              <w:rPr>
                <w:lang w:val="es-NI"/>
              </w:rPr>
            </w:pPr>
            <w:r w:rsidRPr="00DC496B">
              <w:rPr>
                <w:lang w:val="es-NI"/>
              </w:rPr>
              <w:t xml:space="preserve">Los programas de TB y VIH mantienen una estrecha relación independientemente de la institución prestadora de servicios favoreciendo así la colaboración entre las entidades miembros del Sistema Nacional Integrado de Salud, implementando la atención integrada de salud con la aplicación de las actividades colaborativas TB/VIH, como lo es el descarte de la TB en personas con VIH, VIH en personas con TB, la atención de la coinfección TB/VIH. Es importante resaltar que estos servicios se brindan en las clínicas de atención integral, siendo el mismo personal el que brinda los servicios, garantizando así la atención y tratamiento integral. </w:t>
            </w:r>
          </w:p>
          <w:p w14:paraId="1668C737" w14:textId="7E7C7EF5" w:rsidR="00DC01DC" w:rsidRPr="00DC496B" w:rsidRDefault="005B198D" w:rsidP="00DC496B">
            <w:pPr>
              <w:jc w:val="both"/>
              <w:rPr>
                <w:lang w:val="es-NI"/>
              </w:rPr>
            </w:pPr>
            <w:r w:rsidRPr="00DC496B">
              <w:rPr>
                <w:lang w:val="es-NI"/>
              </w:rPr>
              <w:t>Además,</w:t>
            </w:r>
            <w:r w:rsidR="00DC01DC" w:rsidRPr="00DC496B">
              <w:rPr>
                <w:lang w:val="es-NI"/>
              </w:rPr>
              <w:t xml:space="preserve"> se está realizando la articulación y vinculación con otras dependencias al interior del Ministerio de Salud. Se están fortaleciendo a establecimientos del primer nivel de atención para la promoción y prevención del VIH con lo cual es fundamental la coordinación con la Dirección del Primer Nivel de Atención. Adicionalmente, debido a que por el momento la atención de las </w:t>
            </w:r>
            <w:r w:rsidR="00CA7ECE">
              <w:rPr>
                <w:lang w:val="es-NI"/>
              </w:rPr>
              <w:t>personas con VIH</w:t>
            </w:r>
            <w:r w:rsidR="00DC01DC" w:rsidRPr="00DC496B">
              <w:rPr>
                <w:lang w:val="es-NI"/>
              </w:rPr>
              <w:t xml:space="preserve"> se realiza en hospitales, es fundamental la coordinación que se realiza con la Dirección Nacional de Hospitales. </w:t>
            </w:r>
          </w:p>
          <w:p w14:paraId="4CAF3A48" w14:textId="30A72C27" w:rsidR="00DC01DC" w:rsidRPr="00DC496B" w:rsidRDefault="00DC01DC" w:rsidP="00DC496B">
            <w:pPr>
              <w:jc w:val="both"/>
              <w:rPr>
                <w:lang w:val="es-NI"/>
              </w:rPr>
            </w:pPr>
            <w:r w:rsidRPr="00DC496B">
              <w:rPr>
                <w:lang w:val="es-NI"/>
              </w:rPr>
              <w:t>Dentro de la nueva estructura organizativa del MINSAL, se facilita la coordinación entre los programas de Curso de vida para transversalizar el componente de VIH en todas las intervenciones: derecho a la salud, género, privados de libertad, migrantes, niños</w:t>
            </w:r>
            <w:r w:rsidR="001C2AB3">
              <w:rPr>
                <w:lang w:val="es-NI"/>
              </w:rPr>
              <w:t xml:space="preserve"> </w:t>
            </w:r>
            <w:r w:rsidRPr="00DC496B">
              <w:rPr>
                <w:lang w:val="es-NI"/>
              </w:rPr>
              <w:t>adolescentes</w:t>
            </w:r>
            <w:r w:rsidR="001C2AB3">
              <w:rPr>
                <w:lang w:val="es-NI"/>
              </w:rPr>
              <w:t xml:space="preserve"> </w:t>
            </w:r>
            <w:r w:rsidRPr="00DC496B">
              <w:rPr>
                <w:lang w:val="es-NI"/>
              </w:rPr>
              <w:t>mujeres entre otros.</w:t>
            </w:r>
          </w:p>
          <w:p w14:paraId="515E66E8" w14:textId="3E25C29C" w:rsidR="00DC01DC" w:rsidRPr="00DC496B" w:rsidRDefault="00DC01DC" w:rsidP="00DC496B">
            <w:pPr>
              <w:jc w:val="both"/>
              <w:rPr>
                <w:lang w:val="es-NI"/>
              </w:rPr>
            </w:pPr>
            <w:r w:rsidRPr="00DC496B">
              <w:rPr>
                <w:lang w:val="es-NI"/>
              </w:rPr>
              <w:t>La descentralización de la TAR a los hospitales de Segundo Nivel tiene por objeto acercar el diagnóstico y tratamiento a la población en general. Los grupos de apoyo de cada hospital motivarán a mantener la adherencia y el auto</w:t>
            </w:r>
            <w:r w:rsidR="00D7543F">
              <w:rPr>
                <w:lang w:val="es-NI"/>
              </w:rPr>
              <w:t xml:space="preserve"> </w:t>
            </w:r>
            <w:r w:rsidRPr="00DC496B">
              <w:rPr>
                <w:lang w:val="es-NI"/>
              </w:rPr>
              <w:t xml:space="preserve">cuido de las personas con VIH.  Otras intervenciones para acercar el diagnóstico son las clínicas amigables que brindarán atención libre de estigma y discriminación a poblaciones clave. Por otro lado, se ofertará el </w:t>
            </w:r>
            <w:r w:rsidR="00D7543F">
              <w:rPr>
                <w:lang w:val="es-NI"/>
              </w:rPr>
              <w:t>auto prueba</w:t>
            </w:r>
            <w:r w:rsidRPr="00DC496B">
              <w:rPr>
                <w:lang w:val="es-NI"/>
              </w:rPr>
              <w:t xml:space="preserve"> en establecimientos de salud que no cuentan con laboratorio, incluidas las clínicas comunales del ISSS y personal de </w:t>
            </w:r>
            <w:r w:rsidR="00D7543F" w:rsidRPr="00DC496B">
              <w:rPr>
                <w:lang w:val="es-NI"/>
              </w:rPr>
              <w:t>las fuerzas armadas</w:t>
            </w:r>
            <w:r w:rsidRPr="00DC496B">
              <w:rPr>
                <w:lang w:val="es-NI"/>
              </w:rPr>
              <w:t xml:space="preserve"> destacados en zonas remotas </w:t>
            </w:r>
            <w:r w:rsidRPr="00DC496B">
              <w:rPr>
                <w:lang w:val="es-NI"/>
              </w:rPr>
              <w:lastRenderedPageBreak/>
              <w:t>(COSAM) y a través de las unidades móviles del RP de sociedad civil se ofertará pruebas a grupos de poblaciones clave en sitios de encuentro comunitario.</w:t>
            </w:r>
          </w:p>
          <w:p w14:paraId="3D9F5784" w14:textId="77777777" w:rsidR="00DC01DC" w:rsidRPr="00DC496B" w:rsidRDefault="00DC01DC" w:rsidP="00BA42C3">
            <w:pPr>
              <w:jc w:val="both"/>
              <w:rPr>
                <w:lang w:val="es-NI"/>
              </w:rPr>
            </w:pPr>
            <w:r w:rsidRPr="00DC496B">
              <w:rPr>
                <w:lang w:val="es-NI"/>
              </w:rPr>
              <w:t>Se trabaja en coordinación entre OSC y clínicas VICITS para programar actividades extramurales que faciliten el acceso a las pruebas, en esta nueva subvención se propone facilidades para la oferta de servicios en horarios no tradicionales</w:t>
            </w:r>
          </w:p>
          <w:p w14:paraId="38121845" w14:textId="4B7F1B70" w:rsidR="00DC01DC" w:rsidRPr="00DC496B" w:rsidRDefault="00DC01DC" w:rsidP="00BA42C3">
            <w:pPr>
              <w:jc w:val="both"/>
              <w:rPr>
                <w:rFonts w:cs="Arial"/>
                <w:lang w:bidi="es-ES"/>
              </w:rPr>
            </w:pPr>
            <w:r w:rsidRPr="00DC496B">
              <w:rPr>
                <w:lang w:val="es-NI"/>
              </w:rPr>
              <w:t xml:space="preserve">Por </w:t>
            </w:r>
            <w:r w:rsidR="001B2031" w:rsidRPr="00DC496B">
              <w:rPr>
                <w:lang w:val="es-NI"/>
              </w:rPr>
              <w:t>último,</w:t>
            </w:r>
            <w:r w:rsidRPr="00DC496B">
              <w:rPr>
                <w:lang w:val="es-NI"/>
              </w:rPr>
              <w:t xml:space="preserve"> los recursos con fondos domésticos han sido aumentados en forma progresiva, contribuyendo paulatinamente a la sostenibilidad de los logros alcanzados y al posicionamiento político estratégico de que la prevención y control del VIH constituye una prioridad de estado.</w:t>
            </w:r>
          </w:p>
        </w:tc>
      </w:tr>
    </w:tbl>
    <w:p w14:paraId="3D813572" w14:textId="77777777" w:rsidR="000E0ACF" w:rsidRPr="00A56294" w:rsidRDefault="000E0ACF" w:rsidP="000E0ACF">
      <w:pPr>
        <w:pStyle w:val="ListParagraph"/>
        <w:spacing w:after="0"/>
        <w:ind w:left="360"/>
        <w:jc w:val="both"/>
        <w:rPr>
          <w:rFonts w:cs="Arial"/>
          <w:bCs/>
          <w:iCs/>
          <w:lang w:val="es-NI"/>
        </w:rPr>
      </w:pPr>
    </w:p>
    <w:p w14:paraId="087D8184" w14:textId="1EE55158" w:rsidR="003962E5" w:rsidRPr="00DC496B" w:rsidRDefault="00323FC5" w:rsidP="00A56294">
      <w:pPr>
        <w:pStyle w:val="ListParagraph"/>
        <w:numPr>
          <w:ilvl w:val="0"/>
          <w:numId w:val="23"/>
        </w:numPr>
        <w:spacing w:after="0"/>
        <w:ind w:left="360"/>
        <w:rPr>
          <w:rFonts w:cs="Arial"/>
        </w:rPr>
      </w:pPr>
      <w:r w:rsidRPr="00DC496B">
        <w:rPr>
          <w:rFonts w:eastAsia="Calibri"/>
          <w:lang w:bidi="es-ES"/>
        </w:rPr>
        <w:t xml:space="preserve">Explique brevemente cómo su solicitud cumple con los requisitos estipulados en su carta de asignación de financiamiento respecto del nivel de </w:t>
      </w:r>
      <w:r w:rsidRPr="00DC496B">
        <w:rPr>
          <w:rFonts w:eastAsia="Calibri"/>
          <w:b/>
          <w:lang w:bidi="es-ES"/>
        </w:rPr>
        <w:t>enfoque en la aplicación de recursos</w:t>
      </w:r>
      <w:r w:rsidRPr="00DC496B">
        <w:rPr>
          <w:rFonts w:eastAsia="Calibri"/>
          <w:lang w:bidi="es-ES"/>
        </w:rPr>
        <w:t>.</w:t>
      </w:r>
    </w:p>
    <w:tbl>
      <w:tblPr>
        <w:tblStyle w:val="TableGrid"/>
        <w:tblW w:w="0" w:type="auto"/>
        <w:tblLook w:val="04A0" w:firstRow="1" w:lastRow="0" w:firstColumn="1" w:lastColumn="0" w:noHBand="0" w:noVBand="1"/>
      </w:tblPr>
      <w:tblGrid>
        <w:gridCol w:w="10456"/>
      </w:tblGrid>
      <w:tr w:rsidR="00C07F83" w14:paraId="4DBEFCEF" w14:textId="77777777" w:rsidTr="00C07F83">
        <w:tc>
          <w:tcPr>
            <w:tcW w:w="10456" w:type="dxa"/>
          </w:tcPr>
          <w:p w14:paraId="16CE190C" w14:textId="0A8C821C" w:rsidR="00DC496B" w:rsidRDefault="00DC496B" w:rsidP="00DC496B">
            <w:pPr>
              <w:jc w:val="both"/>
              <w:rPr>
                <w:lang w:val="es-NI"/>
              </w:rPr>
            </w:pPr>
            <w:r w:rsidRPr="003639C2">
              <w:rPr>
                <w:lang w:val="es-NI"/>
              </w:rPr>
              <w:t>El Salvador es un país catalogado con una epidemia concentrada, en donde las poblaciones más afectadas por la enfermedad son los Hombres que tienen sexo con hombres, mujeres trans y trabajadoras sexuales, los datos epidemiológicos muestran una</w:t>
            </w:r>
            <w:r>
              <w:rPr>
                <w:lang w:val="es-NI"/>
              </w:rPr>
              <w:t>s</w:t>
            </w:r>
            <w:r w:rsidRPr="003639C2">
              <w:rPr>
                <w:lang w:val="es-NI"/>
              </w:rPr>
              <w:t xml:space="preserve"> prevalencias</w:t>
            </w:r>
            <w:r>
              <w:rPr>
                <w:lang w:val="es-NI"/>
              </w:rPr>
              <w:t xml:space="preserve"> para el año 2019</w:t>
            </w:r>
            <w:r w:rsidRPr="003639C2">
              <w:rPr>
                <w:lang w:val="es-NI"/>
              </w:rPr>
              <w:t xml:space="preserve"> de</w:t>
            </w:r>
            <w:r>
              <w:rPr>
                <w:lang w:val="es-NI"/>
              </w:rPr>
              <w:t xml:space="preserve"> 10.5%, 16.2% y 8.1% respectivamente</w:t>
            </w:r>
            <w:r w:rsidR="00424489">
              <w:rPr>
                <w:lang w:val="es-NI"/>
              </w:rPr>
              <w:t xml:space="preserve"> </w:t>
            </w:r>
            <w:r w:rsidR="00B150CF" w:rsidRPr="00424489">
              <w:rPr>
                <w:lang w:val="es-NI"/>
              </w:rPr>
              <w:t>[Anexo 1.</w:t>
            </w:r>
            <w:r w:rsidR="00677139" w:rsidRPr="00424489">
              <w:rPr>
                <w:lang w:val="es-NI"/>
              </w:rPr>
              <w:t>3</w:t>
            </w:r>
            <w:r w:rsidR="0048021D" w:rsidRPr="00424489">
              <w:rPr>
                <w:lang w:val="es-NI"/>
              </w:rPr>
              <w:t>1</w:t>
            </w:r>
            <w:r w:rsidR="00B150CF" w:rsidRPr="00424489">
              <w:rPr>
                <w:lang w:val="es-NI"/>
              </w:rPr>
              <w:t>]</w:t>
            </w:r>
            <w:r w:rsidR="00424489">
              <w:rPr>
                <w:lang w:val="es-NI"/>
              </w:rPr>
              <w:t>.</w:t>
            </w:r>
            <w:r w:rsidRPr="00424489">
              <w:rPr>
                <w:lang w:val="es-NI"/>
              </w:rPr>
              <w:t xml:space="preserve"> Los</w:t>
            </w:r>
            <w:r>
              <w:rPr>
                <w:lang w:val="es-NI"/>
              </w:rPr>
              <w:t xml:space="preserve"> datos de la cascada del continuo de atención del año 2019 evidencian el esfuerzo que el país está realizando por cumplir con los compromisos globales, encontrando un 72% de diagnóstico, 37% de tratamiento y 33% de supresión de carga viral. </w:t>
            </w:r>
          </w:p>
          <w:p w14:paraId="7BA393A2" w14:textId="77777777" w:rsidR="00DC496B" w:rsidRDefault="00DC496B" w:rsidP="00DC496B">
            <w:pPr>
              <w:jc w:val="both"/>
              <w:rPr>
                <w:lang w:val="es-NI"/>
              </w:rPr>
            </w:pPr>
            <w:r>
              <w:rPr>
                <w:lang w:val="es-NI"/>
              </w:rPr>
              <w:t>La pandemia de COVID-19 permitió una ventana de oportunidades que potenciaron las actividades que ya se venían ejecutando en el país:</w:t>
            </w:r>
          </w:p>
          <w:p w14:paraId="4D63A97C" w14:textId="77777777" w:rsidR="00DC496B" w:rsidRPr="00C409F7" w:rsidRDefault="00DC496B" w:rsidP="00617951">
            <w:pPr>
              <w:pStyle w:val="ListParagraph"/>
              <w:numPr>
                <w:ilvl w:val="0"/>
                <w:numId w:val="28"/>
              </w:numPr>
              <w:spacing w:after="0"/>
              <w:jc w:val="both"/>
              <w:rPr>
                <w:lang w:val="es-NI"/>
              </w:rPr>
            </w:pPr>
            <w:r w:rsidRPr="00C409F7">
              <w:rPr>
                <w:lang w:val="es-NI"/>
              </w:rPr>
              <w:t>La derivación de pacientes del Hospital Saldaña</w:t>
            </w:r>
            <w:r>
              <w:rPr>
                <w:lang w:val="es-NI"/>
              </w:rPr>
              <w:t>,</w:t>
            </w:r>
            <w:r w:rsidRPr="00C409F7">
              <w:rPr>
                <w:lang w:val="es-NI"/>
              </w:rPr>
              <w:t xml:space="preserve"> los cuales durante este tiempo fueron trasladados a una Unidad Comunitaria de Salud Familiar para no interrumpir sus atenciones; </w:t>
            </w:r>
          </w:p>
          <w:p w14:paraId="0369C8CD" w14:textId="77777777" w:rsidR="00DC496B" w:rsidRDefault="00DC496B" w:rsidP="00617951">
            <w:pPr>
              <w:pStyle w:val="ListParagraph"/>
              <w:numPr>
                <w:ilvl w:val="0"/>
                <w:numId w:val="28"/>
              </w:numPr>
              <w:ind w:left="714" w:hanging="357"/>
              <w:contextualSpacing w:val="0"/>
              <w:jc w:val="both"/>
              <w:rPr>
                <w:lang w:val="es-NI"/>
              </w:rPr>
            </w:pPr>
            <w:r w:rsidRPr="00A82760">
              <w:rPr>
                <w:lang w:val="es-NI"/>
              </w:rPr>
              <w:t xml:space="preserve">la dispensación multimensual de antirretrovirales con lo cual se facilita la </w:t>
            </w:r>
            <w:r w:rsidRPr="00B3309E">
              <w:rPr>
                <w:lang w:val="es-NI"/>
              </w:rPr>
              <w:t>accesibilidad a la terapia antirretr</w:t>
            </w:r>
            <w:r w:rsidRPr="00A82760">
              <w:rPr>
                <w:lang w:val="es-NI"/>
              </w:rPr>
              <w:t xml:space="preserve">oviral y se evita la exposición al COVID-19, </w:t>
            </w:r>
          </w:p>
          <w:p w14:paraId="0C491048" w14:textId="77777777" w:rsidR="00DC496B" w:rsidRDefault="00DC496B" w:rsidP="00617951">
            <w:pPr>
              <w:pStyle w:val="ListParagraph"/>
              <w:numPr>
                <w:ilvl w:val="0"/>
                <w:numId w:val="28"/>
              </w:numPr>
              <w:jc w:val="both"/>
              <w:rPr>
                <w:lang w:val="es-NI"/>
              </w:rPr>
            </w:pPr>
            <w:r w:rsidRPr="00A82760">
              <w:rPr>
                <w:lang w:val="es-NI"/>
              </w:rPr>
              <w:t>se implementó la entrega domiciliar de medicamentos por parte d</w:t>
            </w:r>
            <w:r w:rsidRPr="00B3309E">
              <w:rPr>
                <w:lang w:val="es-NI"/>
              </w:rPr>
              <w:t>el MINSAL con lo cual se acercó la terapia a los usuarios</w:t>
            </w:r>
            <w:r>
              <w:rPr>
                <w:lang w:val="es-NI"/>
              </w:rPr>
              <w:t>.</w:t>
            </w:r>
          </w:p>
          <w:p w14:paraId="6A024949" w14:textId="77777777" w:rsidR="00DC496B" w:rsidRPr="00B3309E" w:rsidRDefault="00DC496B" w:rsidP="00DC496B">
            <w:pPr>
              <w:jc w:val="both"/>
              <w:rPr>
                <w:lang w:val="es-NI"/>
              </w:rPr>
            </w:pPr>
            <w:r w:rsidRPr="00E93995">
              <w:rPr>
                <w:lang w:val="es-NI"/>
              </w:rPr>
              <w:t>Estas acciones han fo</w:t>
            </w:r>
            <w:r w:rsidRPr="00752619">
              <w:rPr>
                <w:lang w:val="es-NI"/>
              </w:rPr>
              <w:t>rtalecido las estrategias de adherencia que el país estaba realizando por medio de las organizaciones de la Sociedad Civil</w:t>
            </w:r>
            <w:r>
              <w:rPr>
                <w:lang w:val="es-NI"/>
              </w:rPr>
              <w:t>. A</w:t>
            </w:r>
            <w:r w:rsidRPr="00752619">
              <w:rPr>
                <w:lang w:val="es-NI"/>
              </w:rPr>
              <w:t>demás, se contin</w:t>
            </w:r>
            <w:r>
              <w:rPr>
                <w:lang w:val="es-NI"/>
              </w:rPr>
              <w:t>ú</w:t>
            </w:r>
            <w:r w:rsidRPr="00752619">
              <w:rPr>
                <w:lang w:val="es-NI"/>
              </w:rPr>
              <w:t>a con la sinergia en el trabajo conjunto ya que se ha realizado u</w:t>
            </w:r>
            <w:r w:rsidRPr="00B3309E">
              <w:rPr>
                <w:lang w:val="es-NI"/>
              </w:rPr>
              <w:t>na estrecha colaboración entre los socios implementadores de los proyectos financiados por PEPFAR y MINSAL para evitar la duplicidad de acciones.</w:t>
            </w:r>
          </w:p>
          <w:p w14:paraId="74C25905" w14:textId="77777777" w:rsidR="00DC496B" w:rsidRDefault="00DC496B" w:rsidP="00DC496B">
            <w:pPr>
              <w:jc w:val="both"/>
              <w:rPr>
                <w:lang w:val="es-NI"/>
              </w:rPr>
            </w:pPr>
            <w:r>
              <w:rPr>
                <w:lang w:val="es-NI"/>
              </w:rPr>
              <w:t>En este marco la solicitud de financiamiento se ha priorizado más del 50% de la inversión en poblaciones clave a través de las siguientes intervenciones:</w:t>
            </w:r>
          </w:p>
          <w:p w14:paraId="5EDE1D69" w14:textId="77777777" w:rsidR="00DC496B" w:rsidRDefault="00DC496B" w:rsidP="00617951">
            <w:pPr>
              <w:numPr>
                <w:ilvl w:val="0"/>
                <w:numId w:val="32"/>
              </w:numPr>
              <w:jc w:val="both"/>
              <w:rPr>
                <w:lang w:val="es-NI"/>
              </w:rPr>
            </w:pPr>
            <w:r>
              <w:rPr>
                <w:lang w:val="es-NI"/>
              </w:rPr>
              <w:t>Profilaxis Pre-Exposición</w:t>
            </w:r>
          </w:p>
          <w:p w14:paraId="0A1B2415" w14:textId="5605911C" w:rsidR="00DC496B" w:rsidRDefault="00D7543F" w:rsidP="00617951">
            <w:pPr>
              <w:numPr>
                <w:ilvl w:val="0"/>
                <w:numId w:val="32"/>
              </w:numPr>
              <w:jc w:val="both"/>
              <w:rPr>
                <w:lang w:val="es-NI"/>
              </w:rPr>
            </w:pPr>
            <w:r>
              <w:rPr>
                <w:lang w:val="es-NI"/>
              </w:rPr>
              <w:t>Auto prueba</w:t>
            </w:r>
            <w:r w:rsidR="00DC496B">
              <w:rPr>
                <w:lang w:val="es-NI"/>
              </w:rPr>
              <w:t xml:space="preserve"> de VIH</w:t>
            </w:r>
          </w:p>
          <w:p w14:paraId="4E43F26D" w14:textId="77777777" w:rsidR="00DC496B" w:rsidRDefault="00DC496B" w:rsidP="00617951">
            <w:pPr>
              <w:numPr>
                <w:ilvl w:val="0"/>
                <w:numId w:val="32"/>
              </w:numPr>
              <w:jc w:val="both"/>
              <w:rPr>
                <w:lang w:val="es-NI"/>
              </w:rPr>
            </w:pPr>
            <w:r>
              <w:rPr>
                <w:lang w:val="es-NI"/>
              </w:rPr>
              <w:t>Nuevo algoritmo diagnostico</w:t>
            </w:r>
          </w:p>
          <w:p w14:paraId="1FB80D4D" w14:textId="77777777" w:rsidR="00DC496B" w:rsidRDefault="00DC496B" w:rsidP="00617951">
            <w:pPr>
              <w:numPr>
                <w:ilvl w:val="0"/>
                <w:numId w:val="32"/>
              </w:numPr>
              <w:jc w:val="both"/>
              <w:rPr>
                <w:lang w:val="es-NI"/>
              </w:rPr>
            </w:pPr>
            <w:r>
              <w:rPr>
                <w:lang w:val="es-NI"/>
              </w:rPr>
              <w:t>Paquetes de prevención</w:t>
            </w:r>
          </w:p>
          <w:p w14:paraId="72E3044F" w14:textId="77777777" w:rsidR="00DC496B" w:rsidRDefault="00DC496B" w:rsidP="00617951">
            <w:pPr>
              <w:numPr>
                <w:ilvl w:val="0"/>
                <w:numId w:val="32"/>
              </w:numPr>
              <w:jc w:val="both"/>
              <w:rPr>
                <w:lang w:val="es-NI"/>
              </w:rPr>
            </w:pPr>
            <w:r>
              <w:rPr>
                <w:lang w:val="es-NI"/>
              </w:rPr>
              <w:t>Intervenciones de cambios de comportamiento</w:t>
            </w:r>
          </w:p>
          <w:p w14:paraId="0A293387" w14:textId="34A5AD8A" w:rsidR="00DC496B" w:rsidRDefault="00DC496B" w:rsidP="00617951">
            <w:pPr>
              <w:numPr>
                <w:ilvl w:val="0"/>
                <w:numId w:val="32"/>
              </w:numPr>
              <w:jc w:val="both"/>
              <w:rPr>
                <w:lang w:val="es-NI"/>
              </w:rPr>
            </w:pPr>
            <w:r>
              <w:rPr>
                <w:lang w:val="es-NI"/>
              </w:rPr>
              <w:t>Notificación asistida de parejas</w:t>
            </w:r>
          </w:p>
          <w:p w14:paraId="51EEB5BD" w14:textId="170E325B" w:rsidR="00C07F83" w:rsidRPr="00DC496B" w:rsidRDefault="00DC496B" w:rsidP="00617951">
            <w:pPr>
              <w:numPr>
                <w:ilvl w:val="0"/>
                <w:numId w:val="32"/>
              </w:numPr>
              <w:jc w:val="both"/>
              <w:rPr>
                <w:lang w:val="es-NI"/>
              </w:rPr>
            </w:pPr>
            <w:r>
              <w:rPr>
                <w:lang w:val="es-NI"/>
              </w:rPr>
              <w:t>Búsqueda de contactos</w:t>
            </w:r>
          </w:p>
        </w:tc>
      </w:tr>
    </w:tbl>
    <w:p w14:paraId="7E6105F2" w14:textId="77777777" w:rsidR="00C07F83" w:rsidRPr="00B271DB" w:rsidRDefault="00C07F83" w:rsidP="00485066">
      <w:pPr>
        <w:pStyle w:val="ListParagraph"/>
        <w:ind w:left="360"/>
        <w:rPr>
          <w:rFonts w:cs="Arial"/>
          <w:bCs/>
        </w:rPr>
      </w:pPr>
    </w:p>
    <w:p w14:paraId="69234B11" w14:textId="3377F50F" w:rsidR="00371324" w:rsidRPr="00371324" w:rsidRDefault="00371324" w:rsidP="00025BC8">
      <w:pPr>
        <w:pStyle w:val="ListParagraph"/>
        <w:numPr>
          <w:ilvl w:val="0"/>
          <w:numId w:val="23"/>
        </w:numPr>
        <w:ind w:left="450"/>
        <w:jc w:val="both"/>
        <w:rPr>
          <w:rStyle w:val="normaltextrun"/>
          <w:rFonts w:eastAsia="Times New Roman" w:cs="Arial"/>
        </w:rPr>
      </w:pPr>
      <w:r w:rsidRPr="00371324">
        <w:rPr>
          <w:rStyle w:val="normaltextrun"/>
        </w:rPr>
        <w:t xml:space="preserve">Explique cómo esta solicitud de financiamiento refleja la </w:t>
      </w:r>
      <w:r w:rsidRPr="00371324">
        <w:rPr>
          <w:rStyle w:val="normaltextrun"/>
          <w:b/>
        </w:rPr>
        <w:t xml:space="preserve">relación inversión-resultado positiva </w:t>
      </w:r>
      <w:r w:rsidRPr="00371324">
        <w:rPr>
          <w:b/>
          <w:lang w:bidi="es-ES"/>
        </w:rPr>
        <w:t>(en inglés "</w:t>
      </w:r>
      <w:r w:rsidR="000F4C67" w:rsidRPr="00371324">
        <w:rPr>
          <w:b/>
          <w:lang w:bidi="es-ES"/>
        </w:rPr>
        <w:t>valué</w:t>
      </w:r>
      <w:r w:rsidRPr="00371324">
        <w:rPr>
          <w:b/>
          <w:lang w:bidi="es-ES"/>
        </w:rPr>
        <w:t xml:space="preserve"> for money”)</w:t>
      </w:r>
      <w:r w:rsidRPr="00371324">
        <w:rPr>
          <w:rStyle w:val="normaltextrun"/>
          <w:b/>
        </w:rPr>
        <w:t>,</w:t>
      </w:r>
      <w:r w:rsidRPr="00371324">
        <w:rPr>
          <w:rStyle w:val="normaltextrun"/>
        </w:rPr>
        <w:t xml:space="preserve"> </w:t>
      </w:r>
      <w:r w:rsidR="00BA1812" w:rsidRPr="00BA1812">
        <w:rPr>
          <w:rStyle w:val="normaltextrun"/>
        </w:rPr>
        <w:t xml:space="preserve">incluyendo ejemplos de mejoras de esta relación inversión-resultado en comparación con el período de asignación actual. Para responder, consulte las </w:t>
      </w:r>
      <w:r w:rsidR="00BA1812" w:rsidRPr="00BA1812">
        <w:rPr>
          <w:rStyle w:val="normaltextrun"/>
          <w:i/>
        </w:rPr>
        <w:t>Instrucciones</w:t>
      </w:r>
      <w:r w:rsidR="00BA1812" w:rsidRPr="00BA1812">
        <w:rPr>
          <w:rStyle w:val="normaltextrun"/>
        </w:rPr>
        <w:t xml:space="preserve"> sobre los aspectos de la relación inversión-resultado que deben tenerse en cuenta.</w:t>
      </w:r>
    </w:p>
    <w:tbl>
      <w:tblPr>
        <w:tblStyle w:val="TableGrid"/>
        <w:tblW w:w="0" w:type="auto"/>
        <w:tblLook w:val="04A0" w:firstRow="1" w:lastRow="0" w:firstColumn="1" w:lastColumn="0" w:noHBand="0" w:noVBand="1"/>
      </w:tblPr>
      <w:tblGrid>
        <w:gridCol w:w="10456"/>
      </w:tblGrid>
      <w:tr w:rsidR="00485066" w:rsidRPr="00A56294" w14:paraId="7F7FF100" w14:textId="77777777" w:rsidTr="00DC496B">
        <w:tc>
          <w:tcPr>
            <w:tcW w:w="10456" w:type="dxa"/>
          </w:tcPr>
          <w:p w14:paraId="4CF7E0E8" w14:textId="7CC0D967" w:rsidR="00DC496B" w:rsidRPr="00DC496B" w:rsidRDefault="00DC496B" w:rsidP="00DC496B">
            <w:pPr>
              <w:ind w:left="360"/>
              <w:jc w:val="both"/>
              <w:rPr>
                <w:lang w:bidi="es-ES"/>
              </w:rPr>
            </w:pPr>
            <w:r w:rsidRPr="00DC496B">
              <w:rPr>
                <w:lang w:bidi="es-ES"/>
              </w:rPr>
              <w:t xml:space="preserve">En esta nueva solicitud de financiamiento se ha planteado intervenciones creativas que generan impacto en el control del VIH, principalmente en las poblaciones claves, que, por el riesgo y vulnerabilidad, han sido priorizadas con la asignación de más del 50% de esta solicitud. Algunas de </w:t>
            </w:r>
            <w:r w:rsidR="003702B8" w:rsidRPr="00DC496B">
              <w:rPr>
                <w:lang w:bidi="es-ES"/>
              </w:rPr>
              <w:t>las intervenciones</w:t>
            </w:r>
            <w:r w:rsidRPr="00DC496B">
              <w:rPr>
                <w:lang w:bidi="es-ES"/>
              </w:rPr>
              <w:t xml:space="preserve"> creativas incluyen la búsqueda de casos positivos con acciones como notificación asistida a parejas, búsqueda de contactos, acceso a la PrEP, auto prueba de VIH, descentralización de cuidado y tratamiento proyectadas para generar impacto, sin dejar de lado la inversión en </w:t>
            </w:r>
            <w:r w:rsidRPr="00DC496B">
              <w:rPr>
                <w:lang w:bidi="es-ES"/>
              </w:rPr>
              <w:lastRenderedPageBreak/>
              <w:t>Prevención de Transmisión Materno Infantil. Bajo el marco de derechos humanos se pretende facilitar el acceso universal de forma gratuita, la prevención, atención del VIH e Infecciones oportunistas, así como tratamiento antirretroviral con medicamentos de calidad.</w:t>
            </w:r>
          </w:p>
          <w:p w14:paraId="5C7BF62D" w14:textId="77777777" w:rsidR="00DC496B" w:rsidRPr="00DC496B" w:rsidRDefault="00DC496B" w:rsidP="00DC496B">
            <w:pPr>
              <w:ind w:left="360"/>
              <w:jc w:val="both"/>
              <w:rPr>
                <w:lang w:val="es-NI"/>
              </w:rPr>
            </w:pPr>
            <w:r w:rsidRPr="00DC496B">
              <w:rPr>
                <w:lang w:val="es-NI"/>
              </w:rPr>
              <w:t>Para el año 2019, se ha evidenciado que la prevalencia de VIH de las poblaciones HSH y Mujeres trans en las VICITS ha incrementado, lo que ha sido tomado en cuenta para priorizar la inversión en prevención y atención del VIH en estas poblaciones, a través de las siguientes acciones:</w:t>
            </w:r>
          </w:p>
          <w:p w14:paraId="1AA00AA5" w14:textId="62AA9DE5" w:rsidR="00DC496B" w:rsidRPr="00DC496B" w:rsidRDefault="00DC496B" w:rsidP="00617951">
            <w:pPr>
              <w:pStyle w:val="ListParagraph"/>
              <w:numPr>
                <w:ilvl w:val="0"/>
                <w:numId w:val="66"/>
              </w:numPr>
              <w:ind w:left="1077" w:hanging="357"/>
              <w:contextualSpacing w:val="0"/>
              <w:jc w:val="both"/>
              <w:rPr>
                <w:lang w:val="es-NI"/>
              </w:rPr>
            </w:pPr>
            <w:r w:rsidRPr="00DC496B">
              <w:rPr>
                <w:lang w:val="es-NI"/>
              </w:rPr>
              <w:t xml:space="preserve">Inversión en la implementación de una adaptación de la Estrategia de Prevención Combinada, dirigida a las poblaciones claves, la cual se realizará a través del abordaje cara a cara, bajo las diferentes modalidades con Sub receptores para la entrega de paquetes de prevención diferenciados para cada población. </w:t>
            </w:r>
          </w:p>
          <w:p w14:paraId="08C51DCF" w14:textId="552CC3DC" w:rsidR="00DC496B" w:rsidRPr="00DC496B" w:rsidRDefault="00DC496B" w:rsidP="00617951">
            <w:pPr>
              <w:pStyle w:val="ListParagraph"/>
              <w:numPr>
                <w:ilvl w:val="0"/>
                <w:numId w:val="66"/>
              </w:numPr>
              <w:ind w:left="1077" w:hanging="357"/>
              <w:contextualSpacing w:val="0"/>
              <w:jc w:val="both"/>
              <w:rPr>
                <w:lang w:val="es-NI"/>
              </w:rPr>
            </w:pPr>
            <w:r w:rsidRPr="00DC496B">
              <w:rPr>
                <w:lang w:val="es-NI"/>
              </w:rPr>
              <w:t xml:space="preserve">Intervenciones creativas a través de servicios diferenciados de diagnóstico de VIH, para encontrar mayor número de casos positivos, ambos implementadores trabajarán con las intervenciones de la notificación asistida de parejas y búsqueda contactos de poblaciones claves, cuyos procedimientos están establecidos en los lineamientos, para ampliar la cobertura y obtener mayor número de casos y la vinculación a los hospitales. </w:t>
            </w:r>
          </w:p>
          <w:p w14:paraId="0D1534B7" w14:textId="581DDAC1" w:rsidR="00DC496B" w:rsidRPr="00DC496B" w:rsidRDefault="00DC496B" w:rsidP="00617951">
            <w:pPr>
              <w:pStyle w:val="ListParagraph"/>
              <w:numPr>
                <w:ilvl w:val="0"/>
                <w:numId w:val="66"/>
              </w:numPr>
              <w:ind w:left="1077" w:hanging="357"/>
              <w:contextualSpacing w:val="0"/>
              <w:jc w:val="both"/>
              <w:rPr>
                <w:lang w:val="es-NI"/>
              </w:rPr>
            </w:pPr>
            <w:r w:rsidRPr="00DC496B">
              <w:rPr>
                <w:lang w:val="es-NI"/>
              </w:rPr>
              <w:t>La adquisición de productos de salud y otros insumos a través de organismos de compras conjuntas como lo es Fondos Estratégicos OPS</w:t>
            </w:r>
            <w:r w:rsidR="00B150CF">
              <w:rPr>
                <w:lang w:val="es-NI"/>
              </w:rPr>
              <w:t>, PNUD</w:t>
            </w:r>
            <w:r w:rsidRPr="00DC496B">
              <w:rPr>
                <w:lang w:val="es-NI"/>
              </w:rPr>
              <w:t xml:space="preserve"> y Wambo que permiten una eficacia y eficiencia en los procesos de compra con los fondos de la subvención y del país en adquirir productos de calidad a precios accesibles</w:t>
            </w:r>
            <w:r w:rsidRPr="00424489">
              <w:rPr>
                <w:lang w:val="es-NI"/>
              </w:rPr>
              <w:t>.</w:t>
            </w:r>
            <w:r w:rsidR="00F406CC" w:rsidRPr="00424489">
              <w:rPr>
                <w:lang w:val="es-NI"/>
              </w:rPr>
              <w:t xml:space="preserve"> [Anexo </w:t>
            </w:r>
            <w:r w:rsidR="00764F86" w:rsidRPr="00424489">
              <w:rPr>
                <w:lang w:val="es-NI"/>
              </w:rPr>
              <w:t>1.32</w:t>
            </w:r>
            <w:r w:rsidR="00F406CC" w:rsidRPr="00424489">
              <w:rPr>
                <w:lang w:val="es-NI"/>
              </w:rPr>
              <w:t>]</w:t>
            </w:r>
          </w:p>
          <w:p w14:paraId="019411E6" w14:textId="65D9E154" w:rsidR="00DC496B" w:rsidRPr="00DC496B" w:rsidRDefault="00DC496B" w:rsidP="00153791">
            <w:pPr>
              <w:pStyle w:val="ListParagraph"/>
              <w:numPr>
                <w:ilvl w:val="0"/>
                <w:numId w:val="66"/>
              </w:numPr>
              <w:ind w:left="1077" w:hanging="357"/>
              <w:contextualSpacing w:val="0"/>
              <w:jc w:val="both"/>
              <w:rPr>
                <w:lang w:val="es-NI"/>
              </w:rPr>
            </w:pPr>
            <w:r w:rsidRPr="00DC496B">
              <w:rPr>
                <w:lang w:val="es-NI"/>
              </w:rPr>
              <w:t xml:space="preserve">Fortalecimiento de la oportunidad diagnóstica en las PPL, a través del acceso universal a través del tamizaje con la prueba rápida del VIH, lo que permite una atención sanitaria de equidad a estas poblaciones que han perdido sus derechos civiles mas no así el derecho a la salud. </w:t>
            </w:r>
          </w:p>
          <w:p w14:paraId="01CCF755" w14:textId="4B85E28C" w:rsidR="00485066" w:rsidRPr="00DC496B" w:rsidRDefault="00DC496B" w:rsidP="00153791">
            <w:pPr>
              <w:pStyle w:val="ListParagraph"/>
              <w:numPr>
                <w:ilvl w:val="0"/>
                <w:numId w:val="66"/>
              </w:numPr>
              <w:jc w:val="both"/>
              <w:rPr>
                <w:rFonts w:cs="Arial"/>
                <w:lang w:val="es-NI"/>
              </w:rPr>
            </w:pPr>
            <w:r w:rsidRPr="00DC496B">
              <w:rPr>
                <w:lang w:val="es-NI"/>
              </w:rPr>
              <w:t>Integración y sinergia de la respuesta del VIH con apoyo de la multi</w:t>
            </w:r>
            <w:r w:rsidR="00153791">
              <w:rPr>
                <w:lang w:val="es-NI"/>
              </w:rPr>
              <w:t xml:space="preserve"> </w:t>
            </w:r>
            <w:r w:rsidRPr="00DC496B">
              <w:rPr>
                <w:lang w:val="es-NI"/>
              </w:rPr>
              <w:t xml:space="preserve">sectorialidad, en coordinación con las </w:t>
            </w:r>
            <w:r w:rsidR="005F7BFB" w:rsidRPr="00DC496B">
              <w:rPr>
                <w:lang w:val="es-NI"/>
              </w:rPr>
              <w:t>ONGs</w:t>
            </w:r>
            <w:r w:rsidRPr="00DC496B">
              <w:rPr>
                <w:lang w:val="es-NI"/>
              </w:rPr>
              <w:t xml:space="preserve"> Sub receptoras, y OSC, capacitados en actividades de prevención y control del VIH como parte del empoderamiento y sensibilización de los afectados por el VIH, para mejorar la atención y garantizar la optimización de los recursos.</w:t>
            </w:r>
          </w:p>
        </w:tc>
      </w:tr>
    </w:tbl>
    <w:p w14:paraId="6A4D81D0" w14:textId="5154001E" w:rsidR="00485066" w:rsidRPr="00DC496B" w:rsidRDefault="00485066" w:rsidP="002A267C">
      <w:pPr>
        <w:rPr>
          <w:rFonts w:cs="Arial"/>
          <w:bCs/>
          <w:lang w:val="es-NI"/>
        </w:rPr>
      </w:pPr>
    </w:p>
    <w:p w14:paraId="283B565F" w14:textId="76BC8397" w:rsidR="001D57CE" w:rsidRPr="00841157" w:rsidRDefault="00323FC5" w:rsidP="003962E5">
      <w:pPr>
        <w:pStyle w:val="Heading2"/>
        <w:keepLines w:val="0"/>
        <w:numPr>
          <w:ilvl w:val="1"/>
          <w:numId w:val="18"/>
        </w:numPr>
        <w:shd w:val="clear" w:color="auto" w:fill="D9D9D9"/>
        <w:spacing w:before="0" w:after="0" w:line="257" w:lineRule="auto"/>
        <w:jc w:val="both"/>
      </w:pPr>
      <w:r>
        <w:rPr>
          <w:rFonts w:eastAsia="Times New Roman"/>
          <w:lang w:bidi="es-ES"/>
        </w:rPr>
        <w:t>Fondos en contrapartida (en inglés “Matching Funds”)</w:t>
      </w:r>
      <w:r w:rsidR="008D0B88" w:rsidRPr="009A63DB">
        <w:rPr>
          <w:rFonts w:eastAsia="Times New Roman"/>
          <w:lang w:bidi="es-ES"/>
        </w:rPr>
        <w:t xml:space="preserve"> (si procede)</w:t>
      </w:r>
    </w:p>
    <w:p w14:paraId="2F558209" w14:textId="05EC5584" w:rsidR="00F112AD" w:rsidRPr="00841157" w:rsidRDefault="00F112AD" w:rsidP="003962E5">
      <w:pPr>
        <w:spacing w:after="0" w:line="257" w:lineRule="auto"/>
        <w:jc w:val="both"/>
        <w:rPr>
          <w:lang w:eastAsia="en-GB"/>
        </w:rPr>
      </w:pPr>
      <w:r>
        <w:rPr>
          <w:lang w:bidi="es-ES"/>
        </w:rPr>
        <w:t xml:space="preserve">Esta pregunta solo es pertinente para los solicitantes con fondos </w:t>
      </w:r>
      <w:r w:rsidR="00323FC5">
        <w:rPr>
          <w:lang w:bidi="es-ES"/>
        </w:rPr>
        <w:t>en contrapartida</w:t>
      </w:r>
      <w:r>
        <w:rPr>
          <w:lang w:bidi="es-ES"/>
        </w:rPr>
        <w:t xml:space="preserve"> asignados, tal y como se señala en </w:t>
      </w:r>
      <w:r w:rsidR="00F877E4">
        <w:rPr>
          <w:lang w:bidi="es-ES"/>
        </w:rPr>
        <w:t>su</w:t>
      </w:r>
      <w:r>
        <w:rPr>
          <w:lang w:bidi="es-ES"/>
        </w:rPr>
        <w:t xml:space="preserve"> carta de asignación. </w:t>
      </w:r>
    </w:p>
    <w:p w14:paraId="31C1A032" w14:textId="418F8250" w:rsidR="006253D6" w:rsidRPr="00841157" w:rsidRDefault="00F112AD" w:rsidP="00E173E1">
      <w:pPr>
        <w:spacing w:before="120" w:line="257" w:lineRule="auto"/>
        <w:jc w:val="both"/>
        <w:rPr>
          <w:rFonts w:cs="Arial"/>
          <w:bCs/>
        </w:rPr>
      </w:pPr>
      <w:r>
        <w:rPr>
          <w:lang w:bidi="es-ES"/>
        </w:rPr>
        <w:t xml:space="preserve">Especifique cómo se han cumplido las </w:t>
      </w:r>
      <w:r>
        <w:rPr>
          <w:b/>
          <w:lang w:bidi="es-ES"/>
        </w:rPr>
        <w:t>condiciones programáticas y financieras</w:t>
      </w:r>
      <w:r>
        <w:rPr>
          <w:lang w:bidi="es-ES"/>
        </w:rPr>
        <w:t xml:space="preserve"> que se describen en la carta de asignación. </w:t>
      </w:r>
    </w:p>
    <w:tbl>
      <w:tblPr>
        <w:tblStyle w:val="TableGrid"/>
        <w:tblW w:w="0" w:type="auto"/>
        <w:tblLook w:val="04A0" w:firstRow="1" w:lastRow="0" w:firstColumn="1" w:lastColumn="0" w:noHBand="0" w:noVBand="1"/>
      </w:tblPr>
      <w:tblGrid>
        <w:gridCol w:w="10456"/>
      </w:tblGrid>
      <w:tr w:rsidR="006253D6" w14:paraId="7F8F06C0" w14:textId="77777777" w:rsidTr="005279BC">
        <w:tc>
          <w:tcPr>
            <w:tcW w:w="10790" w:type="dxa"/>
          </w:tcPr>
          <w:p w14:paraId="1F1C3A80" w14:textId="0FAB8164" w:rsidR="00397B91" w:rsidRDefault="00E173E1" w:rsidP="00E173E1">
            <w:pPr>
              <w:rPr>
                <w:rFonts w:cs="Arial"/>
              </w:rPr>
            </w:pPr>
            <w:r>
              <w:rPr>
                <w:rFonts w:cs="Arial"/>
                <w:lang w:bidi="es-ES"/>
              </w:rPr>
              <w:t>No aplica</w:t>
            </w:r>
          </w:p>
        </w:tc>
      </w:tr>
    </w:tbl>
    <w:p w14:paraId="412779C7" w14:textId="7544B85E" w:rsidR="00485066" w:rsidRPr="00841157" w:rsidRDefault="00824D66" w:rsidP="00971DBD">
      <w:pPr>
        <w:pStyle w:val="Heading1"/>
        <w:numPr>
          <w:ilvl w:val="0"/>
          <w:numId w:val="0"/>
        </w:num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before="0" w:after="0"/>
        <w:jc w:val="both"/>
        <w:rPr>
          <w:b/>
          <w:sz w:val="30"/>
        </w:rPr>
      </w:pPr>
      <w:r>
        <w:rPr>
          <w:b/>
          <w:sz w:val="30"/>
          <w:lang w:bidi="es-ES"/>
        </w:rPr>
        <w:t xml:space="preserve">Sección 2: </w:t>
      </w:r>
      <w:r w:rsidR="00F877E4">
        <w:rPr>
          <w:b/>
          <w:sz w:val="30"/>
          <w:lang w:bidi="es-ES"/>
        </w:rPr>
        <w:t>Puesta en marcha y arreglos para la implementación</w:t>
      </w:r>
      <w:r>
        <w:rPr>
          <w:b/>
          <w:sz w:val="30"/>
          <w:lang w:bidi="es-ES"/>
        </w:rPr>
        <w:t xml:space="preserve"> </w:t>
      </w:r>
    </w:p>
    <w:p w14:paraId="2277A076" w14:textId="6DD80859" w:rsidR="00485066" w:rsidRPr="00841157" w:rsidRDefault="00485066" w:rsidP="004619FD">
      <w:pPr>
        <w:spacing w:after="0"/>
        <w:contextualSpacing/>
        <w:jc w:val="both"/>
        <w:rPr>
          <w:rFonts w:cs="Arial"/>
          <w:bCs/>
          <w:iCs/>
        </w:rPr>
      </w:pPr>
      <w:r w:rsidRPr="001D57CE">
        <w:rPr>
          <w:rFonts w:cs="Arial"/>
          <w:lang w:bidi="es-ES"/>
        </w:rPr>
        <w:t xml:space="preserve">Consulte las </w:t>
      </w:r>
      <w:r w:rsidRPr="001D57CE">
        <w:rPr>
          <w:rFonts w:cs="Arial"/>
          <w:i/>
          <w:lang w:bidi="es-ES"/>
        </w:rPr>
        <w:t>Instrucciones</w:t>
      </w:r>
      <w:r w:rsidRPr="001D57CE">
        <w:rPr>
          <w:rFonts w:cs="Arial"/>
          <w:lang w:bidi="es-ES"/>
        </w:rPr>
        <w:t xml:space="preserve"> y </w:t>
      </w:r>
      <w:r w:rsidR="00D34A6D">
        <w:rPr>
          <w:rFonts w:cs="Arial"/>
          <w:lang w:bidi="es-ES"/>
        </w:rPr>
        <w:t>su</w:t>
      </w:r>
      <w:r w:rsidR="00F877E4">
        <w:rPr>
          <w:rFonts w:cs="Arial"/>
          <w:lang w:bidi="es-ES"/>
        </w:rPr>
        <w:t xml:space="preserve"> diagrama de arreglos de </w:t>
      </w:r>
      <w:r w:rsidR="00D34A6D">
        <w:rPr>
          <w:rFonts w:cs="Arial"/>
          <w:lang w:bidi="es-ES"/>
        </w:rPr>
        <w:t>implementación</w:t>
      </w:r>
      <w:r w:rsidR="00D34A6D" w:rsidRPr="00751B4C">
        <w:t xml:space="preserve"> </w:t>
      </w:r>
      <w:r w:rsidR="00D34A6D" w:rsidRPr="00751B4C">
        <w:rPr>
          <w:b/>
        </w:rPr>
        <w:t>actualizado</w:t>
      </w:r>
      <w:r w:rsidR="000242DD">
        <w:rPr>
          <w:rStyle w:val="FootnoteReference"/>
          <w:rFonts w:cs="Arial"/>
          <w:lang w:val="es-ES" w:bidi="es-ES"/>
        </w:rPr>
        <w:footnoteReference w:id="6"/>
      </w:r>
      <w:r w:rsidRPr="001D57CE">
        <w:rPr>
          <w:rFonts w:cs="Arial"/>
          <w:lang w:bidi="es-ES"/>
        </w:rPr>
        <w:t xml:space="preserve"> para responder las preguntas siguientes.</w:t>
      </w:r>
    </w:p>
    <w:p w14:paraId="399C718E" w14:textId="6F66E877" w:rsidR="00485066" w:rsidRPr="00841157" w:rsidRDefault="00485066" w:rsidP="00E173E1">
      <w:pPr>
        <w:pStyle w:val="ListParagraph"/>
        <w:numPr>
          <w:ilvl w:val="0"/>
          <w:numId w:val="20"/>
        </w:numPr>
        <w:spacing w:before="120" w:line="260" w:lineRule="atLeast"/>
        <w:ind w:left="357" w:hanging="357"/>
        <w:contextualSpacing w:val="0"/>
        <w:rPr>
          <w:rFonts w:cs="Arial"/>
        </w:rPr>
      </w:pPr>
      <w:r w:rsidRPr="001D57CE">
        <w:rPr>
          <w:rFonts w:cs="Arial"/>
          <w:lang w:bidi="es-ES"/>
        </w:rPr>
        <w:t xml:space="preserve">Explique detalladamente cómo los </w:t>
      </w:r>
      <w:r w:rsidR="00F877E4">
        <w:rPr>
          <w:rFonts w:cs="Arial"/>
          <w:b/>
          <w:lang w:bidi="es-ES"/>
        </w:rPr>
        <w:t>arreglos de implementación</w:t>
      </w:r>
      <w:r w:rsidRPr="001D57CE">
        <w:rPr>
          <w:rFonts w:cs="Arial"/>
          <w:b/>
          <w:lang w:bidi="es-ES"/>
        </w:rPr>
        <w:t xml:space="preserve"> </w:t>
      </w:r>
      <w:r w:rsidRPr="001D57CE">
        <w:rPr>
          <w:rFonts w:cs="Arial"/>
          <w:lang w:bidi="es-ES"/>
        </w:rPr>
        <w:t xml:space="preserve">propuestos van a garantizar que el programa se </w:t>
      </w:r>
      <w:r w:rsidR="00F877E4">
        <w:rPr>
          <w:rFonts w:cs="Arial"/>
          <w:lang w:bidi="es-ES"/>
        </w:rPr>
        <w:t>implemente</w:t>
      </w:r>
      <w:r w:rsidRPr="001D57CE">
        <w:rPr>
          <w:rFonts w:cs="Arial"/>
          <w:lang w:bidi="es-ES"/>
        </w:rPr>
        <w:t xml:space="preserve"> de forma eficiente.</w:t>
      </w:r>
    </w:p>
    <w:tbl>
      <w:tblPr>
        <w:tblStyle w:val="TableGrid"/>
        <w:tblW w:w="0" w:type="auto"/>
        <w:tblLook w:val="04A0" w:firstRow="1" w:lastRow="0" w:firstColumn="1" w:lastColumn="0" w:noHBand="0" w:noVBand="1"/>
      </w:tblPr>
      <w:tblGrid>
        <w:gridCol w:w="10456"/>
      </w:tblGrid>
      <w:tr w:rsidR="00485066" w:rsidRPr="00A56294" w14:paraId="375CA32D" w14:textId="77777777" w:rsidTr="005279BC">
        <w:tc>
          <w:tcPr>
            <w:tcW w:w="10790" w:type="dxa"/>
          </w:tcPr>
          <w:p w14:paraId="57D407A6" w14:textId="77777777" w:rsidR="00F71938" w:rsidRDefault="00E173E1" w:rsidP="00E173E1">
            <w:pPr>
              <w:jc w:val="both"/>
              <w:rPr>
                <w:lang w:val="es-CO" w:bidi="es-ES"/>
              </w:rPr>
            </w:pPr>
            <w:r w:rsidRPr="00E173E1">
              <w:rPr>
                <w:lang w:bidi="es-ES"/>
              </w:rPr>
              <w:t xml:space="preserve">Con el propósito de ejecutar eficientemente las actividades de las subvenciones, fomentar la sostenibilidad de los programas, e incrementar las capacidades locales, el </w:t>
            </w:r>
            <w:r w:rsidR="006D0B25">
              <w:rPr>
                <w:lang w:bidi="es-ES"/>
              </w:rPr>
              <w:t>MCP-ES</w:t>
            </w:r>
            <w:r w:rsidRPr="00E173E1">
              <w:rPr>
                <w:lang w:bidi="es-ES"/>
              </w:rPr>
              <w:t>-ES acordó una subvención conjunta VIH/TB y una subvención VIH. Dos Receptores Principales, el Ministerio de Salud y Plan International, fueron identificados por su experiencia y experticia en el manejo de subvenciones. Para la subvención</w:t>
            </w:r>
            <w:r w:rsidRPr="00E173E1">
              <w:rPr>
                <w:lang w:val="es-CO" w:bidi="es-ES"/>
              </w:rPr>
              <w:t xml:space="preserve"> de tuberculosis, el Ministerio de Salud se mantiene como Receptor Principal. Durante la ejecución de la subvención, el MINSAL gestionará los componentes VIH y TB que le corresponden como una subvención.</w:t>
            </w:r>
          </w:p>
          <w:p w14:paraId="5788C6C9" w14:textId="0DA39692" w:rsidR="00E173E1" w:rsidRPr="00E173E1" w:rsidRDefault="00E173E1" w:rsidP="00E173E1">
            <w:pPr>
              <w:jc w:val="both"/>
              <w:rPr>
                <w:lang w:bidi="es-ES"/>
              </w:rPr>
            </w:pPr>
            <w:r w:rsidRPr="00E173E1">
              <w:rPr>
                <w:lang w:bidi="es-ES"/>
              </w:rPr>
              <w:t xml:space="preserve">  </w:t>
            </w:r>
          </w:p>
          <w:p w14:paraId="353EF073" w14:textId="4C229D78" w:rsidR="00E173E1" w:rsidRPr="00E173E1" w:rsidRDefault="00E173E1" w:rsidP="00E173E1">
            <w:pPr>
              <w:jc w:val="both"/>
              <w:rPr>
                <w:b/>
                <w:u w:val="single"/>
                <w:lang w:bidi="es-ES"/>
              </w:rPr>
            </w:pPr>
            <w:r w:rsidRPr="00E173E1">
              <w:rPr>
                <w:b/>
                <w:u w:val="single"/>
                <w:lang w:bidi="es-ES"/>
              </w:rPr>
              <w:lastRenderedPageBreak/>
              <w:t>MINSAL como RP subvención conjunta- SLV-</w:t>
            </w:r>
            <w:r w:rsidR="00615B11">
              <w:rPr>
                <w:b/>
                <w:u w:val="single"/>
                <w:lang w:bidi="es-ES"/>
              </w:rPr>
              <w:t>H</w:t>
            </w:r>
            <w:r w:rsidRPr="00E173E1">
              <w:rPr>
                <w:b/>
                <w:u w:val="single"/>
                <w:lang w:bidi="es-ES"/>
              </w:rPr>
              <w:t>-MOH</w:t>
            </w:r>
          </w:p>
          <w:p w14:paraId="4A9B470A" w14:textId="0CB97BF0" w:rsidR="00E173E1" w:rsidRPr="00E173E1" w:rsidRDefault="00E173E1" w:rsidP="00E173E1">
            <w:pPr>
              <w:jc w:val="both"/>
              <w:rPr>
                <w:lang w:bidi="es-ES"/>
              </w:rPr>
            </w:pPr>
            <w:r w:rsidRPr="00E173E1">
              <w:rPr>
                <w:lang w:bidi="es-ES"/>
              </w:rPr>
              <w:t xml:space="preserve">Para la implementación de la subvención conjunta de VIH y TB el MINSAL cuenta con muchas fortalezas y </w:t>
            </w:r>
            <w:r w:rsidR="00356CB8" w:rsidRPr="00E173E1">
              <w:rPr>
                <w:lang w:bidi="es-ES"/>
              </w:rPr>
              <w:t>experiencia:</w:t>
            </w:r>
          </w:p>
          <w:p w14:paraId="42012D9D" w14:textId="6904AEF8" w:rsidR="00E173E1" w:rsidRPr="00E173E1" w:rsidRDefault="00356CB8" w:rsidP="00617951">
            <w:pPr>
              <w:pStyle w:val="ListParagraph"/>
              <w:numPr>
                <w:ilvl w:val="0"/>
                <w:numId w:val="25"/>
              </w:numPr>
              <w:jc w:val="both"/>
              <w:rPr>
                <w:lang w:bidi="es-ES"/>
              </w:rPr>
            </w:pPr>
            <w:r w:rsidRPr="00E173E1">
              <w:rPr>
                <w:lang w:bidi="es-ES"/>
              </w:rPr>
              <w:t>Como ente</w:t>
            </w:r>
            <w:r w:rsidR="00E173E1" w:rsidRPr="00E173E1">
              <w:rPr>
                <w:lang w:bidi="es-ES"/>
              </w:rPr>
              <w:t xml:space="preserve"> rector de la salud del Sistema Nacional Integrado de Salud lidera la respuesta al VIH a través de la Unidad del Programa de VIH (UPVIH) y a TB a través de la Unidad del Programa de TB, los cuales en conjunto brindan lineamientos, políticas, recomendaciones y otros.</w:t>
            </w:r>
          </w:p>
          <w:p w14:paraId="423FB7DA" w14:textId="6DB92CC7" w:rsidR="00E173E1" w:rsidRPr="00E173E1" w:rsidRDefault="00E173E1" w:rsidP="00617951">
            <w:pPr>
              <w:pStyle w:val="ListParagraph"/>
              <w:numPr>
                <w:ilvl w:val="0"/>
                <w:numId w:val="25"/>
              </w:numPr>
              <w:jc w:val="both"/>
              <w:rPr>
                <w:lang w:bidi="es-ES"/>
              </w:rPr>
            </w:pPr>
            <w:r w:rsidRPr="00E173E1">
              <w:rPr>
                <w:lang w:bidi="es-ES"/>
              </w:rPr>
              <w:t xml:space="preserve">El MINSAL es actualmente el RP de la única subvención de VIH del Fondo </w:t>
            </w:r>
            <w:r w:rsidR="00356CB8">
              <w:rPr>
                <w:lang w:bidi="es-ES"/>
              </w:rPr>
              <w:t>M</w:t>
            </w:r>
            <w:r w:rsidRPr="00E173E1">
              <w:rPr>
                <w:lang w:bidi="es-ES"/>
              </w:rPr>
              <w:t>undial en El Salvador.  La experiencia acumulada en la ejecución de las subvenciones de Fondo Mundial de VIH, TB y malaria por más de 14 años ha sido calificada en su desempeño como satisfactorio y transparente según resultados de las diferentes auditorías a la ejecución financiera, cumplimiento de metas</w:t>
            </w:r>
            <w:r w:rsidR="001C21EE">
              <w:rPr>
                <w:lang w:bidi="es-ES"/>
              </w:rPr>
              <w:t xml:space="preserve"> </w:t>
            </w:r>
            <w:r w:rsidR="00A3444F">
              <w:rPr>
                <w:lang w:bidi="es-ES"/>
              </w:rPr>
              <w:t xml:space="preserve">y </w:t>
            </w:r>
            <w:r w:rsidR="00A3444F" w:rsidRPr="00E173E1">
              <w:rPr>
                <w:lang w:bidi="es-ES"/>
              </w:rPr>
              <w:t>compromisos</w:t>
            </w:r>
            <w:r w:rsidRPr="00E173E1">
              <w:rPr>
                <w:lang w:bidi="es-ES"/>
              </w:rPr>
              <w:t xml:space="preserve"> adquiridos. </w:t>
            </w:r>
          </w:p>
          <w:p w14:paraId="217CFB8A" w14:textId="77777777" w:rsidR="00E173E1" w:rsidRPr="00E173E1" w:rsidRDefault="00E173E1" w:rsidP="00617951">
            <w:pPr>
              <w:pStyle w:val="ListParagraph"/>
              <w:numPr>
                <w:ilvl w:val="0"/>
                <w:numId w:val="25"/>
              </w:numPr>
              <w:jc w:val="both"/>
              <w:rPr>
                <w:lang w:bidi="es-ES"/>
              </w:rPr>
            </w:pPr>
            <w:r w:rsidRPr="00E173E1">
              <w:rPr>
                <w:lang w:bidi="es-ES"/>
              </w:rPr>
              <w:t>La Unidad del Programa de VIH es responsable de liderar el trabajo interinstitucional y multisectorial sobre el tema.</w:t>
            </w:r>
          </w:p>
          <w:p w14:paraId="52CAB2B3" w14:textId="77777777" w:rsidR="00E173E1" w:rsidRPr="00E173E1" w:rsidRDefault="00E173E1" w:rsidP="00617951">
            <w:pPr>
              <w:pStyle w:val="ListParagraph"/>
              <w:numPr>
                <w:ilvl w:val="0"/>
                <w:numId w:val="25"/>
              </w:numPr>
              <w:jc w:val="both"/>
              <w:rPr>
                <w:lang w:bidi="es-ES"/>
              </w:rPr>
            </w:pPr>
            <w:r w:rsidRPr="00E173E1">
              <w:rPr>
                <w:lang w:bidi="es-ES"/>
              </w:rPr>
              <w:t xml:space="preserve">El compromiso del MINSAL en brindar asesoría técnica y financiera en la respuesta de las subvenciones de VIH. </w:t>
            </w:r>
          </w:p>
          <w:p w14:paraId="45366780" w14:textId="19EA27EA" w:rsidR="00E173E1" w:rsidRPr="00E173E1" w:rsidRDefault="00E173E1" w:rsidP="00617951">
            <w:pPr>
              <w:pStyle w:val="ListParagraph"/>
              <w:numPr>
                <w:ilvl w:val="0"/>
                <w:numId w:val="25"/>
              </w:numPr>
              <w:jc w:val="both"/>
              <w:rPr>
                <w:lang w:bidi="es-ES"/>
              </w:rPr>
            </w:pPr>
            <w:r w:rsidRPr="00E173E1">
              <w:rPr>
                <w:lang w:bidi="es-ES"/>
              </w:rPr>
              <w:t xml:space="preserve">Como receptor principal para la subvención TB y para la subvención de VIH, se facilita la sinergia en la implementación de ambos </w:t>
            </w:r>
            <w:r w:rsidR="00A3444F" w:rsidRPr="00E173E1">
              <w:rPr>
                <w:lang w:bidi="es-ES"/>
              </w:rPr>
              <w:t>programas,</w:t>
            </w:r>
            <w:r w:rsidRPr="00E173E1">
              <w:rPr>
                <w:lang w:bidi="es-ES"/>
              </w:rPr>
              <w:t xml:space="preserve"> </w:t>
            </w:r>
            <w:r w:rsidR="00D56B00" w:rsidRPr="00E173E1">
              <w:rPr>
                <w:lang w:bidi="es-ES"/>
              </w:rPr>
              <w:t>así</w:t>
            </w:r>
            <w:r w:rsidRPr="00E173E1">
              <w:rPr>
                <w:lang w:bidi="es-ES"/>
              </w:rPr>
              <w:t xml:space="preserve"> como sinergia en la ejecución financiera, compras, suministros, logística, abastecimiento y las diferentes direcciones administrativas de las que dependen los establecimientos de salud (Hospitales y Unidades de Salud). </w:t>
            </w:r>
          </w:p>
          <w:p w14:paraId="532D779C" w14:textId="00C2FD9D" w:rsidR="00E173E1" w:rsidRPr="00E173E1" w:rsidRDefault="00E173E1" w:rsidP="00617951">
            <w:pPr>
              <w:pStyle w:val="ListParagraph"/>
              <w:numPr>
                <w:ilvl w:val="0"/>
                <w:numId w:val="25"/>
              </w:numPr>
              <w:jc w:val="both"/>
              <w:rPr>
                <w:lang w:bidi="es-ES"/>
              </w:rPr>
            </w:pPr>
            <w:r w:rsidRPr="00E173E1">
              <w:rPr>
                <w:lang w:bidi="es-ES"/>
              </w:rPr>
              <w:t>Para las adquisiciones, el MINSAL utilizar</w:t>
            </w:r>
            <w:r w:rsidR="00A3444F">
              <w:rPr>
                <w:lang w:bidi="es-ES"/>
              </w:rPr>
              <w:t>á</w:t>
            </w:r>
            <w:r w:rsidRPr="00E173E1">
              <w:rPr>
                <w:lang w:bidi="es-ES"/>
              </w:rPr>
              <w:t xml:space="preserve"> los mecanismos a través de los fondos estratégicos de OPS/OMS, PNUD y WAMBO/PPM y otros mecanismos que permiten la adquisición de productos de salud a precios preferenciales.   [ANEXO 2.a: Mapa de implementación]</w:t>
            </w:r>
          </w:p>
          <w:p w14:paraId="12527AE9" w14:textId="08590E9F" w:rsidR="00E173E1" w:rsidRPr="00E173E1" w:rsidRDefault="00E173E1" w:rsidP="00617951">
            <w:pPr>
              <w:pStyle w:val="ListParagraph"/>
              <w:numPr>
                <w:ilvl w:val="0"/>
                <w:numId w:val="25"/>
              </w:numPr>
              <w:jc w:val="both"/>
              <w:rPr>
                <w:lang w:bidi="es-ES"/>
              </w:rPr>
            </w:pPr>
            <w:r w:rsidRPr="00E173E1">
              <w:rPr>
                <w:lang w:bidi="es-ES"/>
              </w:rPr>
              <w:t>El MINSAL cuenta con unidades especializadas responsables de la ejecución administrativa y financiera de la subvención. Estas dependen de la Gerencia General del MINSAL para realizar diferentes procesos según especialización. Para los procesos de adquisiciones de bienes y servicios, se cuenta con la Unidad de Adquisiciones y Contrataciones Institucional (UACI). Para los procesos de ejecución y administración de los fondos de la subvención, se cuenta con la Unidad Financiera Institucional (UFI) específicamente en el Área de Fondos Externos. Para los procesos de recepción y almacenamiento de bienes y servicios, el MINSAL cuenta con la Unidad de Abastecimiento (UNAB</w:t>
            </w:r>
            <w:r w:rsidR="00AC7CB9">
              <w:rPr>
                <w:lang w:bidi="es-ES"/>
              </w:rPr>
              <w:t>AST</w:t>
            </w:r>
            <w:r w:rsidRPr="00E173E1">
              <w:rPr>
                <w:lang w:bidi="es-ES"/>
              </w:rPr>
              <w:t xml:space="preserve">). Todas las unidades antes mencionadas realizan sus funciones en los diferentes sistemas institucionales en cumplimiento a la normativa y procedimientos para garantizar la transparencia y el buen uso de los recursos en la implementación de la subvención y brindan rendición de cuentas a las auditorías internas y externas como a </w:t>
            </w:r>
            <w:r w:rsidR="00897DD7">
              <w:rPr>
                <w:lang w:bidi="es-ES"/>
              </w:rPr>
              <w:t xml:space="preserve">la </w:t>
            </w:r>
            <w:r w:rsidRPr="00E173E1">
              <w:rPr>
                <w:lang w:bidi="es-ES"/>
              </w:rPr>
              <w:t>Corte de Cuentas de la Rep</w:t>
            </w:r>
            <w:r w:rsidR="00A1723F">
              <w:rPr>
                <w:lang w:bidi="es-ES"/>
              </w:rPr>
              <w:t>ú</w:t>
            </w:r>
            <w:r w:rsidRPr="00E173E1">
              <w:rPr>
                <w:lang w:bidi="es-ES"/>
              </w:rPr>
              <w:t>blica y la auditoría interna del MINSAL, garantizando la respuesta, la transparencia y buen uso de los recursos.</w:t>
            </w:r>
          </w:p>
          <w:p w14:paraId="0141EAF4" w14:textId="77777777" w:rsidR="00E173E1" w:rsidRPr="00E173E1" w:rsidRDefault="00E173E1" w:rsidP="00E173E1">
            <w:pPr>
              <w:jc w:val="both"/>
              <w:rPr>
                <w:lang w:bidi="es-ES"/>
              </w:rPr>
            </w:pPr>
            <w:r w:rsidRPr="00E173E1">
              <w:rPr>
                <w:lang w:bidi="es-ES"/>
              </w:rPr>
              <w:t xml:space="preserve">El seguimiento y la ejecución de la subvención se realizará a través de la Unidad del Programa de VIH, la Unidad Financiera Institucional (UFI) y la Oficina de Proyectos del Fondo Mundial, que realizan visitas de campo, supervisiones, seguimiento al cumplimiento de normativa e instrumentos técnicos jurídicos, verificación y control de la calidad del dato, así como evaluaciones nacionales semestrales para garantizar el cumplimiento técnico y financiero. </w:t>
            </w:r>
          </w:p>
          <w:p w14:paraId="58DF4FDB" w14:textId="77777777" w:rsidR="00E173E1" w:rsidRPr="00E173E1" w:rsidRDefault="00E173E1" w:rsidP="00E173E1">
            <w:pPr>
              <w:jc w:val="both"/>
              <w:rPr>
                <w:b/>
                <w:bCs/>
                <w:u w:val="single"/>
                <w:lang w:bidi="es-ES"/>
              </w:rPr>
            </w:pPr>
            <w:r w:rsidRPr="00E173E1" w:rsidDel="004A742F">
              <w:rPr>
                <w:b/>
                <w:bCs/>
                <w:u w:val="single"/>
                <w:lang w:bidi="es-ES"/>
              </w:rPr>
              <w:t xml:space="preserve">Plan </w:t>
            </w:r>
            <w:r w:rsidRPr="00E173E1">
              <w:rPr>
                <w:b/>
                <w:bCs/>
                <w:u w:val="single"/>
                <w:lang w:bidi="es-ES"/>
              </w:rPr>
              <w:t>International como RP subvención VIH- SLV-H-Plan</w:t>
            </w:r>
          </w:p>
          <w:p w14:paraId="0A076DC3" w14:textId="77777777" w:rsidR="00E173E1" w:rsidRPr="00E173E1" w:rsidRDefault="00E173E1" w:rsidP="00E173E1">
            <w:pPr>
              <w:jc w:val="both"/>
              <w:rPr>
                <w:lang w:bidi="es-ES"/>
              </w:rPr>
            </w:pPr>
            <w:r w:rsidRPr="00E173E1">
              <w:rPr>
                <w:lang w:bidi="es-ES"/>
              </w:rPr>
              <w:t xml:space="preserve">Plan International cuenta con una amplia experiencia y estructura que garantiza una implementación eficiente: </w:t>
            </w:r>
          </w:p>
          <w:p w14:paraId="5A0A91AD" w14:textId="00D605B8" w:rsidR="00E173E1" w:rsidRPr="00E173E1" w:rsidRDefault="00E173E1" w:rsidP="00617951">
            <w:pPr>
              <w:pStyle w:val="ListParagraph"/>
              <w:numPr>
                <w:ilvl w:val="0"/>
                <w:numId w:val="26"/>
              </w:numPr>
              <w:jc w:val="both"/>
              <w:rPr>
                <w:lang w:bidi="es-ES"/>
              </w:rPr>
            </w:pPr>
            <w:r w:rsidRPr="00E173E1">
              <w:rPr>
                <w:lang w:bidi="es-ES"/>
              </w:rPr>
              <w:t xml:space="preserve">A nivel internacional, Plan ha administrado y ejecutado subvenciones con el FM durante once años, manejando un portafolio actual de 159 millones de dólares. Es Receptor Principal en cuatro países para malaria, en tres países para VIH, y en un país para TB. En diez países es Sub-Receptor para VIH y </w:t>
            </w:r>
            <w:r w:rsidR="00E642F7">
              <w:rPr>
                <w:lang w:bidi="es-ES"/>
              </w:rPr>
              <w:t xml:space="preserve">en </w:t>
            </w:r>
            <w:r w:rsidRPr="00E173E1">
              <w:rPr>
                <w:lang w:bidi="es-ES"/>
              </w:rPr>
              <w:t>seis para malaria.</w:t>
            </w:r>
          </w:p>
          <w:p w14:paraId="628390C2" w14:textId="77777777" w:rsidR="00E173E1" w:rsidRPr="00E173E1" w:rsidRDefault="00E173E1" w:rsidP="00617951">
            <w:pPr>
              <w:pStyle w:val="ListParagraph"/>
              <w:numPr>
                <w:ilvl w:val="0"/>
                <w:numId w:val="26"/>
              </w:numPr>
              <w:jc w:val="both"/>
              <w:rPr>
                <w:lang w:bidi="es-ES"/>
              </w:rPr>
            </w:pPr>
            <w:r w:rsidRPr="00E173E1">
              <w:rPr>
                <w:lang w:bidi="es-ES"/>
              </w:rPr>
              <w:t xml:space="preserve">La organización tiene más de 37 años de trabajar en el país, conoce el contexto y su realidad, indicadores epidemiológicos, y la situación de salud. </w:t>
            </w:r>
          </w:p>
          <w:p w14:paraId="6C55466E" w14:textId="20B92253" w:rsidR="00E173E1" w:rsidRPr="00E173E1" w:rsidRDefault="00E173E1" w:rsidP="00617951">
            <w:pPr>
              <w:pStyle w:val="ListParagraph"/>
              <w:numPr>
                <w:ilvl w:val="0"/>
                <w:numId w:val="26"/>
              </w:numPr>
              <w:jc w:val="both"/>
              <w:rPr>
                <w:lang w:bidi="es-ES"/>
              </w:rPr>
            </w:pPr>
            <w:r w:rsidRPr="00E173E1" w:rsidDel="008D6FC3">
              <w:rPr>
                <w:lang w:bidi="es-ES"/>
              </w:rPr>
              <w:t>A</w:t>
            </w:r>
            <w:r w:rsidRPr="00E173E1" w:rsidDel="00EC7C87">
              <w:rPr>
                <w:lang w:bidi="es-ES"/>
              </w:rPr>
              <w:t>ctualmente</w:t>
            </w:r>
            <w:r w:rsidRPr="00E173E1" w:rsidDel="008D6FC3">
              <w:rPr>
                <w:lang w:bidi="es-ES"/>
              </w:rPr>
              <w:t>,</w:t>
            </w:r>
            <w:r w:rsidRPr="00E173E1">
              <w:rPr>
                <w:lang w:bidi="es-ES"/>
              </w:rPr>
              <w:t xml:space="preserve"> Plan ejecuta un programa de VIH como SR junto con Socios Implementadores (SSR) para identificar a la población en riesgo de adquirir o viviendo con VIH. La experiencia adquirida por medio del trabajo realizado con este sector de la </w:t>
            </w:r>
            <w:r w:rsidR="00424489" w:rsidRPr="00E173E1">
              <w:rPr>
                <w:lang w:bidi="es-ES"/>
              </w:rPr>
              <w:t>población</w:t>
            </w:r>
            <w:r w:rsidRPr="00E173E1">
              <w:rPr>
                <w:lang w:bidi="es-ES"/>
              </w:rPr>
              <w:t xml:space="preserve"> permite a Plan en El Salvador dar servicios oportunos</w:t>
            </w:r>
            <w:r w:rsidR="00424489">
              <w:rPr>
                <w:lang w:bidi="es-ES"/>
              </w:rPr>
              <w:t xml:space="preserve"> </w:t>
            </w:r>
            <w:r w:rsidRPr="00E173E1">
              <w:rPr>
                <w:lang w:bidi="es-ES"/>
              </w:rPr>
              <w:t xml:space="preserve">(adherencia, prevención, auto cuido, referencia a centros de salud, etc.), </w:t>
            </w:r>
            <w:r w:rsidRPr="00E173E1">
              <w:rPr>
                <w:lang w:bidi="es-ES"/>
              </w:rPr>
              <w:lastRenderedPageBreak/>
              <w:t xml:space="preserve">contribuyendo a reducir factores de riesgo y vulnerabilidad ante otras enfermedades como Tuberculosis.  </w:t>
            </w:r>
          </w:p>
          <w:p w14:paraId="1E7BCFA4" w14:textId="77777777" w:rsidR="00E173E1" w:rsidRPr="00E173E1" w:rsidRDefault="00E173E1" w:rsidP="00617951">
            <w:pPr>
              <w:pStyle w:val="ListParagraph"/>
              <w:numPr>
                <w:ilvl w:val="0"/>
                <w:numId w:val="26"/>
              </w:numPr>
              <w:jc w:val="both"/>
              <w:rPr>
                <w:lang w:bidi="es-ES"/>
              </w:rPr>
            </w:pPr>
            <w:r w:rsidRPr="00E173E1">
              <w:rPr>
                <w:lang w:bidi="es-ES"/>
              </w:rPr>
              <w:t xml:space="preserve">Plan cuenta con una oficina de apoyo en Canadá experta en los lineamientos y modelos de financiamiento del Fondo Mundial, la cual estará involucrada en la asesoría para el monitoreo y apoyo técnico y financiero de la implementación de la futura subvención. Además, podrá aportar el equipo especializado y dedicado para el proyecto a nivel local. </w:t>
            </w:r>
          </w:p>
          <w:p w14:paraId="0ED98CCA" w14:textId="77777777" w:rsidR="00E173E1" w:rsidRPr="00E173E1" w:rsidRDefault="00E173E1" w:rsidP="00617951">
            <w:pPr>
              <w:pStyle w:val="ListParagraph"/>
              <w:numPr>
                <w:ilvl w:val="0"/>
                <w:numId w:val="26"/>
              </w:numPr>
              <w:jc w:val="both"/>
              <w:rPr>
                <w:lang w:bidi="es-ES"/>
              </w:rPr>
            </w:pPr>
            <w:r w:rsidRPr="00E173E1">
              <w:rPr>
                <w:lang w:bidi="es-ES"/>
              </w:rPr>
              <w:t xml:space="preserve">Posee una amplia experiencia comunitaria; sus programas se ejecutan con un enfoque de derechos, participación, equidad de género, inclusión, no estigma ni discriminación y determinación social en salud. </w:t>
            </w:r>
          </w:p>
          <w:p w14:paraId="4AFADC6D" w14:textId="508FDDCD" w:rsidR="00E173E1" w:rsidRPr="00E173E1" w:rsidRDefault="00E173E1" w:rsidP="00617951">
            <w:pPr>
              <w:pStyle w:val="ListParagraph"/>
              <w:numPr>
                <w:ilvl w:val="0"/>
                <w:numId w:val="26"/>
              </w:numPr>
              <w:jc w:val="both"/>
              <w:rPr>
                <w:lang w:bidi="es-ES"/>
              </w:rPr>
            </w:pPr>
            <w:r w:rsidRPr="00E173E1">
              <w:rPr>
                <w:lang w:bidi="es-ES"/>
              </w:rPr>
              <w:t>Cuenta con un Convenio de Cooperación y Asistencia Técnica entre el Gobierno de la Rep</w:t>
            </w:r>
            <w:r w:rsidR="00837CFA">
              <w:rPr>
                <w:lang w:bidi="es-ES"/>
              </w:rPr>
              <w:t>ú</w:t>
            </w:r>
            <w:r w:rsidRPr="00E173E1">
              <w:rPr>
                <w:lang w:bidi="es-ES"/>
              </w:rPr>
              <w:t xml:space="preserve">blica de El Salvador y </w:t>
            </w:r>
            <w:r w:rsidRPr="00E173E1" w:rsidDel="004A742F">
              <w:rPr>
                <w:lang w:bidi="es-ES"/>
              </w:rPr>
              <w:t xml:space="preserve">Plan </w:t>
            </w:r>
            <w:r w:rsidRPr="00E173E1">
              <w:rPr>
                <w:lang w:bidi="es-ES"/>
              </w:rPr>
              <w:t>International, en el cual se establece privilegios, inmunidades y exenciones dentro de las cuales se especifica la EXENCION del impuesto a la transferencia de bienes mueble y a la prestación de servicios (IVA). Así mismo se ha concedido a Plan una franquicia aduanera para la introducción de Equipo de Oficina y materiales destinados a la ejecución de sus programas y proyectos.</w:t>
            </w:r>
          </w:p>
          <w:p w14:paraId="14E72089" w14:textId="4ED859A7" w:rsidR="00E173E1" w:rsidRPr="00E173E1" w:rsidRDefault="00E173E1" w:rsidP="00617951">
            <w:pPr>
              <w:pStyle w:val="ListParagraph"/>
              <w:numPr>
                <w:ilvl w:val="0"/>
                <w:numId w:val="26"/>
              </w:numPr>
              <w:jc w:val="both"/>
              <w:rPr>
                <w:lang w:bidi="es-ES"/>
              </w:rPr>
            </w:pPr>
            <w:r w:rsidRPr="00E173E1">
              <w:rPr>
                <w:lang w:bidi="es-ES"/>
              </w:rPr>
              <w:t xml:space="preserve">Ha construido relaciones de cooperación con más de 56 </w:t>
            </w:r>
            <w:r w:rsidR="00837CFA">
              <w:rPr>
                <w:lang w:bidi="es-ES"/>
              </w:rPr>
              <w:t>i</w:t>
            </w:r>
            <w:r w:rsidRPr="00E173E1">
              <w:rPr>
                <w:lang w:bidi="es-ES"/>
              </w:rPr>
              <w:t>nstancias de gobierno a nivel nacional y local, lo que permite generar sinergias que contribuyen a mejorar las condiciones de vida de la población salvadoreña.</w:t>
            </w:r>
          </w:p>
          <w:p w14:paraId="01D7E092" w14:textId="77777777" w:rsidR="00E173E1" w:rsidRPr="00E173E1" w:rsidRDefault="00E173E1" w:rsidP="00617951">
            <w:pPr>
              <w:pStyle w:val="ListParagraph"/>
              <w:numPr>
                <w:ilvl w:val="0"/>
                <w:numId w:val="26"/>
              </w:numPr>
              <w:jc w:val="both"/>
              <w:rPr>
                <w:lang w:bidi="es-ES"/>
              </w:rPr>
            </w:pPr>
            <w:r w:rsidRPr="00E173E1">
              <w:rPr>
                <w:lang w:bidi="es-ES"/>
              </w:rPr>
              <w:t>Participa activamente en 85 alianzas/redes con organizaciones de la sociedad civil e instancias de gobierno, generando de manera conjunta procesos de incidencia a favor de políticas públicas saludables.</w:t>
            </w:r>
          </w:p>
          <w:p w14:paraId="51CEE860" w14:textId="05DBA427" w:rsidR="00E173E1" w:rsidRPr="00E173E1" w:rsidRDefault="00E173E1" w:rsidP="00617951">
            <w:pPr>
              <w:pStyle w:val="ListParagraph"/>
              <w:numPr>
                <w:ilvl w:val="0"/>
                <w:numId w:val="26"/>
              </w:numPr>
              <w:jc w:val="both"/>
              <w:rPr>
                <w:lang w:bidi="es-ES"/>
              </w:rPr>
            </w:pPr>
            <w:r w:rsidRPr="00E173E1">
              <w:rPr>
                <w:lang w:bidi="es-ES"/>
              </w:rPr>
              <w:t xml:space="preserve">Promueve alianzas estratégicas con 489 asociaciones y grupos comunitarios, estableciendo una relación horizontal y de aprendizaje. Plan respeta el contexto y realidades de cada municipio y promueve un desarrollo basado en derechos y </w:t>
            </w:r>
            <w:r w:rsidR="00FB2A69" w:rsidRPr="00E173E1">
              <w:rPr>
                <w:lang w:bidi="es-ES"/>
              </w:rPr>
              <w:t>participación</w:t>
            </w:r>
            <w:r w:rsidRPr="00E173E1">
              <w:rPr>
                <w:lang w:bidi="es-ES"/>
              </w:rPr>
              <w:t xml:space="preserve"> de la ciudadanía.</w:t>
            </w:r>
          </w:p>
          <w:p w14:paraId="09B59295" w14:textId="77777777" w:rsidR="00E173E1" w:rsidRPr="00E173E1" w:rsidRDefault="00E173E1" w:rsidP="00617951">
            <w:pPr>
              <w:pStyle w:val="ListParagraph"/>
              <w:numPr>
                <w:ilvl w:val="0"/>
                <w:numId w:val="26"/>
              </w:numPr>
              <w:jc w:val="both"/>
              <w:rPr>
                <w:lang w:bidi="es-ES"/>
              </w:rPr>
            </w:pPr>
            <w:r w:rsidRPr="00E173E1">
              <w:rPr>
                <w:lang w:bidi="es-ES"/>
              </w:rPr>
              <w:t>Trabaja de forma coordinada con el Ministerio de Salud, alianza que es respaldada por un Convenio Marco, que permite la creación de estrategias de fortalecimiento al personal de salud, tanto del nivel clínico como comunitario. Hasta la fecha, 21,714 profesionales de la salud y voluntarios comunitarios han sido capacitados, de manera que Plan cuenta con metodologías de formación para personal de salud y agentes comunitarios.</w:t>
            </w:r>
          </w:p>
          <w:p w14:paraId="15C5113C" w14:textId="77777777" w:rsidR="00E173E1" w:rsidRPr="00E173E1" w:rsidRDefault="00E173E1" w:rsidP="00617951">
            <w:pPr>
              <w:pStyle w:val="ListParagraph"/>
              <w:numPr>
                <w:ilvl w:val="0"/>
                <w:numId w:val="26"/>
              </w:numPr>
              <w:jc w:val="both"/>
              <w:rPr>
                <w:lang w:bidi="es-ES"/>
              </w:rPr>
            </w:pPr>
            <w:r w:rsidRPr="00E173E1">
              <w:rPr>
                <w:lang w:bidi="es-ES"/>
              </w:rPr>
              <w:t>Cuenta con la experiencia técnica de participar en la Construcción de Planes Estratégicos Nacionales de las 3 enfermedades apoyadas por el Fondo Mundial (VIH, tuberculosis y malaria).</w:t>
            </w:r>
          </w:p>
          <w:p w14:paraId="4432D9A1" w14:textId="5008C33B" w:rsidR="00E173E1" w:rsidRPr="00E173E1" w:rsidRDefault="00E173E1" w:rsidP="00617951">
            <w:pPr>
              <w:pStyle w:val="ListParagraph"/>
              <w:numPr>
                <w:ilvl w:val="0"/>
                <w:numId w:val="26"/>
              </w:numPr>
              <w:jc w:val="both"/>
              <w:rPr>
                <w:lang w:bidi="es-ES"/>
              </w:rPr>
            </w:pPr>
            <w:r w:rsidRPr="00E173E1">
              <w:rPr>
                <w:lang w:bidi="es-ES"/>
              </w:rPr>
              <w:t>Posee una estructura organizativa establecida de gerencia y coordinación, para la adecuada administración técnica, administrativa, financiera y de monitoreo y evaluación de la subvención, conocedora de los requerimientos del FM. Esto apoyar</w:t>
            </w:r>
            <w:r w:rsidR="00FB2A69">
              <w:rPr>
                <w:lang w:bidi="es-ES"/>
              </w:rPr>
              <w:t>á</w:t>
            </w:r>
            <w:r w:rsidRPr="00E173E1">
              <w:rPr>
                <w:lang w:bidi="es-ES"/>
              </w:rPr>
              <w:t xml:space="preserve"> en la implementación de la subvención con puestos claves para la gestión de la subvención.</w:t>
            </w:r>
          </w:p>
          <w:p w14:paraId="6DD3BD1E" w14:textId="7FE08F14" w:rsidR="00E173E1" w:rsidRPr="00E173E1" w:rsidRDefault="00E173E1" w:rsidP="00617951">
            <w:pPr>
              <w:pStyle w:val="ListParagraph"/>
              <w:numPr>
                <w:ilvl w:val="0"/>
                <w:numId w:val="26"/>
              </w:numPr>
              <w:jc w:val="both"/>
              <w:rPr>
                <w:lang w:bidi="es-ES"/>
              </w:rPr>
            </w:pPr>
            <w:r w:rsidRPr="00E173E1">
              <w:rPr>
                <w:lang w:bidi="es-ES"/>
              </w:rPr>
              <w:t>Tiene experticia en la elaboración de protocolos, manuales y desarrollo de estudios a nivel nacional y regional. Lideró la realización del estudio de “Estimación del Tamaño de Población Trans en El Salvador 2014” y “La Validación del Uso de la Prueba Rápida Oral para VIH en el País”, elaboración de Manuales administrativos financieros, manuales operativos de trabajo para organizaciones subreceptoras.</w:t>
            </w:r>
          </w:p>
          <w:p w14:paraId="6F0B1A9C" w14:textId="21D3C023" w:rsidR="00E173E1" w:rsidRPr="00E173E1" w:rsidRDefault="00E173E1" w:rsidP="00617951">
            <w:pPr>
              <w:pStyle w:val="ListParagraph"/>
              <w:numPr>
                <w:ilvl w:val="0"/>
                <w:numId w:val="26"/>
              </w:numPr>
              <w:jc w:val="both"/>
              <w:rPr>
                <w:lang w:bidi="es-ES"/>
              </w:rPr>
            </w:pPr>
            <w:r w:rsidRPr="00E173E1">
              <w:rPr>
                <w:lang w:bidi="es-ES"/>
              </w:rPr>
              <w:t xml:space="preserve">Cuenta con un Sistema Integral de Monitoreo y Evaluación de “Gestión de Proyecto” (llamado SIGPRO), caracterizado por tener la flexibilidad de alinearse a los requerimientos programáticos, financieros y administrativos de las subvenciones del FM y adaptarse a aspectos de ejecución de subvenciones. A través del Sistema SIGPRO, se facilitará la toma de decisiones oportunas a nivel estratégico y gerencial, la generación de información del avance y desempeño del proyecto al FM, </w:t>
            </w:r>
            <w:r w:rsidR="006D0B25">
              <w:rPr>
                <w:lang w:bidi="es-ES"/>
              </w:rPr>
              <w:t xml:space="preserve">MCP-ES </w:t>
            </w:r>
            <w:r w:rsidRPr="00E173E1">
              <w:rPr>
                <w:lang w:bidi="es-ES"/>
              </w:rPr>
              <w:t>y MINSAL. Por otra parte, es una herramienta de gestión del conocimiento ya que permite el fortalecimiento de capacidades relacionada</w:t>
            </w:r>
            <w:r w:rsidR="002F6F67">
              <w:rPr>
                <w:lang w:bidi="es-ES"/>
              </w:rPr>
              <w:t>s</w:t>
            </w:r>
            <w:r w:rsidRPr="00E173E1">
              <w:rPr>
                <w:lang w:bidi="es-ES"/>
              </w:rPr>
              <w:t xml:space="preserve"> con la planificación, calidad y análisis de la información emitida en campo. El Sistema SIGPRO es un programa integral que cuenta con un módulo programático, financiero, administrativo/logístico (adquisiciones, distribución de productos de salud, Kardex, etc.) lo cual garantiza obtener eficiencia y uso óptimo de recursos. </w:t>
            </w:r>
          </w:p>
          <w:p w14:paraId="1808D679" w14:textId="536C734F" w:rsidR="00E173E1" w:rsidRPr="00E173E1" w:rsidRDefault="00E173E1" w:rsidP="00617951">
            <w:pPr>
              <w:pStyle w:val="ListParagraph"/>
              <w:numPr>
                <w:ilvl w:val="0"/>
                <w:numId w:val="26"/>
              </w:numPr>
              <w:jc w:val="both"/>
              <w:rPr>
                <w:lang w:bidi="es-ES"/>
              </w:rPr>
            </w:pPr>
            <w:r w:rsidRPr="00E173E1">
              <w:rPr>
                <w:lang w:bidi="es-ES"/>
              </w:rPr>
              <w:t>Cuenta con la capacidad administrativa y técnica para planificar, gestionar y realizar procesos de compras efectivos, cuenta con un portafolio amplio de proveedores tanto para bienes y servicios, así como</w:t>
            </w:r>
            <w:r w:rsidR="00F7452B">
              <w:rPr>
                <w:lang w:bidi="es-ES"/>
              </w:rPr>
              <w:t>,</w:t>
            </w:r>
            <w:r w:rsidRPr="00E173E1">
              <w:rPr>
                <w:lang w:bidi="es-ES"/>
              </w:rPr>
              <w:t xml:space="preserve"> para la adquisición de </w:t>
            </w:r>
            <w:r w:rsidRPr="00424489">
              <w:rPr>
                <w:lang w:bidi="es-ES"/>
              </w:rPr>
              <w:t>productos de salud a nivel nacional e internacional (insumos, equipo médico, reactivos entre otros).</w:t>
            </w:r>
            <w:r w:rsidR="00F406CC" w:rsidRPr="00424489">
              <w:rPr>
                <w:lang w:bidi="es-ES"/>
              </w:rPr>
              <w:t xml:space="preserve"> [Anexo </w:t>
            </w:r>
            <w:r w:rsidR="00764F86" w:rsidRPr="00424489">
              <w:rPr>
                <w:lang w:bidi="es-ES"/>
              </w:rPr>
              <w:t>2</w:t>
            </w:r>
            <w:r w:rsidR="00F406CC" w:rsidRPr="00424489">
              <w:rPr>
                <w:lang w:bidi="es-ES"/>
              </w:rPr>
              <w:t>.</w:t>
            </w:r>
            <w:r w:rsidR="00764F86" w:rsidRPr="00424489">
              <w:rPr>
                <w:lang w:bidi="es-ES"/>
              </w:rPr>
              <w:t>1</w:t>
            </w:r>
            <w:r w:rsidR="00F406CC" w:rsidRPr="00424489">
              <w:rPr>
                <w:lang w:bidi="es-ES"/>
              </w:rPr>
              <w:t>]</w:t>
            </w:r>
          </w:p>
          <w:p w14:paraId="2618A6EB" w14:textId="77777777" w:rsidR="00E173E1" w:rsidRPr="00E173E1" w:rsidRDefault="00E173E1" w:rsidP="00617951">
            <w:pPr>
              <w:pStyle w:val="ListParagraph"/>
              <w:numPr>
                <w:ilvl w:val="0"/>
                <w:numId w:val="26"/>
              </w:numPr>
              <w:jc w:val="both"/>
              <w:rPr>
                <w:lang w:bidi="es-ES"/>
              </w:rPr>
            </w:pPr>
            <w:r w:rsidRPr="00E173E1">
              <w:rPr>
                <w:lang w:bidi="es-ES"/>
              </w:rPr>
              <w:t xml:space="preserve">Posee experiencia en fortalecer las capacidades institucionales de Organizaciones Socias (Subreceptores o SSR) para que se conviertan en socios claves para la respuesta de país, con la </w:t>
            </w:r>
            <w:r w:rsidRPr="00E173E1">
              <w:rPr>
                <w:lang w:bidi="es-ES"/>
              </w:rPr>
              <w:lastRenderedPageBreak/>
              <w:t>finalidad de fortalecer la capacidad instalada en las organizaciones y garantizar la sostenibilidad de la respuesta.</w:t>
            </w:r>
          </w:p>
          <w:p w14:paraId="1AC83960" w14:textId="77777777" w:rsidR="00E173E1" w:rsidRPr="00E173E1" w:rsidRDefault="00E173E1" w:rsidP="00E173E1">
            <w:pPr>
              <w:jc w:val="both"/>
              <w:rPr>
                <w:lang w:bidi="es-ES"/>
              </w:rPr>
            </w:pPr>
            <w:r w:rsidRPr="00E173E1">
              <w:rPr>
                <w:b/>
                <w:bCs/>
                <w:u w:val="single"/>
                <w:lang w:bidi="es-ES"/>
              </w:rPr>
              <w:t>Coordinación MINSAL/Plan International</w:t>
            </w:r>
          </w:p>
          <w:p w14:paraId="0E4DCD9A" w14:textId="0895204D" w:rsidR="00E173E1" w:rsidRPr="00E173E1" w:rsidRDefault="00E173E1" w:rsidP="00E173E1">
            <w:pPr>
              <w:jc w:val="both"/>
              <w:rPr>
                <w:lang w:bidi="es-ES"/>
              </w:rPr>
            </w:pPr>
            <w:r w:rsidRPr="00E173E1">
              <w:rPr>
                <w:lang w:bidi="es-ES"/>
              </w:rPr>
              <w:t>Tener al MINSAL y a Plan International como receptores principales</w:t>
            </w:r>
            <w:r w:rsidR="00F7452B">
              <w:rPr>
                <w:lang w:bidi="es-ES"/>
              </w:rPr>
              <w:t>,</w:t>
            </w:r>
            <w:r w:rsidRPr="00E173E1">
              <w:rPr>
                <w:lang w:bidi="es-ES"/>
              </w:rPr>
              <w:t xml:space="preserve"> permite la sinergia de </w:t>
            </w:r>
            <w:r w:rsidR="00F7452B" w:rsidRPr="00E173E1">
              <w:rPr>
                <w:lang w:bidi="es-ES"/>
              </w:rPr>
              <w:t>fortalezas para</w:t>
            </w:r>
            <w:r w:rsidRPr="00E173E1">
              <w:rPr>
                <w:lang w:bidi="es-ES"/>
              </w:rPr>
              <w:t xml:space="preserve"> ejecutar la subvención, compartiendo la responsabilidad de cumplimiento de indicadores con el fin de brindar respuesta programática a los indicadores contractuales. </w:t>
            </w:r>
          </w:p>
          <w:p w14:paraId="59D5497C" w14:textId="77777777" w:rsidR="00E173E1" w:rsidRPr="00E173E1" w:rsidRDefault="00E173E1" w:rsidP="00E173E1">
            <w:pPr>
              <w:jc w:val="both"/>
              <w:rPr>
                <w:lang w:bidi="es-ES"/>
              </w:rPr>
            </w:pPr>
            <w:r w:rsidRPr="00E173E1">
              <w:rPr>
                <w:lang w:bidi="es-ES"/>
              </w:rPr>
              <w:t xml:space="preserve">Se pretende establecer mecanismos de coordinación entre </w:t>
            </w:r>
            <w:r w:rsidRPr="00E173E1" w:rsidDel="004A742F">
              <w:rPr>
                <w:lang w:bidi="es-ES"/>
              </w:rPr>
              <w:t xml:space="preserve">Plan </w:t>
            </w:r>
            <w:r w:rsidRPr="00E173E1">
              <w:rPr>
                <w:lang w:bidi="es-ES"/>
              </w:rPr>
              <w:t xml:space="preserve">International y el MINSAL para la ejecución de las actividades de la subvención. Así mismo, </w:t>
            </w:r>
            <w:r w:rsidRPr="00E173E1" w:rsidDel="004A742F">
              <w:rPr>
                <w:lang w:bidi="es-ES"/>
              </w:rPr>
              <w:t xml:space="preserve">Plan </w:t>
            </w:r>
            <w:r w:rsidRPr="00E173E1">
              <w:rPr>
                <w:lang w:bidi="es-ES"/>
              </w:rPr>
              <w:t>International establecerá convenios de trabajo con las Organizaciones de Sociedad Civil que se destaquen como subreceptoras de fondos, para lo cual se desarrollará un amplio proceso público y competitivo de selección.</w:t>
            </w:r>
          </w:p>
          <w:p w14:paraId="66711141" w14:textId="5F50DD4C" w:rsidR="00E173E1" w:rsidRPr="00E173E1" w:rsidRDefault="00E173E1" w:rsidP="00E173E1">
            <w:pPr>
              <w:jc w:val="both"/>
              <w:rPr>
                <w:lang w:bidi="es-ES"/>
              </w:rPr>
            </w:pPr>
            <w:r w:rsidRPr="00E173E1">
              <w:rPr>
                <w:lang w:bidi="es-ES"/>
              </w:rPr>
              <w:t xml:space="preserve">Por otra parte, </w:t>
            </w:r>
            <w:r w:rsidRPr="00E173E1" w:rsidDel="004A742F">
              <w:rPr>
                <w:lang w:bidi="es-ES"/>
              </w:rPr>
              <w:t>Plan</w:t>
            </w:r>
            <w:r w:rsidRPr="00E173E1">
              <w:rPr>
                <w:lang w:bidi="es-ES"/>
              </w:rPr>
              <w:t xml:space="preserve"> International, estará gestionando y dando acompañamiento técnico a los procesos de licitación</w:t>
            </w:r>
            <w:r w:rsidR="00B027B4">
              <w:rPr>
                <w:lang w:bidi="es-ES"/>
              </w:rPr>
              <w:t>,</w:t>
            </w:r>
            <w:r w:rsidRPr="00E173E1">
              <w:rPr>
                <w:lang w:bidi="es-ES"/>
              </w:rPr>
              <w:t xml:space="preserve"> para consultorías relacionadas con estudios nacionales, procesos de formación, investigaciones, entre otras. También cuenta con la capacidad para hacer la compra de insumos de salud y otros productos o equipos necesarios para las actividades.</w:t>
            </w:r>
          </w:p>
          <w:p w14:paraId="1AAFEA72" w14:textId="2CACFFFC" w:rsidR="00E173E1" w:rsidRPr="00E173E1" w:rsidRDefault="00E173E1" w:rsidP="00E173E1">
            <w:pPr>
              <w:jc w:val="both"/>
              <w:rPr>
                <w:lang w:bidi="es-ES"/>
              </w:rPr>
            </w:pPr>
            <w:r w:rsidRPr="00E173E1">
              <w:rPr>
                <w:lang w:bidi="es-ES"/>
              </w:rPr>
              <w:t>Plan International realizar</w:t>
            </w:r>
            <w:r w:rsidR="00E83E9D">
              <w:rPr>
                <w:lang w:bidi="es-ES"/>
              </w:rPr>
              <w:t>á</w:t>
            </w:r>
            <w:r w:rsidRPr="00E173E1">
              <w:rPr>
                <w:lang w:bidi="es-ES"/>
              </w:rPr>
              <w:t xml:space="preserve"> el seguimiento técnico, administrativo y financiero de la subvención, a través de un equipo especializado para la gestión de la subvención, el cual coordinar</w:t>
            </w:r>
            <w:r w:rsidR="00184DB5">
              <w:rPr>
                <w:lang w:bidi="es-ES"/>
              </w:rPr>
              <w:t>á</w:t>
            </w:r>
            <w:r w:rsidRPr="00E173E1">
              <w:rPr>
                <w:lang w:bidi="es-ES"/>
              </w:rPr>
              <w:t xml:space="preserve"> de forma constante y periódica con la Unidad de Gestión del MINSAL, el </w:t>
            </w:r>
            <w:r w:rsidR="006D0B25">
              <w:rPr>
                <w:lang w:bidi="es-ES"/>
              </w:rPr>
              <w:t>MCP-ES</w:t>
            </w:r>
            <w:r w:rsidRPr="00E173E1">
              <w:rPr>
                <w:lang w:bidi="es-ES"/>
              </w:rPr>
              <w:t>, Organizaciones Sub Receptoras, entre otras instancias y comisiones claves para el logro de las metas, objetivos, e identificación de áreas de mejora de la subvención.</w:t>
            </w:r>
          </w:p>
          <w:p w14:paraId="18FCF4CD" w14:textId="4122B36E" w:rsidR="00485066" w:rsidRPr="00E173E1" w:rsidRDefault="00E173E1" w:rsidP="00110DC5">
            <w:pPr>
              <w:jc w:val="both"/>
              <w:rPr>
                <w:rFonts w:cs="Arial"/>
                <w:lang w:bidi="es-ES"/>
              </w:rPr>
            </w:pPr>
            <w:r w:rsidRPr="00E173E1">
              <w:rPr>
                <w:lang w:bidi="es-ES"/>
              </w:rPr>
              <w:t xml:space="preserve">Adicionalmente, el mecanismo de coordinación e integración con otros sectores será a través de convenios (MJSP, ISSS y Municipalidades) y acuerdos ministeriales con el sector académico, cartas compromiso para la participación de otros proveedores de salud, y otra representación de los diferentes sectores en el </w:t>
            </w:r>
            <w:r w:rsidR="006D0B25">
              <w:rPr>
                <w:lang w:bidi="es-ES"/>
              </w:rPr>
              <w:t>MCP-ES</w:t>
            </w:r>
            <w:r w:rsidRPr="00E173E1">
              <w:rPr>
                <w:lang w:bidi="es-ES"/>
              </w:rPr>
              <w:t>.</w:t>
            </w:r>
          </w:p>
        </w:tc>
      </w:tr>
    </w:tbl>
    <w:p w14:paraId="6B7B6961" w14:textId="548A5565" w:rsidR="00E442A2" w:rsidRPr="00841157" w:rsidRDefault="00B2724B" w:rsidP="00EA3DF3">
      <w:pPr>
        <w:pStyle w:val="ListParagraph"/>
        <w:numPr>
          <w:ilvl w:val="0"/>
          <w:numId w:val="21"/>
        </w:numPr>
        <w:spacing w:before="120" w:line="260" w:lineRule="atLeast"/>
        <w:ind w:left="357" w:hanging="357"/>
        <w:contextualSpacing w:val="0"/>
        <w:jc w:val="both"/>
        <w:rPr>
          <w:rFonts w:cs="Arial"/>
        </w:rPr>
      </w:pPr>
      <w:r>
        <w:rPr>
          <w:lang w:bidi="es-ES"/>
        </w:rPr>
        <w:lastRenderedPageBreak/>
        <w:t xml:space="preserve">Detalle la función que las </w:t>
      </w:r>
      <w:r w:rsidR="00F877E4">
        <w:rPr>
          <w:b/>
          <w:lang w:bidi="es-ES"/>
        </w:rPr>
        <w:t>organizaciones de la sociedad civil de base comunitaria</w:t>
      </w:r>
      <w:r>
        <w:rPr>
          <w:lang w:bidi="es-ES"/>
        </w:rPr>
        <w:t xml:space="preserve"> van a desempeñar en el marco de los </w:t>
      </w:r>
      <w:r w:rsidR="00F877E4">
        <w:rPr>
          <w:lang w:bidi="es-ES"/>
        </w:rPr>
        <w:t>arreglos de implementación</w:t>
      </w:r>
      <w:r>
        <w:rPr>
          <w:lang w:bidi="es-ES"/>
        </w:rPr>
        <w:t>.</w:t>
      </w:r>
    </w:p>
    <w:tbl>
      <w:tblPr>
        <w:tblStyle w:val="TableGrid"/>
        <w:tblW w:w="0" w:type="auto"/>
        <w:tblLook w:val="04A0" w:firstRow="1" w:lastRow="0" w:firstColumn="1" w:lastColumn="0" w:noHBand="0" w:noVBand="1"/>
      </w:tblPr>
      <w:tblGrid>
        <w:gridCol w:w="10456"/>
      </w:tblGrid>
      <w:tr w:rsidR="00E442A2" w:rsidRPr="00A56294" w14:paraId="052E012C" w14:textId="77777777" w:rsidTr="00EA3DF3">
        <w:tc>
          <w:tcPr>
            <w:tcW w:w="10456" w:type="dxa"/>
          </w:tcPr>
          <w:p w14:paraId="128FC5DD" w14:textId="55CF8D34" w:rsidR="00E173E1" w:rsidRPr="00621E01" w:rsidRDefault="00E173E1" w:rsidP="00E173E1">
            <w:pPr>
              <w:rPr>
                <w:b/>
                <w:bCs/>
                <w:lang w:val="es-NI"/>
              </w:rPr>
            </w:pPr>
            <w:r w:rsidRPr="00621E01">
              <w:rPr>
                <w:b/>
                <w:bCs/>
                <w:lang w:val="es-NI"/>
              </w:rPr>
              <w:t>Jóvenes (Plan)</w:t>
            </w:r>
          </w:p>
          <w:p w14:paraId="30A65EDE" w14:textId="3A86406A" w:rsidR="00E173E1" w:rsidRPr="00E173E1" w:rsidRDefault="00E173E1" w:rsidP="00E42748">
            <w:pPr>
              <w:jc w:val="both"/>
              <w:rPr>
                <w:lang w:val="es-NI"/>
              </w:rPr>
            </w:pPr>
            <w:r w:rsidRPr="00E173E1">
              <w:rPr>
                <w:lang w:val="es-NI"/>
              </w:rPr>
              <w:t>Se ha planteado dentro de esta subvención un fortalecimiento a las organizaciones de jóvenes de poblaciones clave con base comunitaria</w:t>
            </w:r>
            <w:r w:rsidR="00E42748">
              <w:rPr>
                <w:lang w:val="es-NI"/>
              </w:rPr>
              <w:t>,</w:t>
            </w:r>
            <w:r w:rsidRPr="00E173E1">
              <w:rPr>
                <w:lang w:val="es-NI"/>
              </w:rPr>
              <w:t xml:space="preserve"> que estarían articulando junto a Plan International, acciones encaminadas a transversalizar el tema de VIH en sus accionares, principalmente en sus plataformas de incidencia social y política</w:t>
            </w:r>
            <w:r w:rsidR="00662AEF">
              <w:rPr>
                <w:lang w:val="es-NI"/>
              </w:rPr>
              <w:t xml:space="preserve">, </w:t>
            </w:r>
            <w:r w:rsidRPr="00E173E1">
              <w:rPr>
                <w:lang w:val="es-NI"/>
              </w:rPr>
              <w:t xml:space="preserve">desde sus espacios comunitarios y municipales. </w:t>
            </w:r>
          </w:p>
          <w:p w14:paraId="79922B3C" w14:textId="77777777" w:rsidR="00E173E1" w:rsidRPr="00E173E1" w:rsidRDefault="00E173E1" w:rsidP="00E42748">
            <w:pPr>
              <w:jc w:val="both"/>
              <w:rPr>
                <w:lang w:val="es-NI"/>
              </w:rPr>
            </w:pPr>
            <w:r w:rsidRPr="00E173E1">
              <w:rPr>
                <w:lang w:val="es-NI"/>
              </w:rPr>
              <w:t>Estas organizaciones de jóvenes las cuales demuestran inclusión notable de miembros de las poblaciones claves participarían en la creación, validación de mensajes educativos, formativos e informativos que serán divulgados a través de las redes sociales para generar mensajes de cambio de comportamiento para otros jóvenes y adolescentes, sobre estigma y discriminación, diversidad y comportamientos sexuales saludables que los ayuden a la prevención de VIH y otras ITS.</w:t>
            </w:r>
          </w:p>
          <w:p w14:paraId="77918CA9" w14:textId="27605EFD" w:rsidR="00E173E1" w:rsidRPr="00E173E1" w:rsidRDefault="00E173E1" w:rsidP="00E42748">
            <w:pPr>
              <w:jc w:val="both"/>
              <w:rPr>
                <w:lang w:val="es-NI"/>
              </w:rPr>
            </w:pPr>
            <w:r w:rsidRPr="00E173E1">
              <w:rPr>
                <w:lang w:val="es-NI"/>
              </w:rPr>
              <w:t>Las organizaciones de jóvenes harán y promoverán hábitos saludables y mensajes de prevención efectivos para jóvenes y adolescentes a través de la organización de expresiones artísticas relacionadas con el VIH.</w:t>
            </w:r>
          </w:p>
          <w:p w14:paraId="25CE36F1" w14:textId="028316BC" w:rsidR="00E173E1" w:rsidRPr="00E173E1" w:rsidRDefault="00E173E1" w:rsidP="00E42748">
            <w:pPr>
              <w:jc w:val="both"/>
              <w:rPr>
                <w:lang w:val="es-NI"/>
              </w:rPr>
            </w:pPr>
            <w:r w:rsidRPr="00E173E1">
              <w:rPr>
                <w:lang w:val="es-NI"/>
              </w:rPr>
              <w:t>Los jóvenes de estas organizaciones son la contraloría social en las mejoras de los accesos de la atención integral dentro de las clínicas amigables de los establecimientos de MINSAL</w:t>
            </w:r>
            <w:r w:rsidR="00115CFE">
              <w:rPr>
                <w:lang w:val="es-NI"/>
              </w:rPr>
              <w:t>,</w:t>
            </w:r>
            <w:r w:rsidRPr="00E173E1">
              <w:rPr>
                <w:lang w:val="es-NI"/>
              </w:rPr>
              <w:t xml:space="preserve"> dirigidos a jóvenes y adolescentes, donde este proyecto tiene estipulado dar un aporte de mejora en procesos de capacitación a personal de salud que los atiende. </w:t>
            </w:r>
          </w:p>
          <w:p w14:paraId="62B52F48" w14:textId="77777777" w:rsidR="00621E01" w:rsidRDefault="00E173E1" w:rsidP="00E42748">
            <w:pPr>
              <w:jc w:val="both"/>
              <w:rPr>
                <w:lang w:val="es-NI"/>
              </w:rPr>
            </w:pPr>
            <w:r w:rsidRPr="00E173E1">
              <w:rPr>
                <w:b/>
                <w:bCs/>
                <w:lang w:val="es-NI"/>
              </w:rPr>
              <w:t>Clínicas Amigables</w:t>
            </w:r>
            <w:r>
              <w:rPr>
                <w:lang w:val="es-NI"/>
              </w:rPr>
              <w:t xml:space="preserve"> </w:t>
            </w:r>
            <w:r w:rsidRPr="00621E01">
              <w:rPr>
                <w:b/>
                <w:bCs/>
                <w:lang w:val="es-NI"/>
              </w:rPr>
              <w:t>(MINSAL)</w:t>
            </w:r>
            <w:r w:rsidRPr="00E173E1">
              <w:rPr>
                <w:lang w:val="es-NI"/>
              </w:rPr>
              <w:t xml:space="preserve"> </w:t>
            </w:r>
          </w:p>
          <w:p w14:paraId="74FA4A28" w14:textId="412C7C9B" w:rsidR="00E173E1" w:rsidRPr="00E173E1" w:rsidRDefault="00E173E1" w:rsidP="00E42748">
            <w:pPr>
              <w:jc w:val="both"/>
              <w:rPr>
                <w:u w:val="single"/>
                <w:lang w:val="es-NI"/>
              </w:rPr>
            </w:pPr>
            <w:r w:rsidRPr="00E173E1">
              <w:rPr>
                <w:lang w:val="es-NI"/>
              </w:rPr>
              <w:t>Se implementarán las clínicas amigables para adolescentes en unidades de salud, para implementar acciones de salud sexual y reproductiva que incluyan la prevención de las ITS y el VIH]</w:t>
            </w:r>
          </w:p>
          <w:p w14:paraId="40FBCF5A" w14:textId="75D2330A" w:rsidR="00E173E1" w:rsidRPr="00E173E1" w:rsidRDefault="00E173E1" w:rsidP="00E42748">
            <w:pPr>
              <w:jc w:val="both"/>
              <w:rPr>
                <w:lang w:val="es-NI"/>
              </w:rPr>
            </w:pPr>
            <w:r w:rsidRPr="00E173E1">
              <w:rPr>
                <w:b/>
                <w:bCs/>
                <w:lang w:val="es-NI"/>
              </w:rPr>
              <w:t>Prevención</w:t>
            </w:r>
            <w:r w:rsidR="00AE5FB7">
              <w:rPr>
                <w:b/>
                <w:bCs/>
                <w:lang w:val="es-NI"/>
              </w:rPr>
              <w:t xml:space="preserve"> </w:t>
            </w:r>
            <w:r w:rsidR="007A61CA">
              <w:rPr>
                <w:b/>
                <w:bCs/>
                <w:lang w:val="es-NI"/>
              </w:rPr>
              <w:t>-</w:t>
            </w:r>
            <w:r w:rsidR="00AE5FB7">
              <w:rPr>
                <w:b/>
                <w:bCs/>
                <w:lang w:val="es-NI"/>
              </w:rPr>
              <w:t xml:space="preserve"> </w:t>
            </w:r>
            <w:r w:rsidR="007A5EDC">
              <w:rPr>
                <w:b/>
                <w:bCs/>
                <w:lang w:val="es-NI"/>
              </w:rPr>
              <w:t>P</w:t>
            </w:r>
            <w:r>
              <w:rPr>
                <w:b/>
                <w:bCs/>
                <w:lang w:val="es-NI"/>
              </w:rPr>
              <w:t xml:space="preserve">aquetes de prevención para cambio de comportamiento </w:t>
            </w:r>
            <w:r w:rsidRPr="00E173E1">
              <w:rPr>
                <w:lang w:val="es-NI"/>
              </w:rPr>
              <w:t>(Plan</w:t>
            </w:r>
            <w:r>
              <w:rPr>
                <w:lang w:val="es-NI"/>
              </w:rPr>
              <w:t>)</w:t>
            </w:r>
          </w:p>
          <w:p w14:paraId="174E7C0D" w14:textId="29B92E15" w:rsidR="00E173E1" w:rsidRPr="00E173E1" w:rsidRDefault="00E173E1" w:rsidP="00E42748">
            <w:pPr>
              <w:jc w:val="both"/>
              <w:rPr>
                <w:lang w:val="es-NI"/>
              </w:rPr>
            </w:pPr>
            <w:r w:rsidRPr="00E173E1">
              <w:rPr>
                <w:lang w:val="es-NI"/>
              </w:rPr>
              <w:t xml:space="preserve">El módulo de intervención de Prevención estará siendo desarrollado por Plan Internacional y los socios implementadores. Se ha establecido en esta nueva subvención, un socio por cada población clave y cada uno tiene </w:t>
            </w:r>
            <w:r w:rsidR="00E42748" w:rsidRPr="00E173E1">
              <w:rPr>
                <w:lang w:val="es-NI"/>
              </w:rPr>
              <w:t>como responsabilidades</w:t>
            </w:r>
            <w:r w:rsidRPr="00E173E1">
              <w:rPr>
                <w:lang w:val="es-NI"/>
              </w:rPr>
              <w:t>:</w:t>
            </w:r>
          </w:p>
          <w:p w14:paraId="38F9B5B9" w14:textId="0D5E3A4F" w:rsidR="00E173E1" w:rsidRPr="00E173E1" w:rsidRDefault="00E173E1" w:rsidP="00E42748">
            <w:pPr>
              <w:pStyle w:val="ListParagraph"/>
              <w:numPr>
                <w:ilvl w:val="0"/>
                <w:numId w:val="68"/>
              </w:numPr>
              <w:jc w:val="both"/>
              <w:rPr>
                <w:lang w:val="es-NI"/>
              </w:rPr>
            </w:pPr>
            <w:r w:rsidRPr="00E173E1">
              <w:rPr>
                <w:lang w:val="es-NI"/>
              </w:rPr>
              <w:lastRenderedPageBreak/>
              <w:t>Mapeo y desarrollo de intervenciones de cambio de comportamiento, en campo y en línea, por pares.</w:t>
            </w:r>
          </w:p>
          <w:p w14:paraId="5EBD3A1F" w14:textId="6FED9D7F" w:rsidR="00E173E1" w:rsidRPr="00E173E1" w:rsidRDefault="00E173E1" w:rsidP="00AE5FB7">
            <w:pPr>
              <w:pStyle w:val="ListParagraph"/>
              <w:numPr>
                <w:ilvl w:val="0"/>
                <w:numId w:val="68"/>
              </w:numPr>
              <w:jc w:val="both"/>
              <w:rPr>
                <w:lang w:val="es-NI"/>
              </w:rPr>
            </w:pPr>
            <w:r w:rsidRPr="00E173E1">
              <w:rPr>
                <w:lang w:val="es-NI"/>
              </w:rPr>
              <w:t>Entrega de suministros (condones y lubricantes base agua) y toma de pruebas en coordinación con unidades móviles y establecimientos de MINSAL.</w:t>
            </w:r>
          </w:p>
          <w:p w14:paraId="1C6B8EC8" w14:textId="26552026" w:rsidR="00E173E1" w:rsidRPr="00E173E1" w:rsidRDefault="00E173E1" w:rsidP="00AE5FB7">
            <w:pPr>
              <w:pStyle w:val="ListParagraph"/>
              <w:numPr>
                <w:ilvl w:val="0"/>
                <w:numId w:val="68"/>
              </w:numPr>
              <w:jc w:val="both"/>
              <w:rPr>
                <w:lang w:val="es-NI"/>
              </w:rPr>
            </w:pPr>
            <w:r w:rsidRPr="00E173E1">
              <w:rPr>
                <w:lang w:val="es-NI"/>
              </w:rPr>
              <w:t>Acciones para el desarrollo de actividades coordinadas con clínicas VICITS y amigables.</w:t>
            </w:r>
          </w:p>
          <w:p w14:paraId="65514820" w14:textId="029B4EE3" w:rsidR="00E173E1" w:rsidRPr="00E173E1" w:rsidRDefault="00E173E1" w:rsidP="00AE5FB7">
            <w:pPr>
              <w:pStyle w:val="ListParagraph"/>
              <w:numPr>
                <w:ilvl w:val="0"/>
                <w:numId w:val="68"/>
              </w:numPr>
              <w:jc w:val="both"/>
              <w:rPr>
                <w:lang w:val="es-NI"/>
              </w:rPr>
            </w:pPr>
            <w:r w:rsidRPr="00E173E1">
              <w:rPr>
                <w:lang w:val="es-NI"/>
              </w:rPr>
              <w:t>Registro de toda la información en formularios y el sistema SIGPRO, devolución de la información de FVIH 01 para digitación en SUMEVE.</w:t>
            </w:r>
          </w:p>
          <w:p w14:paraId="7A48D9AD" w14:textId="611590BA" w:rsidR="00E173E1" w:rsidRPr="00E173E1" w:rsidRDefault="00E173E1" w:rsidP="00AE5FB7">
            <w:pPr>
              <w:pStyle w:val="ListParagraph"/>
              <w:numPr>
                <w:ilvl w:val="0"/>
                <w:numId w:val="68"/>
              </w:numPr>
              <w:jc w:val="both"/>
              <w:rPr>
                <w:lang w:val="es-NI"/>
              </w:rPr>
            </w:pPr>
            <w:r w:rsidRPr="00E173E1">
              <w:rPr>
                <w:lang w:val="es-NI"/>
              </w:rPr>
              <w:t>Un papel importante en esta subvención es la notificación asistida de parejas o contactos, a través de la identificación de los casos índices y de sus contactos para el tamizaje oportuno.</w:t>
            </w:r>
          </w:p>
          <w:p w14:paraId="57D3AAD2" w14:textId="0E1E77A9" w:rsidR="00E173E1" w:rsidRPr="00E173E1" w:rsidRDefault="00E173E1" w:rsidP="00AE5FB7">
            <w:pPr>
              <w:pStyle w:val="ListParagraph"/>
              <w:numPr>
                <w:ilvl w:val="0"/>
                <w:numId w:val="68"/>
              </w:numPr>
              <w:jc w:val="both"/>
              <w:rPr>
                <w:lang w:val="es-NI"/>
              </w:rPr>
            </w:pPr>
            <w:r w:rsidRPr="00E173E1">
              <w:rPr>
                <w:lang w:val="es-NI"/>
              </w:rPr>
              <w:t>Desarrollo de los procesos de vinculación de los usuarios casos nuevos y referencia de los casos en abandono.</w:t>
            </w:r>
          </w:p>
          <w:p w14:paraId="20CD27D9" w14:textId="4BCB659A" w:rsidR="00E173E1" w:rsidRPr="00E173E1" w:rsidRDefault="00E173E1" w:rsidP="00E173E1">
            <w:pPr>
              <w:rPr>
                <w:lang w:val="es-NI"/>
              </w:rPr>
            </w:pPr>
            <w:r w:rsidRPr="00E173E1">
              <w:rPr>
                <w:b/>
                <w:bCs/>
                <w:lang w:val="es-NI"/>
              </w:rPr>
              <w:t xml:space="preserve">Testeo </w:t>
            </w:r>
            <w:r w:rsidRPr="00621E01">
              <w:rPr>
                <w:b/>
                <w:bCs/>
                <w:lang w:val="es-NI"/>
              </w:rPr>
              <w:t>(Plan)</w:t>
            </w:r>
          </w:p>
          <w:p w14:paraId="797E78E2" w14:textId="12A37599" w:rsidR="00E173E1" w:rsidRPr="00E173E1" w:rsidRDefault="00E173E1" w:rsidP="00021D35">
            <w:pPr>
              <w:jc w:val="both"/>
              <w:rPr>
                <w:lang w:val="es-NI"/>
              </w:rPr>
            </w:pPr>
            <w:r w:rsidRPr="00E173E1">
              <w:rPr>
                <w:lang w:val="es-NI"/>
              </w:rPr>
              <w:t xml:space="preserve">Las organizaciones de la sociedad </w:t>
            </w:r>
            <w:r w:rsidR="00424489" w:rsidRPr="00E173E1">
              <w:rPr>
                <w:lang w:val="es-NI"/>
              </w:rPr>
              <w:t>civil</w:t>
            </w:r>
            <w:r w:rsidRPr="00E173E1">
              <w:rPr>
                <w:lang w:val="es-NI"/>
              </w:rPr>
              <w:t xml:space="preserve"> son pieza clave en la estrategia de testeo de las poblaciones claves, por las siguientes razones: </w:t>
            </w:r>
          </w:p>
          <w:p w14:paraId="03F07A21" w14:textId="269252CF" w:rsidR="00E173E1" w:rsidRPr="00E173E1" w:rsidRDefault="00E173E1" w:rsidP="00021D35">
            <w:pPr>
              <w:pStyle w:val="ListParagraph"/>
              <w:numPr>
                <w:ilvl w:val="0"/>
                <w:numId w:val="67"/>
              </w:numPr>
              <w:jc w:val="both"/>
              <w:rPr>
                <w:lang w:val="es-NI"/>
              </w:rPr>
            </w:pPr>
            <w:r w:rsidRPr="00E173E1">
              <w:rPr>
                <w:lang w:val="es-NI"/>
              </w:rPr>
              <w:t>El testeo en esta subvención que inicia con el mapeo de las poblaciones claves, y define las intervenciones de estos en sus lugares de agregación.</w:t>
            </w:r>
          </w:p>
          <w:p w14:paraId="3B89F990" w14:textId="3E561BE8" w:rsidR="00E173E1" w:rsidRPr="00E173E1" w:rsidRDefault="00E173E1" w:rsidP="00021D35">
            <w:pPr>
              <w:pStyle w:val="ListParagraph"/>
              <w:numPr>
                <w:ilvl w:val="0"/>
                <w:numId w:val="67"/>
              </w:numPr>
              <w:jc w:val="both"/>
              <w:rPr>
                <w:lang w:val="es-NI"/>
              </w:rPr>
            </w:pPr>
            <w:r w:rsidRPr="00E173E1">
              <w:rPr>
                <w:lang w:val="es-NI"/>
              </w:rPr>
              <w:t>El acompañamiento que estos educadores pares de las organizaciones de la sociedad civil hacen a las Unidades Móviles y a las clínicas VICITS y Amigables de MINSAL</w:t>
            </w:r>
            <w:r w:rsidR="007C411F">
              <w:rPr>
                <w:lang w:val="es-NI"/>
              </w:rPr>
              <w:t>.</w:t>
            </w:r>
            <w:r w:rsidRPr="00E173E1">
              <w:rPr>
                <w:lang w:val="es-NI"/>
              </w:rPr>
              <w:t xml:space="preserve"> </w:t>
            </w:r>
          </w:p>
          <w:p w14:paraId="3737DE48" w14:textId="623775B1" w:rsidR="00E173E1" w:rsidRPr="00E173E1" w:rsidRDefault="00E173E1" w:rsidP="00021D35">
            <w:pPr>
              <w:pStyle w:val="ListParagraph"/>
              <w:numPr>
                <w:ilvl w:val="0"/>
                <w:numId w:val="67"/>
              </w:numPr>
              <w:jc w:val="both"/>
              <w:rPr>
                <w:lang w:val="es-NI"/>
              </w:rPr>
            </w:pPr>
            <w:r w:rsidRPr="00E173E1">
              <w:rPr>
                <w:lang w:val="es-NI"/>
              </w:rPr>
              <w:t>El adecuado llenado de los formularios de soporte principalmente consentimiento informado, FVIH 01, y entrega de FVIH 01.b, manteniendo l</w:t>
            </w:r>
            <w:r w:rsidR="00021D35">
              <w:rPr>
                <w:lang w:val="es-NI"/>
              </w:rPr>
              <w:t>a</w:t>
            </w:r>
            <w:r w:rsidRPr="00E173E1">
              <w:rPr>
                <w:lang w:val="es-NI"/>
              </w:rPr>
              <w:t xml:space="preserve"> confidencialidad de los datos</w:t>
            </w:r>
            <w:r w:rsidR="00200AC3">
              <w:rPr>
                <w:lang w:val="es-NI"/>
              </w:rPr>
              <w:t>.</w:t>
            </w:r>
          </w:p>
          <w:p w14:paraId="7557493E" w14:textId="0B615B4C" w:rsidR="00E173E1" w:rsidRPr="00E173E1" w:rsidRDefault="00E173E1" w:rsidP="00021D35">
            <w:pPr>
              <w:pStyle w:val="ListParagraph"/>
              <w:numPr>
                <w:ilvl w:val="0"/>
                <w:numId w:val="67"/>
              </w:numPr>
              <w:jc w:val="both"/>
              <w:rPr>
                <w:lang w:val="es-NI"/>
              </w:rPr>
            </w:pPr>
            <w:r w:rsidRPr="00E173E1">
              <w:rPr>
                <w:lang w:val="es-NI"/>
              </w:rPr>
              <w:t>Ingreso de la información en SIGPRO y SUMEVE</w:t>
            </w:r>
            <w:r w:rsidR="00021D35">
              <w:rPr>
                <w:lang w:val="es-NI"/>
              </w:rPr>
              <w:t>.</w:t>
            </w:r>
          </w:p>
          <w:p w14:paraId="30A1CE9A" w14:textId="3F065190" w:rsidR="00E173E1" w:rsidRPr="00E173E1" w:rsidRDefault="00E173E1" w:rsidP="00021D35">
            <w:pPr>
              <w:pStyle w:val="ListParagraph"/>
              <w:numPr>
                <w:ilvl w:val="0"/>
                <w:numId w:val="67"/>
              </w:numPr>
              <w:jc w:val="both"/>
              <w:rPr>
                <w:lang w:val="es-NI"/>
              </w:rPr>
            </w:pPr>
            <w:r w:rsidRPr="00E173E1">
              <w:rPr>
                <w:lang w:val="es-NI"/>
              </w:rPr>
              <w:t>Se espera que los socios operarán Unidades Móviles</w:t>
            </w:r>
            <w:r w:rsidR="00200AC3">
              <w:rPr>
                <w:lang w:val="es-NI"/>
              </w:rPr>
              <w:t>,</w:t>
            </w:r>
            <w:r w:rsidRPr="00E173E1">
              <w:rPr>
                <w:lang w:val="es-NI"/>
              </w:rPr>
              <w:t xml:space="preserve"> por lo que deberán estar alineados con los procedimientos operativos estandarizados para la toma de muestras, para el control de calidad y el reporte de </w:t>
            </w:r>
            <w:r w:rsidR="00200AC3" w:rsidRPr="00E173E1">
              <w:rPr>
                <w:lang w:val="es-NI"/>
              </w:rPr>
              <w:t>estas</w:t>
            </w:r>
            <w:r w:rsidRPr="00E173E1">
              <w:rPr>
                <w:lang w:val="es-NI"/>
              </w:rPr>
              <w:t xml:space="preserve"> </w:t>
            </w:r>
            <w:r w:rsidR="00200AC3" w:rsidRPr="00E173E1">
              <w:rPr>
                <w:lang w:val="es-NI"/>
              </w:rPr>
              <w:t>de acuerdo con</w:t>
            </w:r>
            <w:r w:rsidRPr="00E173E1">
              <w:rPr>
                <w:lang w:val="es-NI"/>
              </w:rPr>
              <w:t xml:space="preserve"> lineamientos.</w:t>
            </w:r>
          </w:p>
          <w:p w14:paraId="4A7FC62F" w14:textId="0C6EE987" w:rsidR="00E173E1" w:rsidRPr="00E173E1" w:rsidRDefault="00E173E1" w:rsidP="00021D35">
            <w:pPr>
              <w:pStyle w:val="ListParagraph"/>
              <w:numPr>
                <w:ilvl w:val="0"/>
                <w:numId w:val="67"/>
              </w:numPr>
              <w:jc w:val="both"/>
              <w:rPr>
                <w:lang w:val="es-NI"/>
              </w:rPr>
            </w:pPr>
            <w:r w:rsidRPr="00E173E1">
              <w:rPr>
                <w:lang w:val="es-NI"/>
              </w:rPr>
              <w:t>Coordinaciones efectivas con diferentes niveles de salud de MINSAL</w:t>
            </w:r>
            <w:r w:rsidR="00200AC3">
              <w:rPr>
                <w:lang w:val="es-NI"/>
              </w:rPr>
              <w:t>,</w:t>
            </w:r>
            <w:r w:rsidRPr="00E173E1">
              <w:rPr>
                <w:lang w:val="es-NI"/>
              </w:rPr>
              <w:t xml:space="preserve"> para la coordinación de toma de pruebas en los establecimientos locales como VICITS, Amigables y U</w:t>
            </w:r>
            <w:r w:rsidR="00200AC3">
              <w:rPr>
                <w:lang w:val="es-NI"/>
              </w:rPr>
              <w:t>C</w:t>
            </w:r>
            <w:r w:rsidRPr="00E173E1">
              <w:rPr>
                <w:lang w:val="es-NI"/>
              </w:rPr>
              <w:t>SF con laboratorio.</w:t>
            </w:r>
          </w:p>
          <w:p w14:paraId="22E2C38E" w14:textId="78A8F8EE" w:rsidR="00E173E1" w:rsidRPr="00E173E1" w:rsidRDefault="00E173E1" w:rsidP="00021D35">
            <w:pPr>
              <w:pStyle w:val="ListParagraph"/>
              <w:numPr>
                <w:ilvl w:val="0"/>
                <w:numId w:val="67"/>
              </w:numPr>
              <w:jc w:val="both"/>
              <w:rPr>
                <w:lang w:val="es-NI"/>
              </w:rPr>
            </w:pPr>
            <w:r w:rsidRPr="00E173E1">
              <w:rPr>
                <w:lang w:val="es-NI"/>
              </w:rPr>
              <w:t>Identificación y coordinación para la vinculación de casos nuevos.</w:t>
            </w:r>
          </w:p>
          <w:p w14:paraId="7074E730" w14:textId="361E04BF" w:rsidR="00E173E1" w:rsidRPr="00E173E1" w:rsidRDefault="00E173E1" w:rsidP="00021D35">
            <w:pPr>
              <w:pStyle w:val="ListParagraph"/>
              <w:numPr>
                <w:ilvl w:val="0"/>
                <w:numId w:val="67"/>
              </w:numPr>
              <w:jc w:val="both"/>
              <w:rPr>
                <w:lang w:val="es-NI"/>
              </w:rPr>
            </w:pPr>
            <w:r w:rsidRPr="00E173E1">
              <w:rPr>
                <w:lang w:val="es-NI"/>
              </w:rPr>
              <w:t>Referencia de casos conocidos o en abandonos con socios de referencia del Programa Nacional.</w:t>
            </w:r>
          </w:p>
          <w:p w14:paraId="4FD61D04" w14:textId="45032BD6" w:rsidR="00E173E1" w:rsidRPr="00E173E1" w:rsidRDefault="00E173E1" w:rsidP="00021D35">
            <w:pPr>
              <w:pStyle w:val="ListParagraph"/>
              <w:numPr>
                <w:ilvl w:val="0"/>
                <w:numId w:val="67"/>
              </w:numPr>
              <w:jc w:val="both"/>
              <w:rPr>
                <w:lang w:val="es-NI"/>
              </w:rPr>
            </w:pPr>
            <w:r w:rsidRPr="00E173E1">
              <w:rPr>
                <w:lang w:val="es-NI"/>
              </w:rPr>
              <w:t>Las organizaciones socias de cuidado y tratamiento son las responsables del seguimiento de los casos nuevos y en abandono, de la vinculación y del seguimiento a la adherencia de los casos identificados, en los módulos de prevención y testeo.</w:t>
            </w:r>
          </w:p>
          <w:p w14:paraId="51D22F18" w14:textId="4CB066A0" w:rsidR="00E173E1" w:rsidRPr="00E173E1" w:rsidRDefault="00D7543F" w:rsidP="00021D35">
            <w:pPr>
              <w:jc w:val="both"/>
              <w:rPr>
                <w:lang w:val="es-NI"/>
              </w:rPr>
            </w:pPr>
            <w:r>
              <w:rPr>
                <w:b/>
                <w:bCs/>
                <w:lang w:val="es-NI"/>
              </w:rPr>
              <w:t>Auto prueba</w:t>
            </w:r>
            <w:r w:rsidR="00E173E1" w:rsidRPr="00E173E1">
              <w:rPr>
                <w:b/>
                <w:bCs/>
                <w:lang w:val="es-NI"/>
              </w:rPr>
              <w:t xml:space="preserve">: </w:t>
            </w:r>
            <w:r w:rsidR="00621E01" w:rsidRPr="00621E01">
              <w:rPr>
                <w:lang w:val="es-NI"/>
              </w:rPr>
              <w:t>S</w:t>
            </w:r>
            <w:r w:rsidR="00E173E1" w:rsidRPr="00E173E1">
              <w:rPr>
                <w:lang w:val="es-NI"/>
              </w:rPr>
              <w:t>e ofertará en aquellos servicios que no cuentan con laboratorio clínico, en el que las OSC apoyarán con la promoción de dicha actividad entre sus integrantes</w:t>
            </w:r>
            <w:r w:rsidR="00E173E1">
              <w:rPr>
                <w:lang w:val="es-NI"/>
              </w:rPr>
              <w:t>. (MINSAL)</w:t>
            </w:r>
          </w:p>
          <w:p w14:paraId="372E4586" w14:textId="78CCC841" w:rsidR="00E442A2" w:rsidRPr="00E173E1" w:rsidRDefault="00E173E1" w:rsidP="00021D35">
            <w:pPr>
              <w:jc w:val="both"/>
              <w:rPr>
                <w:rFonts w:cs="Arial"/>
                <w:lang w:val="es-NI"/>
              </w:rPr>
            </w:pPr>
            <w:r w:rsidRPr="00E173E1">
              <w:rPr>
                <w:b/>
                <w:bCs/>
                <w:lang w:val="es-NI"/>
              </w:rPr>
              <w:t>Fortalecimiento a grupos de apoyo</w:t>
            </w:r>
            <w:r w:rsidRPr="00E173E1">
              <w:rPr>
                <w:lang w:val="es-NI"/>
              </w:rPr>
              <w:t xml:space="preserve">: </w:t>
            </w:r>
            <w:r w:rsidR="00621E01">
              <w:rPr>
                <w:lang w:val="es-NI"/>
              </w:rPr>
              <w:t>P</w:t>
            </w:r>
            <w:r w:rsidRPr="00E173E1">
              <w:rPr>
                <w:lang w:val="es-NI"/>
              </w:rPr>
              <w:t>ersonal de CAI trabajará con los líderes de los grupos de apoyo para motivar la participación en las reuniones grupales presenciales o virtuales</w:t>
            </w:r>
            <w:r w:rsidR="00540152">
              <w:rPr>
                <w:lang w:val="es-NI"/>
              </w:rPr>
              <w:t>,</w:t>
            </w:r>
            <w:r w:rsidRPr="00E173E1">
              <w:rPr>
                <w:lang w:val="es-NI"/>
              </w:rPr>
              <w:t xml:space="preserve"> a fin de fortalecer su adherencia a la TAR y el auto</w:t>
            </w:r>
            <w:r w:rsidR="00021D35">
              <w:rPr>
                <w:lang w:val="es-NI"/>
              </w:rPr>
              <w:t xml:space="preserve"> </w:t>
            </w:r>
            <w:r w:rsidRPr="00E173E1">
              <w:rPr>
                <w:lang w:val="es-NI"/>
              </w:rPr>
              <w:t>cuido de su salud. Para estas intervenciones no se requerirá financiamiento del FM.</w:t>
            </w:r>
            <w:r>
              <w:rPr>
                <w:lang w:val="es-NI"/>
              </w:rPr>
              <w:t xml:space="preserve"> (MINSAL)</w:t>
            </w:r>
          </w:p>
        </w:tc>
      </w:tr>
    </w:tbl>
    <w:p w14:paraId="7913DB28" w14:textId="7B4A8BA8" w:rsidR="00906417" w:rsidRPr="00841157" w:rsidRDefault="00906417" w:rsidP="00EA3DF3">
      <w:pPr>
        <w:pStyle w:val="ListParagraph"/>
        <w:numPr>
          <w:ilvl w:val="0"/>
          <w:numId w:val="21"/>
        </w:numPr>
        <w:spacing w:before="120" w:line="240" w:lineRule="auto"/>
        <w:ind w:left="357" w:hanging="357"/>
        <w:contextualSpacing w:val="0"/>
        <w:jc w:val="both"/>
        <w:rPr>
          <w:rFonts w:asciiTheme="majorHAnsi" w:hAnsiTheme="majorHAnsi" w:cstheme="majorHAnsi"/>
        </w:rPr>
      </w:pPr>
      <w:r w:rsidRPr="008C21CF">
        <w:rPr>
          <w:rFonts w:asciiTheme="majorHAnsi" w:hAnsiTheme="majorHAnsi" w:cstheme="majorHAnsi"/>
          <w:lang w:bidi="es-ES"/>
        </w:rPr>
        <w:lastRenderedPageBreak/>
        <w:t xml:space="preserve">¿El receptor principal es una </w:t>
      </w:r>
      <w:r w:rsidRPr="008C21CF">
        <w:rPr>
          <w:rFonts w:asciiTheme="majorHAnsi" w:hAnsiTheme="majorHAnsi" w:cstheme="majorHAnsi"/>
          <w:b/>
          <w:lang w:bidi="es-ES"/>
        </w:rPr>
        <w:t>institución internacional</w:t>
      </w:r>
      <w:r w:rsidRPr="008C21CF">
        <w:rPr>
          <w:rFonts w:asciiTheme="majorHAnsi" w:hAnsiTheme="majorHAnsi" w:cstheme="majorHAnsi"/>
          <w:lang w:bidi="es-ES"/>
        </w:rPr>
        <w:t xml:space="preserve"> (por ejemplo, una ONG internacional o un organismo de las Naciones Unidas)? </w:t>
      </w:r>
    </w:p>
    <w:p w14:paraId="5F379A61" w14:textId="109D48E9" w:rsidR="00906417" w:rsidRPr="00841157" w:rsidRDefault="00381E40" w:rsidP="00EA3DF3">
      <w:pPr>
        <w:pStyle w:val="ListParagraph"/>
        <w:spacing w:before="120" w:line="240" w:lineRule="auto"/>
        <w:contextualSpacing w:val="0"/>
        <w:jc w:val="both"/>
        <w:rPr>
          <w:rFonts w:asciiTheme="majorHAnsi" w:hAnsiTheme="majorHAnsi" w:cstheme="majorHAnsi"/>
          <w:bCs/>
          <w:iCs/>
        </w:rPr>
      </w:pPr>
      <w:sdt>
        <w:sdtPr>
          <w:rPr>
            <w:rFonts w:asciiTheme="majorHAnsi" w:eastAsia="MS Gothic" w:hAnsiTheme="majorHAnsi" w:cstheme="majorHAnsi"/>
            <w:bCs/>
            <w:iCs/>
            <w:lang w:val="es-NI"/>
          </w:rPr>
          <w:id w:val="-869147715"/>
          <w14:checkbox>
            <w14:checked w14:val="1"/>
            <w14:checkedState w14:val="2612" w14:font="MS Gothic"/>
            <w14:uncheckedState w14:val="2610" w14:font="MS Gothic"/>
          </w14:checkbox>
        </w:sdtPr>
        <w:sdtContent>
          <w:r w:rsidR="00EA3DF3" w:rsidRPr="00313F99">
            <w:rPr>
              <w:rFonts w:ascii="MS Gothic" w:eastAsia="MS Gothic" w:hAnsi="MS Gothic" w:cstheme="majorHAnsi" w:hint="eastAsia"/>
              <w:bCs/>
              <w:iCs/>
              <w:lang w:val="es-NI"/>
            </w:rPr>
            <w:t>☒</w:t>
          </w:r>
        </w:sdtContent>
      </w:sdt>
      <w:r w:rsidR="00906417" w:rsidRPr="008C21CF">
        <w:rPr>
          <w:rFonts w:asciiTheme="majorHAnsi" w:hAnsiTheme="majorHAnsi" w:cstheme="majorHAnsi"/>
          <w:lang w:bidi="es-ES"/>
        </w:rPr>
        <w:t xml:space="preserve"> Sí         </w:t>
      </w:r>
      <w:sdt>
        <w:sdtPr>
          <w:rPr>
            <w:rFonts w:asciiTheme="majorHAnsi" w:hAnsiTheme="majorHAnsi" w:cstheme="majorHAnsi"/>
            <w:bCs/>
            <w:iCs/>
          </w:rPr>
          <w:id w:val="996544432"/>
          <w14:checkbox>
            <w14:checked w14:val="0"/>
            <w14:checkedState w14:val="2612" w14:font="MS Gothic"/>
            <w14:uncheckedState w14:val="2610" w14:font="MS Gothic"/>
          </w14:checkbox>
        </w:sdtPr>
        <w:sdtContent>
          <w:r w:rsidR="00906417" w:rsidRPr="001D57CE">
            <w:rPr>
              <w:rFonts w:ascii="Segoe UI Symbol" w:eastAsia="Segoe UI Symbol" w:hAnsi="Segoe UI Symbol" w:cs="Segoe UI Symbol"/>
              <w:lang w:bidi="es-ES"/>
            </w:rPr>
            <w:t>☐</w:t>
          </w:r>
        </w:sdtContent>
      </w:sdt>
      <w:r w:rsidR="00906417" w:rsidRPr="008C21CF">
        <w:rPr>
          <w:rFonts w:asciiTheme="majorHAnsi" w:hAnsiTheme="majorHAnsi" w:cstheme="majorHAnsi"/>
          <w:lang w:bidi="es-ES"/>
        </w:rPr>
        <w:t xml:space="preserve"> No</w:t>
      </w:r>
    </w:p>
    <w:p w14:paraId="05C9D69E" w14:textId="1F4C0F4A" w:rsidR="00906417" w:rsidRPr="00841157" w:rsidRDefault="00906417" w:rsidP="00313F99">
      <w:pPr>
        <w:pStyle w:val="ListParagraph"/>
        <w:spacing w:before="120" w:after="0" w:line="240" w:lineRule="auto"/>
        <w:ind w:left="0"/>
        <w:jc w:val="both"/>
        <w:rPr>
          <w:rFonts w:asciiTheme="majorHAnsi" w:hAnsiTheme="majorHAnsi" w:cstheme="majorHAnsi"/>
        </w:rPr>
      </w:pPr>
      <w:r w:rsidRPr="00B2724B">
        <w:rPr>
          <w:rFonts w:asciiTheme="majorHAnsi" w:hAnsiTheme="majorHAnsi" w:cstheme="majorHAnsi"/>
          <w:b/>
          <w:lang w:bidi="es-ES"/>
        </w:rPr>
        <w:t>En caso afirmativo</w:t>
      </w:r>
      <w:r w:rsidRPr="00B2724B">
        <w:rPr>
          <w:rFonts w:asciiTheme="majorHAnsi" w:hAnsiTheme="majorHAnsi" w:cstheme="majorHAnsi"/>
          <w:lang w:bidi="es-ES"/>
        </w:rPr>
        <w:t xml:space="preserve">, explique cómo, llegado el momento, </w:t>
      </w:r>
      <w:r w:rsidRPr="00B2724B">
        <w:rPr>
          <w:rFonts w:asciiTheme="majorHAnsi" w:hAnsiTheme="majorHAnsi" w:cstheme="majorHAnsi"/>
          <w:b/>
          <w:lang w:bidi="es-ES"/>
        </w:rPr>
        <w:t>se traspasarán a las entidades nacionales</w:t>
      </w:r>
      <w:r w:rsidRPr="00B2724B">
        <w:rPr>
          <w:rFonts w:asciiTheme="majorHAnsi" w:hAnsiTheme="majorHAnsi" w:cstheme="majorHAnsi"/>
          <w:lang w:bidi="es-ES"/>
        </w:rPr>
        <w:t xml:space="preserve"> las responsabilidades del receptor principal que corresponden a la respuesta nacional contra las enfermedades. Además, i) exponga brevemente el cronograma de la transición de estas responsabilidades y </w:t>
      </w:r>
      <w:proofErr w:type="spellStart"/>
      <w:r w:rsidRPr="00B2724B">
        <w:rPr>
          <w:rFonts w:asciiTheme="majorHAnsi" w:hAnsiTheme="majorHAnsi" w:cstheme="majorHAnsi"/>
          <w:lang w:bidi="es-ES"/>
        </w:rPr>
        <w:t>ii</w:t>
      </w:r>
      <w:proofErr w:type="spellEnd"/>
      <w:r w:rsidRPr="00B2724B">
        <w:rPr>
          <w:rFonts w:asciiTheme="majorHAnsi" w:hAnsiTheme="majorHAnsi" w:cstheme="majorHAnsi"/>
          <w:lang w:bidi="es-ES"/>
        </w:rPr>
        <w:t xml:space="preserve">) describa cómo van a reforzarse las capacidades nacionales para </w:t>
      </w:r>
      <w:r w:rsidR="00D34A6D" w:rsidRPr="00B2724B">
        <w:rPr>
          <w:rFonts w:asciiTheme="majorHAnsi" w:hAnsiTheme="majorHAnsi" w:cstheme="majorHAnsi"/>
          <w:lang w:bidi="es-ES"/>
        </w:rPr>
        <w:t>conducir</w:t>
      </w:r>
      <w:r w:rsidRPr="00B2724B">
        <w:rPr>
          <w:rFonts w:asciiTheme="majorHAnsi" w:hAnsiTheme="majorHAnsi" w:cstheme="majorHAnsi"/>
          <w:lang w:bidi="es-ES"/>
        </w:rPr>
        <w:t xml:space="preserve"> la respuesta nacional contra las enfermedades.</w:t>
      </w:r>
    </w:p>
    <w:tbl>
      <w:tblPr>
        <w:tblStyle w:val="TableGrid"/>
        <w:tblW w:w="0" w:type="auto"/>
        <w:tblLook w:val="04A0" w:firstRow="1" w:lastRow="0" w:firstColumn="1" w:lastColumn="0" w:noHBand="0" w:noVBand="1"/>
      </w:tblPr>
      <w:tblGrid>
        <w:gridCol w:w="10456"/>
      </w:tblGrid>
      <w:tr w:rsidR="00906417" w:rsidRPr="00A56294" w14:paraId="4065924C" w14:textId="77777777" w:rsidTr="009B1BDA">
        <w:tc>
          <w:tcPr>
            <w:tcW w:w="10790" w:type="dxa"/>
          </w:tcPr>
          <w:p w14:paraId="7B4A0BF1" w14:textId="5EC24122" w:rsidR="00313F99" w:rsidRPr="008632CF" w:rsidRDefault="00313F99" w:rsidP="00313F99">
            <w:pPr>
              <w:jc w:val="both"/>
              <w:rPr>
                <w:lang w:val="es-NI"/>
              </w:rPr>
            </w:pPr>
            <w:r w:rsidRPr="008632CF">
              <w:rPr>
                <w:lang w:val="es-NI"/>
              </w:rPr>
              <w:t xml:space="preserve">El Salvador de momento no está proyectado para transición del financiamiento del Fondo Mundial. El </w:t>
            </w:r>
            <w:r w:rsidR="006D0B25">
              <w:rPr>
                <w:lang w:val="es-NI"/>
              </w:rPr>
              <w:t>MCP-ES</w:t>
            </w:r>
            <w:r w:rsidRPr="008632CF">
              <w:rPr>
                <w:lang w:val="es-NI"/>
              </w:rPr>
              <w:t xml:space="preserve"> decidió implementar esta subvención con dos RP</w:t>
            </w:r>
            <w:r w:rsidR="003716B0">
              <w:rPr>
                <w:lang w:val="es-NI"/>
              </w:rPr>
              <w:t>,</w:t>
            </w:r>
            <w:r w:rsidRPr="008632CF">
              <w:rPr>
                <w:lang w:val="es-NI"/>
              </w:rPr>
              <w:t xml:space="preserve"> para tener mayor agilidad en la ejecución de </w:t>
            </w:r>
            <w:r w:rsidR="003716B0" w:rsidRPr="008632CF">
              <w:rPr>
                <w:lang w:val="es-NI"/>
              </w:rPr>
              <w:t>esta</w:t>
            </w:r>
            <w:r w:rsidRPr="008632CF">
              <w:rPr>
                <w:lang w:val="es-NI"/>
              </w:rPr>
              <w:t>, estando uno de ellos enfocado en actores del sector público (MINSAL) y el otro hacia las organizaciones de la sociedad civil (Plan International).</w:t>
            </w:r>
          </w:p>
          <w:p w14:paraId="62B9188E" w14:textId="4212B1AA" w:rsidR="00313F99" w:rsidRPr="008632CF" w:rsidRDefault="00313F99" w:rsidP="00313F99">
            <w:pPr>
              <w:jc w:val="both"/>
              <w:rPr>
                <w:lang w:val="es-NI"/>
              </w:rPr>
            </w:pPr>
            <w:r w:rsidRPr="008632CF">
              <w:rPr>
                <w:lang w:val="es-NI"/>
              </w:rPr>
              <w:t xml:space="preserve">Plan International es una organización internacional con base en El Salvador; el </w:t>
            </w:r>
            <w:r w:rsidR="006D0B25">
              <w:rPr>
                <w:lang w:val="es-NI"/>
              </w:rPr>
              <w:t>MCP-ES</w:t>
            </w:r>
            <w:r w:rsidRPr="008632CF">
              <w:rPr>
                <w:lang w:val="es-NI"/>
              </w:rPr>
              <w:t xml:space="preserve"> ha incluido entre sus actividades evaluar la capacidad de Plan International.</w:t>
            </w:r>
          </w:p>
          <w:p w14:paraId="71EFFCA3" w14:textId="4737B5A1" w:rsidR="00313F99" w:rsidRPr="008632CF" w:rsidRDefault="00313F99" w:rsidP="00313F99">
            <w:pPr>
              <w:jc w:val="both"/>
              <w:rPr>
                <w:lang w:val="es-NI"/>
              </w:rPr>
            </w:pPr>
            <w:r w:rsidRPr="008632CF">
              <w:rPr>
                <w:lang w:val="es-NI"/>
              </w:rPr>
              <w:lastRenderedPageBreak/>
              <w:t>Se pretende que con esta subvención se continúen viendo fortalecidas las capacidades administrativas y de gestión de las organizaciones de sociedad civil</w:t>
            </w:r>
            <w:r w:rsidR="00702B30">
              <w:rPr>
                <w:lang w:val="es-NI"/>
              </w:rPr>
              <w:t>,</w:t>
            </w:r>
            <w:r w:rsidRPr="008632CF">
              <w:rPr>
                <w:lang w:val="es-NI"/>
              </w:rPr>
              <w:t xml:space="preserve"> para </w:t>
            </w:r>
            <w:r w:rsidR="00702B30">
              <w:rPr>
                <w:lang w:val="es-NI"/>
              </w:rPr>
              <w:t xml:space="preserve">asegurar </w:t>
            </w:r>
            <w:r w:rsidRPr="008632CF">
              <w:rPr>
                <w:lang w:val="es-NI"/>
              </w:rPr>
              <w:t>en el futuro</w:t>
            </w:r>
            <w:r w:rsidR="00702B30">
              <w:rPr>
                <w:lang w:val="es-NI"/>
              </w:rPr>
              <w:t xml:space="preserve">, </w:t>
            </w:r>
            <w:r w:rsidRPr="008632CF">
              <w:rPr>
                <w:lang w:val="es-NI"/>
              </w:rPr>
              <w:t>que los RP puedan ser entidades nacionales. El proceso de acompañamiento que viene desarrollando Plan Internacional con las diferentes organizaciones socias de implementación de subvenciones del FM</w:t>
            </w:r>
            <w:r w:rsidR="00767D3D">
              <w:rPr>
                <w:lang w:val="es-NI"/>
              </w:rPr>
              <w:t>,</w:t>
            </w:r>
            <w:r w:rsidRPr="008632CF">
              <w:rPr>
                <w:lang w:val="es-NI"/>
              </w:rPr>
              <w:t xml:space="preserve"> en VIH en el país</w:t>
            </w:r>
            <w:r w:rsidR="00C25F3B">
              <w:rPr>
                <w:lang w:val="es-NI"/>
              </w:rPr>
              <w:t>,</w:t>
            </w:r>
            <w:r w:rsidRPr="008632CF">
              <w:rPr>
                <w:lang w:val="es-NI"/>
              </w:rPr>
              <w:t xml:space="preserve"> desde el 2014</w:t>
            </w:r>
            <w:r w:rsidR="00C25F3B">
              <w:rPr>
                <w:lang w:val="es-NI"/>
              </w:rPr>
              <w:t>,</w:t>
            </w:r>
            <w:r w:rsidRPr="008632CF">
              <w:rPr>
                <w:lang w:val="es-NI"/>
              </w:rPr>
              <w:t xml:space="preserve"> ha permitido fortalecer mediante procesos como talleres de capacitación en diversos temas pertinentes y el desarrollo de herramientas organizacionales como manuales de operación, al igual que a través del seguimiento al cumplimiento de los estándares de reporte y manejo de fondos establecidos por el FM, incluyendo un proceso de retroalimentación detallado para la mejora de procesos y productos entregables. Para la nueva subvención, el enfoque del acompañamiento se pondrá más que todo en los procesos de seguimiento cercano para buscar la garantía de la alta calidad de gestión y reportes de ejecución esperada de un RP. Se considera que los avances que han demostrado las organizaciones participantes han sido importantes y significativos en los recientes años, y continuaran dando frutos al seguir construyéndose sobre la base existente. Particularmente, se podrá notar la aplicación de metodologías de coaching y de retroalimentación dinámica y proactiva en esta nueva fase, con recomendaciones escritas que permitan generar reforzamiento organizacional sostenible. Cada uno de los técnicos y coordinadores de las diferentes áreas del proyecto incluyendo las áreas programáticas y de monitoreo y evaluación</w:t>
            </w:r>
            <w:r w:rsidR="00FA4EA8">
              <w:rPr>
                <w:lang w:val="es-NI"/>
              </w:rPr>
              <w:t>,</w:t>
            </w:r>
            <w:r w:rsidRPr="008632CF">
              <w:rPr>
                <w:lang w:val="es-NI"/>
              </w:rPr>
              <w:t xml:space="preserve"> tendrá como objetivo traspasar los conocimientos necesarios a los miembros de las diferentes organizaciones. En la medida de lo posible también se contemplará la revisión de manuales de operación, en diversas áreas y la construcción de estos cuando se identifiquen como brechas para estas organizaciones.</w:t>
            </w:r>
          </w:p>
          <w:p w14:paraId="16C5E16B" w14:textId="5E8FD773" w:rsidR="00906417" w:rsidRPr="00313F99" w:rsidRDefault="00313F99" w:rsidP="00852D14">
            <w:pPr>
              <w:jc w:val="both"/>
              <w:rPr>
                <w:rFonts w:asciiTheme="majorHAnsi" w:hAnsiTheme="majorHAnsi" w:cstheme="majorHAnsi"/>
                <w:lang w:val="es-NI"/>
              </w:rPr>
            </w:pPr>
            <w:r w:rsidRPr="008632CF">
              <w:rPr>
                <w:lang w:val="es-NI"/>
              </w:rPr>
              <w:t>Es importante notar que existen elementos organizacionales que son requeridos por parte del FM para poder aplicar a ser un RP, los cuales quedan fuera del ámbito de trabajo de fortalecimiento que puede realizar Plan Internacional, particularmente sin una cartera de fondos dedicada para invertir en ciertos procesos, sistemas</w:t>
            </w:r>
            <w:r w:rsidR="00852D14">
              <w:rPr>
                <w:lang w:val="es-NI"/>
              </w:rPr>
              <w:t>,</w:t>
            </w:r>
            <w:r w:rsidRPr="008632CF">
              <w:rPr>
                <w:lang w:val="es-NI"/>
              </w:rPr>
              <w:t xml:space="preserve"> herramientas y recursos (incluyendo RRHH), la cual va más allá de lo que permite la subvención del FM. En este sentido, es difícil plantear un cronograma específico para determinar cuándo se podría considerar específicamente que se podrá traspasar a las entidades nacionales las responsabilidades del receptor principal</w:t>
            </w:r>
            <w:r w:rsidR="00852D14">
              <w:rPr>
                <w:lang w:val="es-NI"/>
              </w:rPr>
              <w:t>,</w:t>
            </w:r>
            <w:r w:rsidRPr="008632CF">
              <w:rPr>
                <w:lang w:val="es-NI"/>
              </w:rPr>
              <w:t xml:space="preserve"> que corresponden a la respuesta nacional contra las enfermedades. Se esperaría que, gracias a los procesos de fortalecimiento, las organizaciones de la sociedad civil que formar</w:t>
            </w:r>
            <w:r w:rsidR="00852D14">
              <w:rPr>
                <w:lang w:val="es-NI"/>
              </w:rPr>
              <w:t>á</w:t>
            </w:r>
            <w:r w:rsidRPr="008632CF">
              <w:rPr>
                <w:lang w:val="es-NI"/>
              </w:rPr>
              <w:t xml:space="preserve">n parte de la dinámica de la subvención podrán crecer en el periodo de 3 años que dura esta misma para poder aplicar, en el caso de que existiese la posibilidad, al rol de RP para la subvención de VIH del FM en el periodo post 2024. Quedaría a la discreción del </w:t>
            </w:r>
            <w:r w:rsidR="006D0B25">
              <w:rPr>
                <w:lang w:val="es-NI"/>
              </w:rPr>
              <w:t>MCP-ES</w:t>
            </w:r>
            <w:r w:rsidRPr="008632CF">
              <w:rPr>
                <w:lang w:val="es-NI"/>
              </w:rPr>
              <w:t>-ES y su comité de selección de RPs, en su debido momento determinar qué criterios se tomarían en cuenta para poder ser seleccionada y asumir este rol, y así</w:t>
            </w:r>
            <w:r w:rsidR="007972E7">
              <w:rPr>
                <w:lang w:val="es-NI"/>
              </w:rPr>
              <w:t>,</w:t>
            </w:r>
            <w:r w:rsidRPr="008632CF">
              <w:rPr>
                <w:lang w:val="es-NI"/>
              </w:rPr>
              <w:t xml:space="preserve"> ver si se le podría dar la oportunidad a una entidad nacional de asumir este importante rol.</w:t>
            </w:r>
          </w:p>
        </w:tc>
      </w:tr>
    </w:tbl>
    <w:p w14:paraId="6AD3EB19" w14:textId="76F034B7" w:rsidR="00D446BB" w:rsidRDefault="006326F8" w:rsidP="00313F99">
      <w:pPr>
        <w:pStyle w:val="ListParagraph"/>
        <w:numPr>
          <w:ilvl w:val="0"/>
          <w:numId w:val="21"/>
        </w:numPr>
        <w:spacing w:before="120"/>
        <w:ind w:left="357" w:hanging="357"/>
        <w:contextualSpacing w:val="0"/>
        <w:jc w:val="both"/>
        <w:rPr>
          <w:rStyle w:val="normaltextrun"/>
          <w:rFonts w:cs="Arial"/>
          <w:color w:val="000000"/>
          <w:shd w:val="clear" w:color="auto" w:fill="FFFFFF"/>
          <w:lang w:bidi="es-ES"/>
        </w:rPr>
      </w:pPr>
      <w:r w:rsidRPr="001D57CE">
        <w:rPr>
          <w:rStyle w:val="normaltextrun"/>
          <w:rFonts w:cs="Arial"/>
          <w:color w:val="000000"/>
          <w:shd w:val="clear" w:color="auto" w:fill="FFFFFF"/>
          <w:lang w:bidi="es-ES"/>
        </w:rPr>
        <w:lastRenderedPageBreak/>
        <w:t xml:space="preserve">Explique cuáles son los </w:t>
      </w:r>
      <w:r w:rsidRPr="001D57CE">
        <w:rPr>
          <w:rStyle w:val="normaltextrun"/>
          <w:rFonts w:cs="Arial"/>
          <w:b/>
          <w:color w:val="000000"/>
          <w:shd w:val="clear" w:color="auto" w:fill="FFFFFF"/>
          <w:lang w:bidi="es-ES"/>
        </w:rPr>
        <w:t>tres riesgos principales previstos asociados a la ejecución</w:t>
      </w:r>
      <w:r w:rsidRPr="001D57CE">
        <w:rPr>
          <w:rStyle w:val="normaltextrun"/>
          <w:rFonts w:cs="Arial"/>
          <w:color w:val="000000"/>
          <w:shd w:val="clear" w:color="auto" w:fill="FFFFFF"/>
          <w:lang w:bidi="es-ES"/>
        </w:rPr>
        <w:t xml:space="preserve"> que podrían tener consecuencias negativas para i) la consecución de los objetivos del programa que respalda el Fondo Mundial o </w:t>
      </w:r>
      <w:proofErr w:type="spellStart"/>
      <w:r w:rsidRPr="001D57CE">
        <w:rPr>
          <w:rStyle w:val="normaltextrun"/>
          <w:rFonts w:cs="Arial"/>
          <w:color w:val="000000"/>
          <w:shd w:val="clear" w:color="auto" w:fill="FFFFFF"/>
          <w:lang w:bidi="es-ES"/>
        </w:rPr>
        <w:t>ii</w:t>
      </w:r>
      <w:proofErr w:type="spellEnd"/>
      <w:r w:rsidRPr="001D57CE">
        <w:rPr>
          <w:rStyle w:val="normaltextrun"/>
          <w:rFonts w:cs="Arial"/>
          <w:color w:val="000000"/>
          <w:shd w:val="clear" w:color="auto" w:fill="FFFFFF"/>
          <w:lang w:bidi="es-ES"/>
        </w:rPr>
        <w:t xml:space="preserve">) el sistema de salud en general. Una vez hecho esto, detalle cuáles son las medidas de mitigación que hacen frente a estos riesgos. </w:t>
      </w:r>
    </w:p>
    <w:p w14:paraId="5C510409" w14:textId="5D05EFD9" w:rsidR="00AE79D5" w:rsidRPr="00EF732D" w:rsidRDefault="00AE79D5" w:rsidP="00AE79D5">
      <w:pPr>
        <w:spacing w:line="240" w:lineRule="auto"/>
        <w:jc w:val="both"/>
        <w:rPr>
          <w:rStyle w:val="normaltextrun"/>
          <w:color w:val="000000"/>
          <w:shd w:val="clear" w:color="auto" w:fill="FFFFFF"/>
          <w:lang w:bidi="es-ES"/>
        </w:rPr>
      </w:pPr>
      <w:r w:rsidRPr="00EF732D">
        <w:rPr>
          <w:rStyle w:val="normaltextrun"/>
          <w:color w:val="000000"/>
          <w:shd w:val="clear" w:color="auto" w:fill="FFFFFF"/>
          <w:lang w:bidi="es-ES"/>
        </w:rPr>
        <w:t>La Unidad del Programa de ITS VIH, ha tomado esta matriz</w:t>
      </w:r>
      <w:r w:rsidR="007972E7">
        <w:rPr>
          <w:rStyle w:val="normaltextrun"/>
          <w:color w:val="000000"/>
          <w:shd w:val="clear" w:color="auto" w:fill="FFFFFF"/>
          <w:lang w:bidi="es-ES"/>
        </w:rPr>
        <w:t xml:space="preserve">, </w:t>
      </w:r>
      <w:r w:rsidRPr="00EF732D">
        <w:rPr>
          <w:rStyle w:val="normaltextrun"/>
          <w:color w:val="000000"/>
          <w:shd w:val="clear" w:color="auto" w:fill="FFFFFF"/>
          <w:lang w:bidi="es-ES"/>
        </w:rPr>
        <w:t xml:space="preserve">que servirá para identificar riesgos, tomar acciones de mitigación y mantener la operativización de las diferentes estrategias y actividades llevadas a cabo por el personal de salud, actores y sectores vinculados a la ejecución de subvención 2022 -2024, quienes toman un rol determinante en la gestión de riesgos. </w:t>
      </w:r>
    </w:p>
    <w:p w14:paraId="2B14A503" w14:textId="77777777" w:rsidR="00AE79D5" w:rsidRPr="00EF732D" w:rsidRDefault="00AE79D5" w:rsidP="00AE79D5">
      <w:pPr>
        <w:spacing w:after="0" w:line="240" w:lineRule="auto"/>
        <w:jc w:val="both"/>
        <w:rPr>
          <w:rStyle w:val="normaltextrun"/>
          <w:color w:val="000000"/>
          <w:shd w:val="clear" w:color="auto" w:fill="FFFFFF"/>
          <w:lang w:bidi="es-ES"/>
        </w:rPr>
      </w:pPr>
      <w:r w:rsidRPr="00EF732D">
        <w:rPr>
          <w:rStyle w:val="normaltextrun"/>
          <w:color w:val="000000"/>
          <w:shd w:val="clear" w:color="auto" w:fill="FFFFFF"/>
          <w:lang w:bidi="es-ES"/>
        </w:rPr>
        <w:t xml:space="preserve">Los riesgos identificados, se describen en las siguientes categorías operacionales: </w:t>
      </w:r>
    </w:p>
    <w:p w14:paraId="520B3277" w14:textId="77777777" w:rsidR="00AE79D5" w:rsidRPr="00EF732D" w:rsidRDefault="00AE79D5" w:rsidP="00AE79D5">
      <w:pPr>
        <w:numPr>
          <w:ilvl w:val="0"/>
          <w:numId w:val="29"/>
        </w:numPr>
        <w:spacing w:after="0" w:line="260" w:lineRule="atLeast"/>
        <w:jc w:val="both"/>
        <w:rPr>
          <w:rStyle w:val="normaltextrun"/>
          <w:color w:val="000000"/>
          <w:shd w:val="clear" w:color="auto" w:fill="FFFFFF"/>
          <w:lang w:bidi="es-ES"/>
        </w:rPr>
      </w:pPr>
      <w:r w:rsidRPr="00EF732D">
        <w:rPr>
          <w:rStyle w:val="normaltextrun"/>
          <w:color w:val="000000"/>
          <w:shd w:val="clear" w:color="auto" w:fill="FFFFFF"/>
          <w:lang w:bidi="es-ES"/>
        </w:rPr>
        <w:t>Riesgos por eventos naturales (epidemiológicos y/o catástrofes).</w:t>
      </w:r>
    </w:p>
    <w:p w14:paraId="129BD8EC" w14:textId="77777777" w:rsidR="00AE79D5" w:rsidRPr="00EF732D" w:rsidRDefault="00AE79D5" w:rsidP="00AE79D5">
      <w:pPr>
        <w:numPr>
          <w:ilvl w:val="0"/>
          <w:numId w:val="29"/>
        </w:numPr>
        <w:spacing w:after="0" w:line="260" w:lineRule="atLeast"/>
        <w:jc w:val="both"/>
        <w:rPr>
          <w:rStyle w:val="normaltextrun"/>
          <w:color w:val="000000"/>
          <w:shd w:val="clear" w:color="auto" w:fill="FFFFFF"/>
          <w:lang w:bidi="es-ES"/>
        </w:rPr>
      </w:pPr>
      <w:r w:rsidRPr="00EF732D">
        <w:rPr>
          <w:rStyle w:val="normaltextrun"/>
          <w:color w:val="000000"/>
          <w:shd w:val="clear" w:color="auto" w:fill="FFFFFF"/>
          <w:lang w:bidi="es-ES"/>
        </w:rPr>
        <w:t>Externos.</w:t>
      </w:r>
    </w:p>
    <w:p w14:paraId="7FDD9977" w14:textId="77777777" w:rsidR="00AE79D5" w:rsidRPr="00EF732D" w:rsidRDefault="00AE79D5" w:rsidP="00AE79D5">
      <w:pPr>
        <w:numPr>
          <w:ilvl w:val="0"/>
          <w:numId w:val="29"/>
        </w:numPr>
        <w:spacing w:after="0" w:line="260" w:lineRule="atLeast"/>
        <w:jc w:val="both"/>
        <w:rPr>
          <w:rStyle w:val="normaltextrun"/>
          <w:color w:val="000000"/>
          <w:shd w:val="clear" w:color="auto" w:fill="FFFFFF"/>
          <w:lang w:bidi="es-ES"/>
        </w:rPr>
      </w:pPr>
      <w:r w:rsidRPr="00EF732D">
        <w:rPr>
          <w:rStyle w:val="normaltextrun"/>
          <w:color w:val="000000"/>
          <w:shd w:val="clear" w:color="auto" w:fill="FFFFFF"/>
          <w:lang w:bidi="es-ES"/>
        </w:rPr>
        <w:t>Financieros.</w:t>
      </w:r>
    </w:p>
    <w:p w14:paraId="73557239" w14:textId="77777777" w:rsidR="00AE79D5" w:rsidRPr="00EF732D" w:rsidRDefault="00AE79D5" w:rsidP="00AE79D5">
      <w:pPr>
        <w:numPr>
          <w:ilvl w:val="0"/>
          <w:numId w:val="29"/>
        </w:numPr>
        <w:spacing w:after="0" w:line="260" w:lineRule="atLeast"/>
        <w:jc w:val="both"/>
        <w:rPr>
          <w:rStyle w:val="normaltextrun"/>
          <w:color w:val="000000"/>
          <w:shd w:val="clear" w:color="auto" w:fill="FFFFFF"/>
          <w:lang w:bidi="es-ES"/>
        </w:rPr>
      </w:pPr>
      <w:r w:rsidRPr="00EF732D">
        <w:rPr>
          <w:rStyle w:val="normaltextrun"/>
          <w:color w:val="000000"/>
          <w:shd w:val="clear" w:color="auto" w:fill="FFFFFF"/>
          <w:lang w:bidi="es-ES"/>
        </w:rPr>
        <w:t>Programáticos y Operativos.</w:t>
      </w:r>
    </w:p>
    <w:p w14:paraId="300BE89F" w14:textId="77777777" w:rsidR="00AE79D5" w:rsidRPr="00EF732D" w:rsidRDefault="00AE79D5" w:rsidP="00AE79D5">
      <w:pPr>
        <w:spacing w:before="120" w:line="240" w:lineRule="auto"/>
        <w:jc w:val="both"/>
        <w:rPr>
          <w:rStyle w:val="normaltextrun"/>
          <w:color w:val="000000"/>
          <w:shd w:val="clear" w:color="auto" w:fill="FFFFFF"/>
          <w:lang w:bidi="es-ES"/>
        </w:rPr>
      </w:pPr>
      <w:r w:rsidRPr="00EF732D">
        <w:rPr>
          <w:rStyle w:val="normaltextrun"/>
          <w:color w:val="000000"/>
          <w:shd w:val="clear" w:color="auto" w:fill="FFFFFF"/>
          <w:lang w:bidi="es-ES"/>
        </w:rPr>
        <w:t xml:space="preserve">Las actividades en la Gestión de Riesgos conllevan a la identificación de los mismos y como estos afectan directa o indirectamente en la implementación y ejecución de la subvención. También conlleva el análisis cualitativo y cuantitativo de los riesgos identificados en el proceso, para generar una matriz adjuntando el impacto para evaluar la influencia de estos. </w:t>
      </w:r>
    </w:p>
    <w:p w14:paraId="53E7F59A" w14:textId="31E01A07" w:rsidR="00AE79D5" w:rsidRPr="00EF732D" w:rsidRDefault="00AE79D5" w:rsidP="00AE79D5">
      <w:pPr>
        <w:spacing w:before="120" w:line="240" w:lineRule="auto"/>
        <w:jc w:val="both"/>
        <w:rPr>
          <w:rStyle w:val="normaltextrun"/>
          <w:color w:val="000000"/>
          <w:shd w:val="clear" w:color="auto" w:fill="FFFFFF"/>
          <w:lang w:bidi="es-ES"/>
        </w:rPr>
      </w:pPr>
      <w:r w:rsidRPr="00EF732D">
        <w:rPr>
          <w:rStyle w:val="normaltextrun"/>
          <w:color w:val="000000"/>
          <w:shd w:val="clear" w:color="auto" w:fill="FFFFFF"/>
          <w:lang w:bidi="es-ES"/>
        </w:rPr>
        <w:t>Un rol importante en la Gestión de Riesgos</w:t>
      </w:r>
      <w:r w:rsidR="009014C3">
        <w:rPr>
          <w:rStyle w:val="normaltextrun"/>
          <w:color w:val="000000"/>
          <w:shd w:val="clear" w:color="auto" w:fill="FFFFFF"/>
          <w:lang w:bidi="es-ES"/>
        </w:rPr>
        <w:t>,</w:t>
      </w:r>
      <w:r w:rsidRPr="00EF732D">
        <w:rPr>
          <w:rStyle w:val="normaltextrun"/>
          <w:color w:val="000000"/>
          <w:shd w:val="clear" w:color="auto" w:fill="FFFFFF"/>
          <w:lang w:bidi="es-ES"/>
        </w:rPr>
        <w:t xml:space="preserve"> lo desempeña el </w:t>
      </w:r>
      <w:r w:rsidR="006D0B25">
        <w:rPr>
          <w:rStyle w:val="normaltextrun"/>
          <w:color w:val="000000"/>
          <w:shd w:val="clear" w:color="auto" w:fill="FFFFFF"/>
          <w:lang w:bidi="es-ES"/>
        </w:rPr>
        <w:t>MCP-</w:t>
      </w:r>
      <w:r w:rsidR="007F430E">
        <w:rPr>
          <w:rStyle w:val="normaltextrun"/>
          <w:color w:val="000000"/>
          <w:shd w:val="clear" w:color="auto" w:fill="FFFFFF"/>
          <w:lang w:bidi="es-ES"/>
        </w:rPr>
        <w:t>ES</w:t>
      </w:r>
      <w:r w:rsidR="007F430E" w:rsidRPr="00EF732D">
        <w:rPr>
          <w:rStyle w:val="normaltextrun"/>
          <w:color w:val="000000"/>
          <w:shd w:val="clear" w:color="auto" w:fill="FFFFFF"/>
          <w:lang w:bidi="es-ES"/>
        </w:rPr>
        <w:t>,</w:t>
      </w:r>
      <w:r w:rsidRPr="00EF732D">
        <w:rPr>
          <w:rStyle w:val="normaltextrun"/>
          <w:color w:val="000000"/>
          <w:shd w:val="clear" w:color="auto" w:fill="FFFFFF"/>
          <w:lang w:bidi="es-ES"/>
        </w:rPr>
        <w:t xml:space="preserve"> los actores del SNIS, la Unidad de Gestión de Riesgos del MINSAL y el Equipo Gerencial de la UPITS/VIH, así como la Gerencia </w:t>
      </w:r>
      <w:r w:rsidR="00DA2E52">
        <w:rPr>
          <w:rStyle w:val="normaltextrun"/>
          <w:color w:val="000000"/>
          <w:shd w:val="clear" w:color="auto" w:fill="FFFFFF"/>
          <w:lang w:bidi="es-ES"/>
        </w:rPr>
        <w:t>General</w:t>
      </w:r>
      <w:r w:rsidRPr="00EF732D">
        <w:rPr>
          <w:rStyle w:val="normaltextrun"/>
          <w:color w:val="000000"/>
          <w:shd w:val="clear" w:color="auto" w:fill="FFFFFF"/>
          <w:lang w:bidi="es-ES"/>
        </w:rPr>
        <w:t xml:space="preserve"> a través de todas las dependencias del MINSAL para responder a las demandas presentadas tanto al interior </w:t>
      </w:r>
      <w:r w:rsidRPr="00EF732D">
        <w:rPr>
          <w:rStyle w:val="normaltextrun"/>
          <w:color w:val="000000"/>
          <w:shd w:val="clear" w:color="auto" w:fill="FFFFFF"/>
          <w:lang w:bidi="es-ES"/>
        </w:rPr>
        <w:lastRenderedPageBreak/>
        <w:t xml:space="preserve">como en el entorno nacional. Adicionalmente, actores de la sociedad civil, incluyendo a </w:t>
      </w:r>
      <w:r w:rsidRPr="00EF732D" w:rsidDel="004A742F">
        <w:rPr>
          <w:rStyle w:val="normaltextrun"/>
          <w:color w:val="000000"/>
          <w:shd w:val="clear" w:color="auto" w:fill="FFFFFF"/>
          <w:lang w:bidi="es-ES"/>
        </w:rPr>
        <w:t xml:space="preserve">Plan </w:t>
      </w:r>
      <w:r w:rsidRPr="00EF732D">
        <w:rPr>
          <w:rStyle w:val="normaltextrun"/>
          <w:color w:val="000000"/>
          <w:shd w:val="clear" w:color="auto" w:fill="FFFFFF"/>
          <w:lang w:bidi="es-ES"/>
        </w:rPr>
        <w:t>International y los socios SRs jugar</w:t>
      </w:r>
      <w:r w:rsidR="0053290D">
        <w:rPr>
          <w:rStyle w:val="normaltextrun"/>
          <w:color w:val="000000"/>
          <w:shd w:val="clear" w:color="auto" w:fill="FFFFFF"/>
          <w:lang w:bidi="es-ES"/>
        </w:rPr>
        <w:t>á</w:t>
      </w:r>
      <w:r w:rsidRPr="00EF732D">
        <w:rPr>
          <w:rStyle w:val="normaltextrun"/>
          <w:color w:val="000000"/>
          <w:shd w:val="clear" w:color="auto" w:fill="FFFFFF"/>
          <w:lang w:bidi="es-ES"/>
        </w:rPr>
        <w:t xml:space="preserve">n un rol importante en varias de las acciones de mitigación de riesgos. </w:t>
      </w:r>
    </w:p>
    <w:p w14:paraId="04C5E69F" w14:textId="36AF8E5D" w:rsidR="00AE79D5" w:rsidRPr="00EF732D" w:rsidRDefault="00AE79D5" w:rsidP="00AE79D5">
      <w:pPr>
        <w:spacing w:before="120" w:line="240" w:lineRule="auto"/>
        <w:jc w:val="both"/>
        <w:rPr>
          <w:rStyle w:val="normaltextrun"/>
          <w:color w:val="000000"/>
          <w:shd w:val="clear" w:color="auto" w:fill="FFFFFF"/>
          <w:lang w:bidi="es-ES"/>
        </w:rPr>
      </w:pPr>
      <w:r w:rsidRPr="00EF732D">
        <w:rPr>
          <w:rStyle w:val="normaltextrun"/>
          <w:color w:val="000000"/>
          <w:shd w:val="clear" w:color="auto" w:fill="FFFFFF"/>
          <w:lang w:bidi="es-ES"/>
        </w:rPr>
        <w:t>Una vez que se ha identificado alguno de los riesgos, se vuelve necesario establecer acciones para mitigarlos a través de la ejecución de actividades específicas de acuerdo con el evento acontecido. Por ejemplo, en caso de un evento natural “riesgo externo” se focalizan las acciones y la suspensión o reprogramación de actividades del PENMVIH, dado que los esfuerzos se priorizan en dar respuesta a la emergencia, institucionalmente en coordinación con el comité de protección civil y autoridades gubernamentales, municipales e internacionales; estableciéndose estado de emergencia y actuando acorde a las indicaciones del comité. Una vez levantada la emergencia se reanudan o reprograman las actividades planificadas en forma normal.</w:t>
      </w:r>
    </w:p>
    <w:p w14:paraId="372D14CA" w14:textId="77777777" w:rsidR="00AE79D5" w:rsidRPr="00EF732D" w:rsidRDefault="00AE79D5" w:rsidP="00AE79D5">
      <w:pPr>
        <w:spacing w:after="0" w:line="260" w:lineRule="atLeast"/>
        <w:jc w:val="both"/>
        <w:rPr>
          <w:rStyle w:val="normaltextrun"/>
          <w:color w:val="000000"/>
          <w:shd w:val="clear" w:color="auto" w:fill="FFFFFF"/>
          <w:lang w:bidi="es-ES"/>
        </w:rPr>
      </w:pPr>
      <w:r w:rsidRPr="00EF732D">
        <w:rPr>
          <w:rStyle w:val="normaltextrun"/>
          <w:color w:val="000000"/>
          <w:shd w:val="clear" w:color="auto" w:fill="FFFFFF"/>
          <w:lang w:bidi="es-ES"/>
        </w:rPr>
        <w:t xml:space="preserve">Con el monitoreo continuo es más probable detectar situaciones especiales y realizar acciones de forma oportuna, para mitigar el impacto del riesgo. </w:t>
      </w:r>
    </w:p>
    <w:p w14:paraId="5783579B" w14:textId="32AE374F" w:rsidR="00AE79D5" w:rsidRPr="00EF732D" w:rsidRDefault="00AE79D5" w:rsidP="00AE79D5">
      <w:pPr>
        <w:spacing w:before="120" w:line="240" w:lineRule="auto"/>
        <w:jc w:val="both"/>
        <w:rPr>
          <w:rStyle w:val="normaltextrun"/>
          <w:color w:val="000000"/>
          <w:shd w:val="clear" w:color="auto" w:fill="FFFFFF"/>
          <w:lang w:bidi="es-ES"/>
        </w:rPr>
      </w:pPr>
      <w:r w:rsidRPr="00EF732D">
        <w:rPr>
          <w:rStyle w:val="normaltextrun"/>
          <w:color w:val="000000"/>
          <w:shd w:val="clear" w:color="auto" w:fill="FFFFFF"/>
          <w:lang w:bidi="es-ES"/>
        </w:rPr>
        <w:t>Para esto</w:t>
      </w:r>
      <w:r w:rsidR="00EF0075">
        <w:rPr>
          <w:rStyle w:val="normaltextrun"/>
          <w:color w:val="000000"/>
          <w:shd w:val="clear" w:color="auto" w:fill="FFFFFF"/>
          <w:lang w:bidi="es-ES"/>
        </w:rPr>
        <w:t>,</w:t>
      </w:r>
      <w:r w:rsidRPr="00EF732D">
        <w:rPr>
          <w:rStyle w:val="normaltextrun"/>
          <w:color w:val="000000"/>
          <w:shd w:val="clear" w:color="auto" w:fill="FFFFFF"/>
          <w:lang w:bidi="es-ES"/>
        </w:rPr>
        <w:t xml:space="preserve"> es necesario realizar una priorización de todos los involucrados en la organización y fuera de ésta, para identificar activamente y lograr una gestión eficaz durante la ejecución de la subvención. </w:t>
      </w:r>
    </w:p>
    <w:p w14:paraId="64C4C76C" w14:textId="39539B4F" w:rsidR="00AE79D5" w:rsidRDefault="00AE79D5" w:rsidP="00AE79D5">
      <w:pPr>
        <w:spacing w:after="0" w:line="260" w:lineRule="atLeast"/>
        <w:jc w:val="both"/>
        <w:rPr>
          <w:rStyle w:val="normaltextrun"/>
          <w:color w:val="000000"/>
          <w:shd w:val="clear" w:color="auto" w:fill="FFFFFF"/>
          <w:lang w:bidi="es-ES"/>
        </w:rPr>
      </w:pPr>
      <w:r w:rsidRPr="00EF732D">
        <w:rPr>
          <w:rStyle w:val="normaltextrun"/>
          <w:color w:val="000000"/>
          <w:shd w:val="clear" w:color="auto" w:fill="FFFFFF"/>
          <w:lang w:bidi="es-ES"/>
        </w:rPr>
        <w:t>En este contexto, todas las instancias</w:t>
      </w:r>
      <w:r w:rsidR="006A456F">
        <w:rPr>
          <w:rStyle w:val="normaltextrun"/>
          <w:color w:val="000000"/>
          <w:shd w:val="clear" w:color="auto" w:fill="FFFFFF"/>
          <w:lang w:bidi="es-ES"/>
        </w:rPr>
        <w:t>,</w:t>
      </w:r>
      <w:r w:rsidRPr="00EF732D">
        <w:rPr>
          <w:rStyle w:val="normaltextrun"/>
          <w:color w:val="000000"/>
          <w:shd w:val="clear" w:color="auto" w:fill="FFFFFF"/>
          <w:lang w:bidi="es-ES"/>
        </w:rPr>
        <w:t xml:space="preserve"> actores y sectores deberán motivar a que todo el personal involucrado en la presente matriz de riesgos:</w:t>
      </w:r>
    </w:p>
    <w:p w14:paraId="577A03CF" w14:textId="77777777" w:rsidR="002D2825" w:rsidRPr="00EF732D" w:rsidRDefault="002D2825" w:rsidP="00AE79D5">
      <w:pPr>
        <w:spacing w:after="0" w:line="260" w:lineRule="atLeast"/>
        <w:jc w:val="both"/>
        <w:rPr>
          <w:rStyle w:val="normaltextrun"/>
          <w:color w:val="000000"/>
          <w:shd w:val="clear" w:color="auto" w:fill="FFFFFF"/>
          <w:lang w:bidi="es-ES"/>
        </w:rPr>
      </w:pPr>
    </w:p>
    <w:p w14:paraId="6C236C93" w14:textId="44D3F3BA" w:rsidR="00AE79D5" w:rsidRPr="00EF732D" w:rsidRDefault="002D2825" w:rsidP="002D2825">
      <w:pPr>
        <w:pStyle w:val="ListParagraph"/>
        <w:numPr>
          <w:ilvl w:val="0"/>
          <w:numId w:val="76"/>
        </w:numPr>
        <w:spacing w:after="0" w:line="260" w:lineRule="atLeast"/>
        <w:jc w:val="both"/>
        <w:rPr>
          <w:rStyle w:val="normaltextrun"/>
          <w:color w:val="000000"/>
          <w:shd w:val="clear" w:color="auto" w:fill="FFFFFF"/>
          <w:lang w:bidi="es-ES"/>
        </w:rPr>
      </w:pPr>
      <w:r>
        <w:rPr>
          <w:rStyle w:val="normaltextrun"/>
          <w:color w:val="000000"/>
          <w:shd w:val="clear" w:color="auto" w:fill="FFFFFF"/>
          <w:lang w:bidi="es-ES"/>
        </w:rPr>
        <w:t>E</w:t>
      </w:r>
      <w:r w:rsidR="00AE79D5" w:rsidRPr="00EF732D">
        <w:rPr>
          <w:rStyle w:val="normaltextrun"/>
          <w:color w:val="000000"/>
          <w:shd w:val="clear" w:color="auto" w:fill="FFFFFF"/>
          <w:lang w:bidi="es-ES"/>
        </w:rPr>
        <w:t>nliste y analice las amenazas y oportunidades para los objetivos</w:t>
      </w:r>
      <w:r w:rsidR="00F45296">
        <w:rPr>
          <w:rStyle w:val="normaltextrun"/>
          <w:color w:val="000000"/>
          <w:shd w:val="clear" w:color="auto" w:fill="FFFFFF"/>
          <w:lang w:bidi="es-ES"/>
        </w:rPr>
        <w:t>.</w:t>
      </w:r>
    </w:p>
    <w:p w14:paraId="26092449" w14:textId="70762D3A" w:rsidR="00AE79D5" w:rsidRPr="00EF732D" w:rsidRDefault="002D2825" w:rsidP="00AE79D5">
      <w:pPr>
        <w:pStyle w:val="ListParagraph"/>
        <w:numPr>
          <w:ilvl w:val="0"/>
          <w:numId w:val="28"/>
        </w:numPr>
        <w:spacing w:after="0" w:line="260" w:lineRule="atLeast"/>
        <w:jc w:val="both"/>
        <w:rPr>
          <w:rStyle w:val="normaltextrun"/>
          <w:color w:val="000000"/>
          <w:shd w:val="clear" w:color="auto" w:fill="FFFFFF"/>
          <w:lang w:bidi="es-ES"/>
        </w:rPr>
      </w:pPr>
      <w:r>
        <w:rPr>
          <w:rStyle w:val="normaltextrun"/>
          <w:color w:val="000000"/>
          <w:shd w:val="clear" w:color="auto" w:fill="FFFFFF"/>
          <w:lang w:bidi="es-ES"/>
        </w:rPr>
        <w:t>A</w:t>
      </w:r>
      <w:r w:rsidR="00AE79D5" w:rsidRPr="00EF732D">
        <w:rPr>
          <w:rStyle w:val="normaltextrun"/>
          <w:color w:val="000000"/>
          <w:shd w:val="clear" w:color="auto" w:fill="FFFFFF"/>
          <w:lang w:bidi="es-ES"/>
        </w:rPr>
        <w:t>segure que el proceso de gestión del riesgo esté implementando efectivamente para garantizar que las medidas de control estén en vigencia</w:t>
      </w:r>
      <w:r w:rsidR="00F45296">
        <w:rPr>
          <w:rStyle w:val="normaltextrun"/>
          <w:color w:val="000000"/>
          <w:shd w:val="clear" w:color="auto" w:fill="FFFFFF"/>
          <w:lang w:bidi="es-ES"/>
        </w:rPr>
        <w:t>.</w:t>
      </w:r>
      <w:r w:rsidR="00AE79D5" w:rsidRPr="00EF732D">
        <w:rPr>
          <w:rStyle w:val="normaltextrun"/>
          <w:color w:val="000000"/>
          <w:shd w:val="clear" w:color="auto" w:fill="FFFFFF"/>
          <w:lang w:bidi="es-ES"/>
        </w:rPr>
        <w:t xml:space="preserve">  </w:t>
      </w:r>
    </w:p>
    <w:p w14:paraId="47C1D91D" w14:textId="56AFE7FF" w:rsidR="00AE79D5" w:rsidRPr="00EF732D" w:rsidRDefault="002D2825" w:rsidP="00AE79D5">
      <w:pPr>
        <w:pStyle w:val="ListParagraph"/>
        <w:numPr>
          <w:ilvl w:val="0"/>
          <w:numId w:val="28"/>
        </w:numPr>
        <w:spacing w:after="0" w:line="260" w:lineRule="atLeast"/>
        <w:jc w:val="both"/>
        <w:rPr>
          <w:rStyle w:val="normaltextrun"/>
          <w:color w:val="000000"/>
          <w:shd w:val="clear" w:color="auto" w:fill="FFFFFF"/>
          <w:lang w:bidi="es-ES"/>
        </w:rPr>
      </w:pPr>
      <w:r>
        <w:rPr>
          <w:rStyle w:val="normaltextrun"/>
          <w:color w:val="000000"/>
          <w:shd w:val="clear" w:color="auto" w:fill="FFFFFF"/>
          <w:lang w:bidi="es-ES"/>
        </w:rPr>
        <w:t>P</w:t>
      </w:r>
      <w:r w:rsidR="00AE79D5" w:rsidRPr="00EF732D">
        <w:rPr>
          <w:rStyle w:val="normaltextrun"/>
          <w:color w:val="000000"/>
          <w:shd w:val="clear" w:color="auto" w:fill="FFFFFF"/>
          <w:lang w:bidi="es-ES"/>
        </w:rPr>
        <w:t>ermite la revisión de procedimientos, identificar errores y lecciones aprendidas</w:t>
      </w:r>
      <w:r w:rsidR="00F45296">
        <w:rPr>
          <w:rStyle w:val="normaltextrun"/>
          <w:color w:val="000000"/>
          <w:shd w:val="clear" w:color="auto" w:fill="FFFFFF"/>
          <w:lang w:bidi="es-ES"/>
        </w:rPr>
        <w:t>.</w:t>
      </w:r>
      <w:r w:rsidR="00AE79D5" w:rsidRPr="00EF732D">
        <w:rPr>
          <w:rStyle w:val="normaltextrun"/>
          <w:color w:val="000000"/>
          <w:shd w:val="clear" w:color="auto" w:fill="FFFFFF"/>
          <w:lang w:bidi="es-ES"/>
        </w:rPr>
        <w:t xml:space="preserve"> </w:t>
      </w:r>
    </w:p>
    <w:p w14:paraId="72B30A25" w14:textId="784D1DE1" w:rsidR="00AE79D5" w:rsidRPr="00EF732D" w:rsidRDefault="002D2825" w:rsidP="00AE79D5">
      <w:pPr>
        <w:pStyle w:val="ListParagraph"/>
        <w:numPr>
          <w:ilvl w:val="0"/>
          <w:numId w:val="28"/>
        </w:numPr>
        <w:spacing w:after="0" w:line="260" w:lineRule="atLeast"/>
        <w:jc w:val="both"/>
        <w:rPr>
          <w:rStyle w:val="normaltextrun"/>
          <w:color w:val="000000"/>
          <w:shd w:val="clear" w:color="auto" w:fill="FFFFFF"/>
          <w:lang w:bidi="es-ES"/>
        </w:rPr>
      </w:pPr>
      <w:r>
        <w:rPr>
          <w:rStyle w:val="normaltextrun"/>
          <w:color w:val="000000"/>
          <w:shd w:val="clear" w:color="auto" w:fill="FFFFFF"/>
          <w:lang w:bidi="es-ES"/>
        </w:rPr>
        <w:t>A</w:t>
      </w:r>
      <w:r w:rsidR="00AE79D5" w:rsidRPr="00EF732D">
        <w:rPr>
          <w:rStyle w:val="normaltextrun"/>
          <w:color w:val="000000"/>
          <w:shd w:val="clear" w:color="auto" w:fill="FFFFFF"/>
          <w:lang w:bidi="es-ES"/>
        </w:rPr>
        <w:t>segure que los sujetos involucrados en el riesgo y aquellos responsables por implementar controles estén conscientes de su responsabilidad</w:t>
      </w:r>
      <w:r w:rsidR="00F45296">
        <w:rPr>
          <w:rStyle w:val="normaltextrun"/>
          <w:color w:val="000000"/>
          <w:shd w:val="clear" w:color="auto" w:fill="FFFFFF"/>
          <w:lang w:bidi="es-ES"/>
        </w:rPr>
        <w:t>.</w:t>
      </w:r>
      <w:r w:rsidR="00AE79D5" w:rsidRPr="00EF732D">
        <w:rPr>
          <w:rStyle w:val="normaltextrun"/>
          <w:color w:val="000000"/>
          <w:shd w:val="clear" w:color="auto" w:fill="FFFFFF"/>
          <w:lang w:bidi="es-ES"/>
        </w:rPr>
        <w:t xml:space="preserve"> </w:t>
      </w:r>
    </w:p>
    <w:p w14:paraId="59991AC3" w14:textId="4CFE4995" w:rsidR="00AE79D5" w:rsidRPr="00EF732D" w:rsidRDefault="002D2825" w:rsidP="00AE79D5">
      <w:pPr>
        <w:pStyle w:val="ListParagraph"/>
        <w:numPr>
          <w:ilvl w:val="0"/>
          <w:numId w:val="28"/>
        </w:numPr>
        <w:spacing w:after="0" w:line="260" w:lineRule="atLeast"/>
        <w:jc w:val="both"/>
        <w:rPr>
          <w:rStyle w:val="normaltextrun"/>
          <w:color w:val="000000"/>
          <w:shd w:val="clear" w:color="auto" w:fill="FFFFFF"/>
          <w:lang w:bidi="es-ES"/>
        </w:rPr>
      </w:pPr>
      <w:r>
        <w:rPr>
          <w:rStyle w:val="normaltextrun"/>
          <w:color w:val="000000"/>
          <w:shd w:val="clear" w:color="auto" w:fill="FFFFFF"/>
          <w:lang w:bidi="es-ES"/>
        </w:rPr>
        <w:t>A</w:t>
      </w:r>
      <w:r w:rsidR="00AE79D5" w:rsidRPr="00EF732D">
        <w:rPr>
          <w:rStyle w:val="normaltextrun"/>
          <w:color w:val="000000"/>
          <w:shd w:val="clear" w:color="auto" w:fill="FFFFFF"/>
          <w:lang w:bidi="es-ES"/>
        </w:rPr>
        <w:t>segure líneas claras de comunicación sobre este tema y determinar cómo se tratarán éstos.</w:t>
      </w:r>
    </w:p>
    <w:p w14:paraId="7F99D7D8" w14:textId="77777777" w:rsidR="00AE79D5" w:rsidRPr="00EF732D" w:rsidRDefault="00AE79D5" w:rsidP="00AE79D5">
      <w:pPr>
        <w:spacing w:line="240" w:lineRule="auto"/>
        <w:jc w:val="both"/>
      </w:pPr>
      <w:r w:rsidRPr="00EF732D">
        <w:rPr>
          <w:rStyle w:val="normaltextrun"/>
          <w:color w:val="000000"/>
          <w:shd w:val="clear" w:color="auto" w:fill="FFFFFF"/>
          <w:lang w:bidi="es-ES"/>
        </w:rPr>
        <w:t>Por lo antes citado, se recopilan los riesgos de implementación, medidas de mitigación y las entidades responsables en la siguiente matriz:</w:t>
      </w:r>
    </w:p>
    <w:tbl>
      <w:tblPr>
        <w:tblStyle w:val="TableGrid10"/>
        <w:tblW w:w="10805" w:type="dxa"/>
        <w:tblLayout w:type="fixed"/>
        <w:tblLook w:val="0000" w:firstRow="0" w:lastRow="0" w:firstColumn="0" w:lastColumn="0" w:noHBand="0" w:noVBand="0"/>
      </w:tblPr>
      <w:tblGrid>
        <w:gridCol w:w="3372"/>
        <w:gridCol w:w="4987"/>
        <w:gridCol w:w="2446"/>
      </w:tblGrid>
      <w:tr w:rsidR="00594D06" w:rsidRPr="00594D06" w14:paraId="10CE5D3F" w14:textId="47DCD0D7" w:rsidTr="00313F99">
        <w:trPr>
          <w:trHeight w:val="377"/>
          <w:tblHeader/>
        </w:trPr>
        <w:tc>
          <w:tcPr>
            <w:tcW w:w="3372" w:type="dxa"/>
            <w:shd w:val="clear" w:color="auto" w:fill="D9D9D9" w:themeFill="background1" w:themeFillShade="D9"/>
          </w:tcPr>
          <w:p w14:paraId="63A0F331" w14:textId="77777777" w:rsidR="00313F99" w:rsidRPr="00594D06" w:rsidRDefault="00313F99" w:rsidP="00882DC3">
            <w:pPr>
              <w:autoSpaceDE w:val="0"/>
              <w:autoSpaceDN w:val="0"/>
              <w:adjustRightInd w:val="0"/>
              <w:spacing w:after="0"/>
              <w:jc w:val="center"/>
              <w:rPr>
                <w:rFonts w:asciiTheme="majorHAnsi" w:hAnsiTheme="majorHAnsi" w:cstheme="majorHAnsi"/>
                <w:b/>
                <w:lang w:bidi="es-ES"/>
              </w:rPr>
            </w:pPr>
            <w:r w:rsidRPr="00594D06">
              <w:rPr>
                <w:rFonts w:asciiTheme="majorHAnsi" w:hAnsiTheme="majorHAnsi" w:cstheme="majorHAnsi"/>
                <w:b/>
                <w:lang w:bidi="es-ES"/>
              </w:rPr>
              <w:t>Riesgos clave asociados a la</w:t>
            </w:r>
          </w:p>
          <w:p w14:paraId="286D9ED0" w14:textId="3347C6C3" w:rsidR="00313F99" w:rsidRPr="00594D06" w:rsidRDefault="00313F99" w:rsidP="00882DC3">
            <w:pPr>
              <w:autoSpaceDE w:val="0"/>
              <w:autoSpaceDN w:val="0"/>
              <w:adjustRightInd w:val="0"/>
              <w:spacing w:after="0"/>
              <w:jc w:val="center"/>
              <w:rPr>
                <w:rFonts w:asciiTheme="majorHAnsi" w:hAnsiTheme="majorHAnsi" w:cstheme="majorHAnsi"/>
                <w:b/>
              </w:rPr>
            </w:pPr>
            <w:r w:rsidRPr="00594D06">
              <w:rPr>
                <w:rFonts w:asciiTheme="majorHAnsi" w:hAnsiTheme="majorHAnsi" w:cstheme="majorHAnsi"/>
                <w:b/>
                <w:lang w:bidi="es-ES"/>
              </w:rPr>
              <w:t>implementación</w:t>
            </w:r>
          </w:p>
        </w:tc>
        <w:tc>
          <w:tcPr>
            <w:tcW w:w="4987" w:type="dxa"/>
            <w:shd w:val="clear" w:color="auto" w:fill="D9D9D9" w:themeFill="background1" w:themeFillShade="D9"/>
          </w:tcPr>
          <w:p w14:paraId="5443597F" w14:textId="77777777" w:rsidR="00313F99" w:rsidRPr="00594D06" w:rsidRDefault="00313F99" w:rsidP="00882DC3">
            <w:pPr>
              <w:autoSpaceDE w:val="0"/>
              <w:autoSpaceDN w:val="0"/>
              <w:adjustRightInd w:val="0"/>
              <w:spacing w:after="0"/>
              <w:jc w:val="center"/>
              <w:rPr>
                <w:rFonts w:asciiTheme="majorHAnsi" w:hAnsiTheme="majorHAnsi" w:cstheme="majorHAnsi"/>
                <w:b/>
                <w:lang w:bidi="es-ES"/>
              </w:rPr>
            </w:pPr>
            <w:r w:rsidRPr="00594D06">
              <w:rPr>
                <w:rFonts w:asciiTheme="majorHAnsi" w:hAnsiTheme="majorHAnsi" w:cstheme="majorHAnsi"/>
                <w:b/>
                <w:lang w:bidi="es-ES"/>
              </w:rPr>
              <w:t>Medidas de mitigación</w:t>
            </w:r>
          </w:p>
          <w:p w14:paraId="10726D0E" w14:textId="56068C5B" w:rsidR="00313F99" w:rsidRPr="00594D06" w:rsidRDefault="00313F99" w:rsidP="00882DC3">
            <w:pPr>
              <w:autoSpaceDE w:val="0"/>
              <w:autoSpaceDN w:val="0"/>
              <w:adjustRightInd w:val="0"/>
              <w:spacing w:after="0"/>
              <w:jc w:val="center"/>
              <w:rPr>
                <w:rFonts w:asciiTheme="majorHAnsi" w:hAnsiTheme="majorHAnsi" w:cstheme="majorHAnsi"/>
                <w:b/>
              </w:rPr>
            </w:pPr>
            <w:r w:rsidRPr="00594D06">
              <w:rPr>
                <w:rFonts w:asciiTheme="majorHAnsi" w:hAnsiTheme="majorHAnsi" w:cstheme="majorHAnsi"/>
                <w:b/>
                <w:lang w:bidi="es-ES"/>
              </w:rPr>
              <w:t>correspondientes</w:t>
            </w:r>
          </w:p>
        </w:tc>
        <w:tc>
          <w:tcPr>
            <w:tcW w:w="2446" w:type="dxa"/>
            <w:shd w:val="clear" w:color="auto" w:fill="D9D9D9" w:themeFill="background1" w:themeFillShade="D9"/>
          </w:tcPr>
          <w:p w14:paraId="2309B0C9" w14:textId="77777777" w:rsidR="00313F99" w:rsidRPr="00594D06" w:rsidRDefault="00313F99" w:rsidP="00882DC3">
            <w:pPr>
              <w:autoSpaceDE w:val="0"/>
              <w:autoSpaceDN w:val="0"/>
              <w:adjustRightInd w:val="0"/>
              <w:spacing w:after="0"/>
              <w:jc w:val="center"/>
              <w:rPr>
                <w:rFonts w:asciiTheme="majorHAnsi" w:hAnsiTheme="majorHAnsi" w:cstheme="majorHAnsi"/>
                <w:b/>
                <w:lang w:bidi="es-ES"/>
              </w:rPr>
            </w:pPr>
            <w:r w:rsidRPr="00594D06">
              <w:rPr>
                <w:rFonts w:asciiTheme="majorHAnsi" w:hAnsiTheme="majorHAnsi" w:cstheme="majorHAnsi"/>
                <w:b/>
                <w:lang w:bidi="es-ES"/>
              </w:rPr>
              <w:t>Entidad</w:t>
            </w:r>
          </w:p>
          <w:p w14:paraId="7D449C8C" w14:textId="011159F5" w:rsidR="00313F99" w:rsidRPr="00594D06" w:rsidRDefault="00313F99" w:rsidP="00882DC3">
            <w:pPr>
              <w:autoSpaceDE w:val="0"/>
              <w:autoSpaceDN w:val="0"/>
              <w:adjustRightInd w:val="0"/>
              <w:spacing w:after="0"/>
              <w:jc w:val="center"/>
              <w:rPr>
                <w:rFonts w:asciiTheme="majorHAnsi" w:hAnsiTheme="majorHAnsi" w:cstheme="majorHAnsi"/>
                <w:b/>
                <w:lang w:bidi="es-ES"/>
              </w:rPr>
            </w:pPr>
            <w:r w:rsidRPr="00594D06">
              <w:rPr>
                <w:rFonts w:asciiTheme="majorHAnsi" w:hAnsiTheme="majorHAnsi" w:cstheme="majorHAnsi"/>
                <w:b/>
                <w:lang w:bidi="es-ES"/>
              </w:rPr>
              <w:t>responsable</w:t>
            </w:r>
          </w:p>
        </w:tc>
      </w:tr>
      <w:tr w:rsidR="00594D06" w:rsidRPr="00A56294" w14:paraId="7DF4C74C" w14:textId="4C369BE6" w:rsidTr="00313F99">
        <w:trPr>
          <w:trHeight w:val="400"/>
        </w:trPr>
        <w:tc>
          <w:tcPr>
            <w:tcW w:w="3372" w:type="dxa"/>
          </w:tcPr>
          <w:p w14:paraId="2EC5B113" w14:textId="324AC239" w:rsidR="00313F99" w:rsidRPr="00594D06" w:rsidRDefault="00313F99" w:rsidP="00C84F74">
            <w:pPr>
              <w:autoSpaceDE w:val="0"/>
              <w:autoSpaceDN w:val="0"/>
              <w:adjustRightInd w:val="0"/>
              <w:jc w:val="both"/>
              <w:rPr>
                <w:rFonts w:asciiTheme="majorHAnsi" w:hAnsiTheme="majorHAnsi" w:cstheme="majorHAnsi"/>
                <w:i/>
                <w:lang w:val="es-NI"/>
              </w:rPr>
            </w:pPr>
            <w:r w:rsidRPr="00594D06">
              <w:rPr>
                <w:rFonts w:asciiTheme="majorHAnsi" w:eastAsia="Times New Roman" w:hAnsiTheme="majorHAnsi" w:cstheme="majorHAnsi"/>
                <w:lang w:val="es-NI" w:eastAsia="es-SV"/>
              </w:rPr>
              <w:t>1. Desastres de origen natural (terremotos, inundaciones, erupciones volcánicas, entre otras.) debido a la vulnerabilidad del territorio salvadoreño puede impactar en la suspensión de actividades de la propuesta.</w:t>
            </w:r>
          </w:p>
        </w:tc>
        <w:tc>
          <w:tcPr>
            <w:tcW w:w="4987" w:type="dxa"/>
          </w:tcPr>
          <w:p w14:paraId="19DD285A" w14:textId="5C45FBAE" w:rsidR="00594D06" w:rsidRPr="00594D06" w:rsidRDefault="00313F99" w:rsidP="00C84F74">
            <w:pPr>
              <w:pStyle w:val="ListParagraph"/>
              <w:numPr>
                <w:ilvl w:val="0"/>
                <w:numId w:val="70"/>
              </w:numPr>
              <w:spacing w:line="240" w:lineRule="auto"/>
              <w:ind w:left="714" w:hanging="357"/>
              <w:contextualSpacing w:val="0"/>
              <w:jc w:val="both"/>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Reprogramación y reorientación de la planificación de actividades posterior a la emergencia.</w:t>
            </w:r>
          </w:p>
          <w:p w14:paraId="64E05EC7" w14:textId="75BB57A6" w:rsidR="00594D06" w:rsidRPr="00594D06" w:rsidRDefault="00313F99" w:rsidP="00C84F74">
            <w:pPr>
              <w:pStyle w:val="ListParagraph"/>
              <w:numPr>
                <w:ilvl w:val="0"/>
                <w:numId w:val="70"/>
              </w:numPr>
              <w:spacing w:after="0" w:line="240" w:lineRule="auto"/>
              <w:jc w:val="both"/>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Diagnóstico de daños.</w:t>
            </w:r>
          </w:p>
          <w:p w14:paraId="4AF09096" w14:textId="06725C9B" w:rsidR="00594D06" w:rsidRPr="00594D06" w:rsidRDefault="00313F99" w:rsidP="00C84F74">
            <w:pPr>
              <w:pStyle w:val="ListParagraph"/>
              <w:numPr>
                <w:ilvl w:val="0"/>
                <w:numId w:val="70"/>
              </w:numPr>
              <w:spacing w:after="0" w:line="240" w:lineRule="auto"/>
              <w:jc w:val="both"/>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Verificación de la disponibilidad de recursos financieros de acuerdo con la estrategia nacional para el abordaje de la emergencia nacional.</w:t>
            </w:r>
          </w:p>
          <w:p w14:paraId="084FCDB2" w14:textId="39E1F38B" w:rsidR="00313F99" w:rsidRPr="00594D06" w:rsidRDefault="00313F99" w:rsidP="00C84F74">
            <w:pPr>
              <w:pStyle w:val="ListParagraph"/>
              <w:numPr>
                <w:ilvl w:val="0"/>
                <w:numId w:val="70"/>
              </w:numPr>
              <w:spacing w:after="0" w:line="240" w:lineRule="auto"/>
              <w:jc w:val="both"/>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Ajustes y acuerdos para reiniciar la ejecución.</w:t>
            </w:r>
          </w:p>
          <w:p w14:paraId="7126F0E7" w14:textId="1BBEBF07" w:rsidR="00313F99" w:rsidRPr="00594D06" w:rsidRDefault="00313F99" w:rsidP="00C84F74">
            <w:pPr>
              <w:pStyle w:val="ListParagraph"/>
              <w:numPr>
                <w:ilvl w:val="0"/>
                <w:numId w:val="70"/>
              </w:numPr>
              <w:autoSpaceDE w:val="0"/>
              <w:autoSpaceDN w:val="0"/>
              <w:adjustRightInd w:val="0"/>
              <w:jc w:val="both"/>
              <w:rPr>
                <w:rFonts w:asciiTheme="majorHAnsi" w:hAnsiTheme="majorHAnsi" w:cstheme="majorHAnsi"/>
                <w:lang w:val="es-NI"/>
              </w:rPr>
            </w:pPr>
            <w:r w:rsidRPr="00594D06">
              <w:rPr>
                <w:rFonts w:asciiTheme="majorHAnsi" w:eastAsia="Times New Roman" w:hAnsiTheme="majorHAnsi" w:cstheme="majorHAnsi"/>
                <w:lang w:val="es-NI" w:eastAsia="es-SV"/>
              </w:rPr>
              <w:t>Definir y poner en marcha canales de comunicación durante y post eventualidades.</w:t>
            </w:r>
          </w:p>
        </w:tc>
        <w:tc>
          <w:tcPr>
            <w:tcW w:w="2446" w:type="dxa"/>
          </w:tcPr>
          <w:p w14:paraId="1638AA01" w14:textId="160E6470" w:rsidR="00313F99" w:rsidRPr="00594D06" w:rsidRDefault="006D0B25" w:rsidP="00886634">
            <w:pPr>
              <w:spacing w:line="240" w:lineRule="auto"/>
              <w:textAlignment w:val="baseline"/>
              <w:rPr>
                <w:rFonts w:asciiTheme="majorHAnsi" w:eastAsia="Times New Roman" w:hAnsiTheme="majorHAnsi" w:cstheme="majorHAnsi"/>
                <w:lang w:val="es-NI" w:eastAsia="es-SV"/>
              </w:rPr>
            </w:pPr>
            <w:r>
              <w:rPr>
                <w:rFonts w:asciiTheme="majorHAnsi" w:eastAsia="Times New Roman" w:hAnsiTheme="majorHAnsi" w:cstheme="majorHAnsi"/>
                <w:lang w:val="es-NI" w:eastAsia="es-SV"/>
              </w:rPr>
              <w:t>MCP-ES</w:t>
            </w:r>
            <w:r w:rsidR="00313F99" w:rsidRPr="00594D06">
              <w:rPr>
                <w:rFonts w:asciiTheme="majorHAnsi" w:eastAsia="Times New Roman" w:hAnsiTheme="majorHAnsi" w:cstheme="majorHAnsi"/>
                <w:lang w:val="es-NI" w:eastAsia="es-SV"/>
              </w:rPr>
              <w:t xml:space="preserve"> – ES </w:t>
            </w:r>
          </w:p>
          <w:p w14:paraId="16DEB744" w14:textId="77777777" w:rsidR="00313F99" w:rsidRPr="00594D06" w:rsidRDefault="00313F99" w:rsidP="00886634">
            <w:pPr>
              <w:spacing w:line="240" w:lineRule="auto"/>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Unidad de Gestión de Riesgos del MINSAL</w:t>
            </w:r>
          </w:p>
          <w:p w14:paraId="79296971" w14:textId="77777777" w:rsidR="00313F99" w:rsidRPr="00594D06" w:rsidRDefault="00313F99" w:rsidP="00886634">
            <w:pPr>
              <w:spacing w:line="240" w:lineRule="auto"/>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Equipo Gerencial del UPITS/VIH.</w:t>
            </w:r>
          </w:p>
          <w:p w14:paraId="44BF07AA" w14:textId="70AE37A7" w:rsidR="00313F99" w:rsidRPr="00594D06" w:rsidRDefault="00DA2E52" w:rsidP="00886634">
            <w:pPr>
              <w:spacing w:line="240" w:lineRule="auto"/>
              <w:textAlignment w:val="baseline"/>
              <w:rPr>
                <w:rFonts w:asciiTheme="majorHAnsi" w:eastAsia="Times New Roman" w:hAnsiTheme="majorHAnsi" w:cstheme="majorHAnsi"/>
                <w:lang w:val="es-NI" w:eastAsia="es-SV"/>
              </w:rPr>
            </w:pPr>
            <w:r>
              <w:rPr>
                <w:rFonts w:asciiTheme="majorHAnsi" w:eastAsia="Times New Roman" w:hAnsiTheme="majorHAnsi" w:cstheme="majorHAnsi"/>
                <w:lang w:val="es-NI" w:eastAsia="es-SV"/>
              </w:rPr>
              <w:t xml:space="preserve">Gerencia </w:t>
            </w:r>
            <w:r w:rsidR="00C84F74">
              <w:rPr>
                <w:rFonts w:asciiTheme="majorHAnsi" w:eastAsia="Times New Roman" w:hAnsiTheme="majorHAnsi" w:cstheme="majorHAnsi"/>
                <w:lang w:val="es-NI" w:eastAsia="es-SV"/>
              </w:rPr>
              <w:t xml:space="preserve">General </w:t>
            </w:r>
            <w:r w:rsidR="00C84F74" w:rsidRPr="00594D06">
              <w:rPr>
                <w:rFonts w:asciiTheme="majorHAnsi" w:eastAsia="Times New Roman" w:hAnsiTheme="majorHAnsi" w:cstheme="majorHAnsi"/>
                <w:lang w:val="es-NI" w:eastAsia="es-SV"/>
              </w:rPr>
              <w:t>MINSAL</w:t>
            </w:r>
          </w:p>
          <w:p w14:paraId="660795E7" w14:textId="6F95E916" w:rsidR="00313F99" w:rsidRPr="00594D06" w:rsidRDefault="00313F99" w:rsidP="00886634">
            <w:pPr>
              <w:autoSpaceDE w:val="0"/>
              <w:autoSpaceDN w:val="0"/>
              <w:adjustRightInd w:val="0"/>
              <w:rPr>
                <w:rFonts w:asciiTheme="majorHAnsi" w:hAnsiTheme="majorHAnsi" w:cstheme="majorHAnsi"/>
                <w:lang w:val="es-NI"/>
              </w:rPr>
            </w:pPr>
            <w:r w:rsidRPr="00594D06">
              <w:rPr>
                <w:rFonts w:asciiTheme="majorHAnsi" w:eastAsia="Times New Roman" w:hAnsiTheme="majorHAnsi" w:cstheme="majorHAnsi"/>
                <w:lang w:val="es-NI" w:bidi="es-ES"/>
              </w:rPr>
              <w:t xml:space="preserve">Plan International </w:t>
            </w:r>
          </w:p>
        </w:tc>
      </w:tr>
      <w:tr w:rsidR="00594D06" w:rsidRPr="00A56294" w14:paraId="6A26F3E3" w14:textId="4C0EA678" w:rsidTr="00313F99">
        <w:trPr>
          <w:trHeight w:val="400"/>
        </w:trPr>
        <w:tc>
          <w:tcPr>
            <w:tcW w:w="3372" w:type="dxa"/>
          </w:tcPr>
          <w:p w14:paraId="610B5A7F" w14:textId="53F3DAAB" w:rsidR="00313F99" w:rsidRPr="00594D06" w:rsidRDefault="00313F99" w:rsidP="00313F99">
            <w:pPr>
              <w:autoSpaceDE w:val="0"/>
              <w:autoSpaceDN w:val="0"/>
              <w:adjustRightInd w:val="0"/>
              <w:rPr>
                <w:rFonts w:asciiTheme="majorHAnsi" w:hAnsiTheme="majorHAnsi" w:cstheme="majorHAnsi"/>
                <w:i/>
                <w:lang w:val="es-NI"/>
              </w:rPr>
            </w:pPr>
            <w:r w:rsidRPr="00594D06">
              <w:rPr>
                <w:rFonts w:asciiTheme="majorHAnsi" w:eastAsia="Times New Roman" w:hAnsiTheme="majorHAnsi" w:cstheme="majorHAnsi"/>
                <w:lang w:val="es-NI" w:eastAsia="es-SV"/>
              </w:rPr>
              <w:t>2. Pandemias y epidemias, en el territorio nacional que puede impactar en la suspensión de actividades de la propuesta</w:t>
            </w:r>
          </w:p>
        </w:tc>
        <w:tc>
          <w:tcPr>
            <w:tcW w:w="4987" w:type="dxa"/>
          </w:tcPr>
          <w:p w14:paraId="4A892000" w14:textId="5F9F9495" w:rsidR="00313F99" w:rsidRPr="00594D06" w:rsidRDefault="00313F99" w:rsidP="00C84F74">
            <w:pPr>
              <w:pStyle w:val="ListParagraph"/>
              <w:numPr>
                <w:ilvl w:val="0"/>
                <w:numId w:val="27"/>
              </w:numPr>
              <w:spacing w:line="240" w:lineRule="auto"/>
              <w:ind w:left="357" w:hanging="357"/>
              <w:contextualSpacing w:val="0"/>
              <w:jc w:val="both"/>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 xml:space="preserve">Ante la situación actual de la pandemia por SARS CoV-2, se han elaborado e implementado lineamientos de atención a los </w:t>
            </w:r>
            <w:r w:rsidRPr="00424489">
              <w:rPr>
                <w:rFonts w:asciiTheme="majorHAnsi" w:eastAsia="Times New Roman" w:hAnsiTheme="majorHAnsi" w:cstheme="majorHAnsi"/>
                <w:lang w:val="es-NI" w:eastAsia="es-SV"/>
              </w:rPr>
              <w:t xml:space="preserve">afectados por VIH y coinfección TB/VIH </w:t>
            </w:r>
            <w:r w:rsidR="00886634" w:rsidRPr="00424489">
              <w:rPr>
                <w:rFonts w:asciiTheme="majorHAnsi" w:eastAsia="Times New Roman" w:hAnsiTheme="majorHAnsi" w:cstheme="majorHAnsi"/>
                <w:lang w:val="es-NI" w:eastAsia="es-SV"/>
              </w:rPr>
              <w:t>[Anexo 2.</w:t>
            </w:r>
            <w:r w:rsidR="00764F86" w:rsidRPr="00424489">
              <w:rPr>
                <w:rFonts w:asciiTheme="majorHAnsi" w:eastAsia="Times New Roman" w:hAnsiTheme="majorHAnsi" w:cstheme="majorHAnsi"/>
                <w:lang w:val="es-NI" w:eastAsia="es-SV"/>
              </w:rPr>
              <w:t>2</w:t>
            </w:r>
            <w:r w:rsidR="00886634" w:rsidRPr="00424489">
              <w:rPr>
                <w:rFonts w:asciiTheme="majorHAnsi" w:eastAsia="Times New Roman" w:hAnsiTheme="majorHAnsi" w:cstheme="majorHAnsi"/>
                <w:lang w:val="es-NI" w:eastAsia="es-SV"/>
              </w:rPr>
              <w:t>]</w:t>
            </w:r>
            <w:r w:rsidRPr="00424489">
              <w:rPr>
                <w:rFonts w:asciiTheme="majorHAnsi" w:eastAsia="Times New Roman" w:hAnsiTheme="majorHAnsi" w:cstheme="majorHAnsi"/>
                <w:lang w:val="es-NI" w:eastAsia="es-SV"/>
              </w:rPr>
              <w:t>;</w:t>
            </w:r>
            <w:r w:rsidRPr="00594D06">
              <w:rPr>
                <w:rFonts w:asciiTheme="majorHAnsi" w:eastAsia="Times New Roman" w:hAnsiTheme="majorHAnsi" w:cstheme="majorHAnsi"/>
                <w:lang w:val="es-NI" w:eastAsia="es-SV"/>
              </w:rPr>
              <w:t xml:space="preserve"> dichos lineamientos han </w:t>
            </w:r>
            <w:r w:rsidRPr="00594D06">
              <w:rPr>
                <w:rFonts w:asciiTheme="majorHAnsi" w:eastAsia="Times New Roman" w:hAnsiTheme="majorHAnsi" w:cstheme="majorHAnsi"/>
                <w:lang w:val="es-NI" w:eastAsia="es-SV" w:bidi="es-ES"/>
              </w:rPr>
              <w:t xml:space="preserve">permitido continuar </w:t>
            </w:r>
            <w:r w:rsidRPr="00594D06">
              <w:rPr>
                <w:rFonts w:asciiTheme="majorHAnsi" w:eastAsia="Times New Roman" w:hAnsiTheme="majorHAnsi" w:cstheme="majorHAnsi"/>
                <w:lang w:val="es-NI" w:eastAsia="es-SV"/>
              </w:rPr>
              <w:t>a</w:t>
            </w:r>
            <w:r w:rsidRPr="00594D06">
              <w:rPr>
                <w:rFonts w:asciiTheme="majorHAnsi" w:eastAsia="Times New Roman" w:hAnsiTheme="majorHAnsi" w:cstheme="majorHAnsi"/>
                <w:lang w:val="es-NI" w:eastAsia="es-SV" w:bidi="es-ES"/>
              </w:rPr>
              <w:t xml:space="preserve"> </w:t>
            </w:r>
            <w:r w:rsidRPr="00594D06">
              <w:rPr>
                <w:rFonts w:asciiTheme="majorHAnsi" w:eastAsia="Times New Roman" w:hAnsiTheme="majorHAnsi" w:cstheme="majorHAnsi"/>
                <w:lang w:val="es-NI" w:eastAsia="es-SV"/>
              </w:rPr>
              <w:t xml:space="preserve">realizar entrega domiciliar del medicamento ARV, dispensación de receta múltiples, </w:t>
            </w:r>
            <w:r w:rsidRPr="00594D06">
              <w:rPr>
                <w:rFonts w:asciiTheme="majorHAnsi" w:eastAsia="Times New Roman" w:hAnsiTheme="majorHAnsi" w:cstheme="majorHAnsi"/>
                <w:lang w:val="es-NI" w:eastAsia="es-SV" w:bidi="es-ES"/>
              </w:rPr>
              <w:t>con el fin de evitar la exposición a COVID-19</w:t>
            </w:r>
            <w:r w:rsidRPr="00594D06">
              <w:rPr>
                <w:rFonts w:asciiTheme="majorHAnsi" w:eastAsia="Times New Roman" w:hAnsiTheme="majorHAnsi" w:cstheme="majorHAnsi"/>
                <w:lang w:val="es-NI" w:eastAsia="es-SV"/>
              </w:rPr>
              <w:t xml:space="preserve"> disminuyendo así los riesgos de abandono al tratamiento</w:t>
            </w:r>
            <w:r w:rsidR="00764F86">
              <w:rPr>
                <w:rFonts w:asciiTheme="majorHAnsi" w:eastAsia="Times New Roman" w:hAnsiTheme="majorHAnsi" w:cstheme="majorHAnsi"/>
                <w:lang w:val="es-NI" w:eastAsia="es-SV"/>
              </w:rPr>
              <w:t>.</w:t>
            </w:r>
            <w:r w:rsidRPr="00594D06">
              <w:rPr>
                <w:rFonts w:asciiTheme="majorHAnsi" w:eastAsia="Times New Roman" w:hAnsiTheme="majorHAnsi" w:cstheme="majorHAnsi"/>
                <w:lang w:val="es-NI" w:eastAsia="es-SV"/>
              </w:rPr>
              <w:t xml:space="preserve"> </w:t>
            </w:r>
          </w:p>
          <w:p w14:paraId="099D701A" w14:textId="45E2AD68" w:rsidR="00313F99" w:rsidRPr="00594D06" w:rsidRDefault="00313F99" w:rsidP="00C84F74">
            <w:pPr>
              <w:pStyle w:val="ListParagraph"/>
              <w:numPr>
                <w:ilvl w:val="0"/>
                <w:numId w:val="27"/>
              </w:numPr>
              <w:spacing w:line="240" w:lineRule="auto"/>
              <w:ind w:left="357" w:hanging="357"/>
              <w:contextualSpacing w:val="0"/>
              <w:jc w:val="both"/>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lastRenderedPageBreak/>
              <w:t xml:space="preserve">Verificación de la disponibilidad de recursos financieros </w:t>
            </w:r>
            <w:r w:rsidR="00D21DF1" w:rsidRPr="00594D06">
              <w:rPr>
                <w:rFonts w:asciiTheme="majorHAnsi" w:eastAsia="Times New Roman" w:hAnsiTheme="majorHAnsi" w:cstheme="majorHAnsi"/>
                <w:lang w:val="es-NI" w:eastAsia="es-SV"/>
              </w:rPr>
              <w:t>de acuerdo con</w:t>
            </w:r>
            <w:r w:rsidRPr="00594D06">
              <w:rPr>
                <w:rFonts w:asciiTheme="majorHAnsi" w:eastAsia="Times New Roman" w:hAnsiTheme="majorHAnsi" w:cstheme="majorHAnsi"/>
                <w:lang w:val="es-NI" w:eastAsia="es-SV"/>
              </w:rPr>
              <w:t xml:space="preserve"> la estrategia nacional para el abordaje de la epidemia que se llegue a presentar.</w:t>
            </w:r>
          </w:p>
          <w:p w14:paraId="77E24F96" w14:textId="77777777" w:rsidR="00313F99" w:rsidRPr="00594D06" w:rsidRDefault="00313F99" w:rsidP="00C84F74">
            <w:pPr>
              <w:pStyle w:val="ListParagraph"/>
              <w:numPr>
                <w:ilvl w:val="0"/>
                <w:numId w:val="27"/>
              </w:numPr>
              <w:spacing w:line="240" w:lineRule="auto"/>
              <w:ind w:left="357" w:hanging="357"/>
              <w:contextualSpacing w:val="0"/>
              <w:jc w:val="both"/>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Aseguramiento del adecuado aprovisionamiento de medicamentos e insumos a través de procesos de planificación y adquisición oportunos y que consideren reservas de seguridad.</w:t>
            </w:r>
          </w:p>
          <w:p w14:paraId="40142BE6" w14:textId="77777777" w:rsidR="00313F99" w:rsidRPr="00594D06" w:rsidRDefault="00313F99" w:rsidP="00C84F74">
            <w:pPr>
              <w:pStyle w:val="ListParagraph"/>
              <w:numPr>
                <w:ilvl w:val="0"/>
                <w:numId w:val="27"/>
              </w:numPr>
              <w:spacing w:line="240" w:lineRule="auto"/>
              <w:ind w:left="357" w:hanging="357"/>
              <w:contextualSpacing w:val="0"/>
              <w:jc w:val="both"/>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Seguimiento prioritario de las poblaciones con mayor riesgo y vulnerabilidad a VIH, para contrarrestar o minimizar los efectos de otras epidemias en estas poblaciones.</w:t>
            </w:r>
          </w:p>
          <w:p w14:paraId="4924F795" w14:textId="77777777" w:rsidR="00313F99" w:rsidRPr="00594D06" w:rsidRDefault="00313F99" w:rsidP="00C84F74">
            <w:pPr>
              <w:pStyle w:val="ListParagraph"/>
              <w:numPr>
                <w:ilvl w:val="0"/>
                <w:numId w:val="27"/>
              </w:numPr>
              <w:spacing w:line="240" w:lineRule="auto"/>
              <w:ind w:left="357" w:hanging="357"/>
              <w:contextualSpacing w:val="0"/>
              <w:jc w:val="both"/>
              <w:textAlignment w:val="baseline"/>
              <w:rPr>
                <w:rFonts w:asciiTheme="majorHAnsi" w:hAnsiTheme="majorHAnsi" w:cstheme="majorHAnsi"/>
                <w:lang w:val="es-NI"/>
              </w:rPr>
            </w:pPr>
            <w:r w:rsidRPr="00594D06">
              <w:rPr>
                <w:rFonts w:asciiTheme="majorHAnsi" w:eastAsia="Times New Roman" w:hAnsiTheme="majorHAnsi" w:cstheme="majorHAnsi"/>
                <w:lang w:val="es-NI" w:eastAsia="es-SV"/>
              </w:rPr>
              <w:t>Asegurar el acceso diagnóstico para VIH y coinfección a la población durante la situación de epidemia.</w:t>
            </w:r>
          </w:p>
          <w:p w14:paraId="0B9B916F" w14:textId="0F304071" w:rsidR="00313F99" w:rsidRPr="00594D06" w:rsidRDefault="00313F99" w:rsidP="00C84F74">
            <w:pPr>
              <w:pStyle w:val="ListParagraph"/>
              <w:numPr>
                <w:ilvl w:val="0"/>
                <w:numId w:val="27"/>
              </w:numPr>
              <w:spacing w:line="240" w:lineRule="auto"/>
              <w:ind w:left="357" w:hanging="357"/>
              <w:contextualSpacing w:val="0"/>
              <w:jc w:val="both"/>
              <w:textAlignment w:val="baseline"/>
              <w:rPr>
                <w:rFonts w:asciiTheme="majorHAnsi" w:hAnsiTheme="majorHAnsi" w:cstheme="majorHAnsi"/>
                <w:lang w:val="es-NI"/>
              </w:rPr>
            </w:pPr>
            <w:r w:rsidRPr="00594D06">
              <w:rPr>
                <w:rFonts w:asciiTheme="majorHAnsi" w:eastAsia="Times New Roman" w:hAnsiTheme="majorHAnsi" w:cstheme="majorHAnsi"/>
                <w:lang w:val="es-NI" w:eastAsia="es-SV"/>
              </w:rPr>
              <w:t>Asegurar el cumplimiento de Protocolos de Bioseguridad definidos para las actividades de campo y de trabajo en oficina, incluyendo el uso correcto de Equipo de Protección Personal (EPP) definidos por las organizaciones involucradas en las actividades del proyecto.</w:t>
            </w:r>
          </w:p>
        </w:tc>
        <w:tc>
          <w:tcPr>
            <w:tcW w:w="2446" w:type="dxa"/>
          </w:tcPr>
          <w:p w14:paraId="7F9F8C68" w14:textId="0CCA9F7A" w:rsidR="00313F99" w:rsidRPr="00594D06" w:rsidRDefault="006D0B25" w:rsidP="00886634">
            <w:pPr>
              <w:spacing w:line="240" w:lineRule="auto"/>
              <w:textAlignment w:val="baseline"/>
              <w:rPr>
                <w:rFonts w:asciiTheme="majorHAnsi" w:eastAsia="Times New Roman" w:hAnsiTheme="majorHAnsi" w:cstheme="majorHAnsi"/>
                <w:lang w:val="es-NI" w:eastAsia="es-SV"/>
              </w:rPr>
            </w:pPr>
            <w:r>
              <w:rPr>
                <w:rFonts w:asciiTheme="majorHAnsi" w:eastAsia="Times New Roman" w:hAnsiTheme="majorHAnsi" w:cstheme="majorHAnsi"/>
                <w:lang w:val="es-NI" w:eastAsia="es-SV"/>
              </w:rPr>
              <w:lastRenderedPageBreak/>
              <w:t>MCP-ES</w:t>
            </w:r>
            <w:r w:rsidR="00313F99" w:rsidRPr="00594D06">
              <w:rPr>
                <w:rFonts w:asciiTheme="majorHAnsi" w:eastAsia="Times New Roman" w:hAnsiTheme="majorHAnsi" w:cstheme="majorHAnsi"/>
                <w:lang w:val="es-NI" w:eastAsia="es-SV"/>
              </w:rPr>
              <w:t xml:space="preserve"> </w:t>
            </w:r>
          </w:p>
          <w:p w14:paraId="26DA5DD4" w14:textId="77777777" w:rsidR="00313F99" w:rsidRPr="00594D06" w:rsidRDefault="00313F99" w:rsidP="00886634">
            <w:pPr>
              <w:spacing w:line="240" w:lineRule="auto"/>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DVS</w:t>
            </w:r>
          </w:p>
          <w:p w14:paraId="224E6529" w14:textId="77777777" w:rsidR="00313F99" w:rsidRPr="00594D06" w:rsidRDefault="00313F99" w:rsidP="00886634">
            <w:pPr>
              <w:spacing w:line="240" w:lineRule="auto"/>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 xml:space="preserve">Unidad de Gestión de Riesgos Equipo Gerencial del UPITS/VIH. </w:t>
            </w:r>
          </w:p>
          <w:p w14:paraId="348B92E3" w14:textId="69932CAC" w:rsidR="00313F99" w:rsidRPr="00594D06" w:rsidRDefault="00DA2E52" w:rsidP="00886634">
            <w:pPr>
              <w:spacing w:line="240" w:lineRule="auto"/>
              <w:textAlignment w:val="baseline"/>
              <w:rPr>
                <w:rFonts w:asciiTheme="majorHAnsi" w:eastAsia="Times New Roman" w:hAnsiTheme="majorHAnsi" w:cstheme="majorHAnsi"/>
                <w:lang w:val="es-NI" w:eastAsia="es-SV"/>
              </w:rPr>
            </w:pPr>
            <w:r>
              <w:rPr>
                <w:rFonts w:asciiTheme="majorHAnsi" w:eastAsia="Times New Roman" w:hAnsiTheme="majorHAnsi" w:cstheme="majorHAnsi"/>
                <w:lang w:val="es-NI" w:eastAsia="es-SV"/>
              </w:rPr>
              <w:t xml:space="preserve">Gerencia </w:t>
            </w:r>
            <w:r w:rsidR="00D21DF1">
              <w:rPr>
                <w:rFonts w:asciiTheme="majorHAnsi" w:eastAsia="Times New Roman" w:hAnsiTheme="majorHAnsi" w:cstheme="majorHAnsi"/>
                <w:lang w:val="es-NI" w:eastAsia="es-SV"/>
              </w:rPr>
              <w:t xml:space="preserve">General </w:t>
            </w:r>
            <w:r w:rsidR="00D21DF1" w:rsidRPr="00594D06">
              <w:rPr>
                <w:rFonts w:asciiTheme="majorHAnsi" w:eastAsia="Times New Roman" w:hAnsiTheme="majorHAnsi" w:cstheme="majorHAnsi"/>
                <w:lang w:val="es-NI" w:eastAsia="es-SV"/>
              </w:rPr>
              <w:t>MINSAL</w:t>
            </w:r>
          </w:p>
          <w:p w14:paraId="6915247B" w14:textId="698EE2C2" w:rsidR="00313F99" w:rsidRPr="00594D06" w:rsidRDefault="00313F99" w:rsidP="00886634">
            <w:pPr>
              <w:autoSpaceDE w:val="0"/>
              <w:autoSpaceDN w:val="0"/>
              <w:adjustRightInd w:val="0"/>
              <w:rPr>
                <w:rFonts w:asciiTheme="majorHAnsi" w:hAnsiTheme="majorHAnsi" w:cstheme="majorHAnsi"/>
                <w:lang w:val="es-NI"/>
              </w:rPr>
            </w:pPr>
            <w:r w:rsidRPr="00594D06">
              <w:rPr>
                <w:rFonts w:asciiTheme="majorHAnsi" w:eastAsia="Times New Roman" w:hAnsiTheme="majorHAnsi" w:cstheme="majorHAnsi"/>
                <w:lang w:val="es-NI" w:eastAsia="es-SV"/>
              </w:rPr>
              <w:t>Plan International</w:t>
            </w:r>
          </w:p>
        </w:tc>
      </w:tr>
      <w:tr w:rsidR="00594D06" w:rsidRPr="00594D06" w14:paraId="4049935B" w14:textId="77777777" w:rsidTr="00313F99">
        <w:trPr>
          <w:trHeight w:val="400"/>
        </w:trPr>
        <w:tc>
          <w:tcPr>
            <w:tcW w:w="3372" w:type="dxa"/>
          </w:tcPr>
          <w:p w14:paraId="4323C5B0" w14:textId="197A5A02" w:rsidR="00313F99" w:rsidRPr="00594D06" w:rsidRDefault="00313F99" w:rsidP="00313F99">
            <w:pPr>
              <w:autoSpaceDE w:val="0"/>
              <w:autoSpaceDN w:val="0"/>
              <w:adjustRightInd w:val="0"/>
              <w:rPr>
                <w:rFonts w:asciiTheme="majorHAnsi" w:hAnsiTheme="majorHAnsi" w:cstheme="majorHAnsi"/>
                <w:i/>
                <w:lang w:val="es-NI"/>
              </w:rPr>
            </w:pPr>
            <w:r w:rsidRPr="00594D06">
              <w:rPr>
                <w:rFonts w:asciiTheme="majorHAnsi" w:eastAsia="Times New Roman" w:hAnsiTheme="majorHAnsi" w:cstheme="majorHAnsi"/>
                <w:lang w:val="es-NI" w:eastAsia="es-SV"/>
              </w:rPr>
              <w:t>3. Cambios políticos que impactan desfavorablemente en la normativa de los mecanismos de prevención y detección.</w:t>
            </w:r>
          </w:p>
        </w:tc>
        <w:tc>
          <w:tcPr>
            <w:tcW w:w="4987" w:type="dxa"/>
          </w:tcPr>
          <w:p w14:paraId="05DBBDBF" w14:textId="299CD0B5" w:rsidR="00313F99" w:rsidRPr="00594D06" w:rsidRDefault="00313F99" w:rsidP="00C84F74">
            <w:pPr>
              <w:pStyle w:val="ListParagraph"/>
              <w:numPr>
                <w:ilvl w:val="0"/>
                <w:numId w:val="69"/>
              </w:numPr>
              <w:spacing w:line="240" w:lineRule="auto"/>
              <w:ind w:left="714" w:hanging="357"/>
              <w:contextualSpacing w:val="0"/>
              <w:jc w:val="both"/>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Abogacía y búsquedas de acuerdos y consensos con los actores políticos.</w:t>
            </w:r>
          </w:p>
          <w:p w14:paraId="4E63CB4D" w14:textId="25666505" w:rsidR="00313F99" w:rsidRPr="00594D06" w:rsidRDefault="00313F99" w:rsidP="00C84F74">
            <w:pPr>
              <w:pStyle w:val="ListParagraph"/>
              <w:numPr>
                <w:ilvl w:val="0"/>
                <w:numId w:val="69"/>
              </w:numPr>
              <w:autoSpaceDE w:val="0"/>
              <w:autoSpaceDN w:val="0"/>
              <w:adjustRightInd w:val="0"/>
              <w:jc w:val="both"/>
              <w:rPr>
                <w:rFonts w:asciiTheme="majorHAnsi" w:hAnsiTheme="majorHAnsi" w:cstheme="majorHAnsi"/>
                <w:lang w:val="es-NI"/>
              </w:rPr>
            </w:pPr>
            <w:r w:rsidRPr="00594D06">
              <w:rPr>
                <w:rFonts w:asciiTheme="majorHAnsi" w:eastAsia="Times New Roman" w:hAnsiTheme="majorHAnsi" w:cstheme="majorHAnsi"/>
                <w:lang w:val="es-NI" w:eastAsia="es-SV"/>
              </w:rPr>
              <w:t>Considerar medidas de prevención para la seguridad de personal en campo</w:t>
            </w:r>
            <w:r w:rsidR="00C84F74">
              <w:rPr>
                <w:rFonts w:asciiTheme="majorHAnsi" w:eastAsia="Times New Roman" w:hAnsiTheme="majorHAnsi" w:cstheme="majorHAnsi"/>
                <w:lang w:val="es-NI" w:eastAsia="es-SV"/>
              </w:rPr>
              <w:t>,</w:t>
            </w:r>
            <w:r w:rsidRPr="00594D06">
              <w:rPr>
                <w:rFonts w:asciiTheme="majorHAnsi" w:eastAsia="Times New Roman" w:hAnsiTheme="majorHAnsi" w:cstheme="majorHAnsi"/>
                <w:lang w:val="es-NI" w:eastAsia="es-SV"/>
              </w:rPr>
              <w:t xml:space="preserve"> mitigando el riesgo de verse afectados por disturbios sociales violentos, debido a la alta polarización política que existe en el país. (si aplica a elecciones presidenciales)</w:t>
            </w:r>
          </w:p>
        </w:tc>
        <w:tc>
          <w:tcPr>
            <w:tcW w:w="2446" w:type="dxa"/>
          </w:tcPr>
          <w:p w14:paraId="710B8EDD" w14:textId="4EA1F990" w:rsidR="00313F99" w:rsidRPr="00594D06" w:rsidRDefault="006D0B25" w:rsidP="00886634">
            <w:pPr>
              <w:spacing w:line="240" w:lineRule="auto"/>
              <w:textAlignment w:val="baseline"/>
              <w:rPr>
                <w:rFonts w:asciiTheme="majorHAnsi" w:eastAsia="Times New Roman" w:hAnsiTheme="majorHAnsi" w:cstheme="majorHAnsi"/>
                <w:lang w:val="es-NI" w:eastAsia="es-SV"/>
              </w:rPr>
            </w:pPr>
            <w:r>
              <w:rPr>
                <w:rFonts w:asciiTheme="majorHAnsi" w:eastAsia="Times New Roman" w:hAnsiTheme="majorHAnsi" w:cstheme="majorHAnsi"/>
                <w:lang w:val="es-NI" w:eastAsia="es-SV"/>
              </w:rPr>
              <w:t>MCP-ES</w:t>
            </w:r>
            <w:r w:rsidR="00313F99" w:rsidRPr="00594D06">
              <w:rPr>
                <w:rFonts w:asciiTheme="majorHAnsi" w:eastAsia="Times New Roman" w:hAnsiTheme="majorHAnsi" w:cstheme="majorHAnsi"/>
                <w:lang w:val="es-NI" w:eastAsia="es-SV"/>
              </w:rPr>
              <w:t xml:space="preserve"> – ES</w:t>
            </w:r>
          </w:p>
          <w:p w14:paraId="637495D7" w14:textId="77777777" w:rsidR="00313F99" w:rsidRPr="00594D06" w:rsidRDefault="00313F99" w:rsidP="00886634">
            <w:pPr>
              <w:spacing w:line="240" w:lineRule="auto"/>
              <w:textAlignment w:val="baseline"/>
              <w:rPr>
                <w:rFonts w:asciiTheme="majorHAnsi" w:eastAsia="Times New Roman" w:hAnsiTheme="majorHAnsi" w:cstheme="majorHAnsi"/>
                <w:lang w:val="es-NI"/>
              </w:rPr>
            </w:pPr>
            <w:r w:rsidRPr="00594D06">
              <w:rPr>
                <w:rFonts w:asciiTheme="majorHAnsi" w:eastAsia="Times New Roman" w:hAnsiTheme="majorHAnsi" w:cstheme="majorHAnsi"/>
                <w:lang w:val="es-NI"/>
              </w:rPr>
              <w:t>MINSAL</w:t>
            </w:r>
          </w:p>
          <w:p w14:paraId="657B250F" w14:textId="0AA54621" w:rsidR="00313F99" w:rsidRPr="00594D06" w:rsidRDefault="00313F99" w:rsidP="00886634">
            <w:pPr>
              <w:autoSpaceDE w:val="0"/>
              <w:autoSpaceDN w:val="0"/>
              <w:adjustRightInd w:val="0"/>
              <w:rPr>
                <w:rFonts w:asciiTheme="majorHAnsi" w:hAnsiTheme="majorHAnsi" w:cstheme="majorHAnsi"/>
                <w:lang w:val="es-NI"/>
              </w:rPr>
            </w:pPr>
            <w:r w:rsidRPr="00594D06">
              <w:rPr>
                <w:rFonts w:asciiTheme="majorHAnsi" w:eastAsia="Times New Roman" w:hAnsiTheme="majorHAnsi" w:cstheme="majorHAnsi"/>
                <w:lang w:val="es-NI"/>
              </w:rPr>
              <w:t>Plan International</w:t>
            </w:r>
          </w:p>
        </w:tc>
      </w:tr>
      <w:tr w:rsidR="00594D06" w:rsidRPr="00A56294" w14:paraId="10B411E0" w14:textId="77777777" w:rsidTr="00313F99">
        <w:trPr>
          <w:trHeight w:val="400"/>
        </w:trPr>
        <w:tc>
          <w:tcPr>
            <w:tcW w:w="3372" w:type="dxa"/>
          </w:tcPr>
          <w:p w14:paraId="1CA038EC" w14:textId="736A03C1" w:rsidR="00313F99" w:rsidRPr="00594D06" w:rsidRDefault="00313F99" w:rsidP="00313F99">
            <w:pPr>
              <w:autoSpaceDE w:val="0"/>
              <w:autoSpaceDN w:val="0"/>
              <w:adjustRightInd w:val="0"/>
              <w:rPr>
                <w:rFonts w:asciiTheme="majorHAnsi" w:hAnsiTheme="majorHAnsi" w:cstheme="majorHAnsi"/>
                <w:i/>
                <w:lang w:val="es-NI"/>
              </w:rPr>
            </w:pPr>
            <w:r w:rsidRPr="00594D06">
              <w:rPr>
                <w:rFonts w:asciiTheme="majorHAnsi" w:eastAsia="Times New Roman" w:hAnsiTheme="majorHAnsi" w:cstheme="majorHAnsi"/>
                <w:lang w:val="es-NI" w:eastAsia="es-SV"/>
              </w:rPr>
              <w:t>4.  Disminución de financiamiento por la crisis financiera mundial y nacional que limita la obtención de más financiamiento ya sea nacional o internacional.</w:t>
            </w:r>
          </w:p>
        </w:tc>
        <w:tc>
          <w:tcPr>
            <w:tcW w:w="4987" w:type="dxa"/>
          </w:tcPr>
          <w:p w14:paraId="451EFAB3" w14:textId="20C25B70" w:rsidR="00313F99" w:rsidRPr="00886634" w:rsidRDefault="00313F99" w:rsidP="00D9200B">
            <w:pPr>
              <w:pStyle w:val="ListParagraph"/>
              <w:numPr>
                <w:ilvl w:val="0"/>
                <w:numId w:val="71"/>
              </w:numPr>
              <w:spacing w:line="240" w:lineRule="auto"/>
              <w:ind w:left="714" w:hanging="357"/>
              <w:contextualSpacing w:val="0"/>
              <w:jc w:val="both"/>
              <w:textAlignment w:val="baseline"/>
              <w:rPr>
                <w:rFonts w:asciiTheme="majorHAnsi" w:eastAsia="Times New Roman" w:hAnsiTheme="majorHAnsi" w:cstheme="majorHAnsi"/>
                <w:lang w:val="es-NI" w:eastAsia="es-SV"/>
              </w:rPr>
            </w:pPr>
            <w:r w:rsidRPr="00886634">
              <w:rPr>
                <w:rFonts w:asciiTheme="majorHAnsi" w:eastAsia="Times New Roman" w:hAnsiTheme="majorHAnsi" w:cstheme="majorHAnsi"/>
                <w:lang w:val="es-NI" w:eastAsia="es-SV"/>
              </w:rPr>
              <w:t>Abogacía y negociación con Ministerio de Hacienda para garantizar la dotación de recursos financieros necesarios.</w:t>
            </w:r>
          </w:p>
          <w:p w14:paraId="29A8B75C" w14:textId="779D3ADD" w:rsidR="00886634" w:rsidRDefault="00313F99" w:rsidP="00D9200B">
            <w:pPr>
              <w:pStyle w:val="ListParagraph"/>
              <w:numPr>
                <w:ilvl w:val="0"/>
                <w:numId w:val="71"/>
              </w:numPr>
              <w:spacing w:line="240" w:lineRule="auto"/>
              <w:ind w:left="714" w:hanging="357"/>
              <w:contextualSpacing w:val="0"/>
              <w:jc w:val="both"/>
              <w:textAlignment w:val="baseline"/>
              <w:rPr>
                <w:rFonts w:asciiTheme="majorHAnsi" w:eastAsia="Times New Roman" w:hAnsiTheme="majorHAnsi" w:cstheme="majorHAnsi"/>
                <w:lang w:val="es-NI" w:eastAsia="es-SV"/>
              </w:rPr>
            </w:pPr>
            <w:r w:rsidRPr="00886634">
              <w:rPr>
                <w:rFonts w:asciiTheme="majorHAnsi" w:eastAsia="Times New Roman" w:hAnsiTheme="majorHAnsi" w:cstheme="majorHAnsi"/>
                <w:lang w:val="es-NI" w:eastAsia="es-SV"/>
              </w:rPr>
              <w:t xml:space="preserve">Reorientar actividades </w:t>
            </w:r>
            <w:r w:rsidR="00D9200B" w:rsidRPr="00886634">
              <w:rPr>
                <w:rFonts w:asciiTheme="majorHAnsi" w:eastAsia="Times New Roman" w:hAnsiTheme="majorHAnsi" w:cstheme="majorHAnsi"/>
                <w:lang w:val="es-NI" w:eastAsia="es-SV"/>
              </w:rPr>
              <w:t>de acuerdo con</w:t>
            </w:r>
            <w:r w:rsidRPr="00886634">
              <w:rPr>
                <w:rFonts w:asciiTheme="majorHAnsi" w:eastAsia="Times New Roman" w:hAnsiTheme="majorHAnsi" w:cstheme="majorHAnsi"/>
                <w:lang w:val="es-NI" w:eastAsia="es-SV"/>
              </w:rPr>
              <w:t xml:space="preserve"> los recursos disponibles para enfocarse en las necesidades urgentes</w:t>
            </w:r>
          </w:p>
          <w:p w14:paraId="50847AF8" w14:textId="216E1EEB" w:rsidR="00313F99" w:rsidRPr="00886634" w:rsidRDefault="00313F99" w:rsidP="00D9200B">
            <w:pPr>
              <w:pStyle w:val="ListParagraph"/>
              <w:numPr>
                <w:ilvl w:val="0"/>
                <w:numId w:val="71"/>
              </w:numPr>
              <w:spacing w:line="240" w:lineRule="auto"/>
              <w:ind w:left="714" w:hanging="357"/>
              <w:contextualSpacing w:val="0"/>
              <w:jc w:val="both"/>
              <w:textAlignment w:val="baseline"/>
              <w:rPr>
                <w:rFonts w:asciiTheme="majorHAnsi" w:eastAsia="Times New Roman" w:hAnsiTheme="majorHAnsi" w:cstheme="majorHAnsi"/>
                <w:lang w:val="es-NI" w:eastAsia="es-SV"/>
              </w:rPr>
            </w:pPr>
            <w:r w:rsidRPr="00886634">
              <w:rPr>
                <w:rFonts w:asciiTheme="majorHAnsi" w:eastAsia="Times New Roman" w:hAnsiTheme="majorHAnsi" w:cstheme="majorHAnsi"/>
                <w:lang w:val="es-NI" w:eastAsia="es-SV"/>
              </w:rPr>
              <w:t>Abogacía de alto nivel con otros proveedores de servicios de salud para el aumento de los presupuestos que incluyan apartados para la lucha contra el VIH (alcaldías, otros programas al interior de MINSAL y SNIS)</w:t>
            </w:r>
          </w:p>
          <w:p w14:paraId="49B47473" w14:textId="17052169" w:rsidR="00313F99" w:rsidRPr="00886634" w:rsidRDefault="00313F99" w:rsidP="00D9200B">
            <w:pPr>
              <w:pStyle w:val="ListParagraph"/>
              <w:numPr>
                <w:ilvl w:val="0"/>
                <w:numId w:val="71"/>
              </w:numPr>
              <w:autoSpaceDE w:val="0"/>
              <w:autoSpaceDN w:val="0"/>
              <w:adjustRightInd w:val="0"/>
              <w:ind w:left="714" w:hanging="357"/>
              <w:contextualSpacing w:val="0"/>
              <w:jc w:val="both"/>
              <w:rPr>
                <w:rFonts w:asciiTheme="majorHAnsi" w:hAnsiTheme="majorHAnsi" w:cstheme="majorHAnsi"/>
                <w:lang w:val="es-NI"/>
              </w:rPr>
            </w:pPr>
            <w:r w:rsidRPr="00886634">
              <w:rPr>
                <w:rFonts w:asciiTheme="majorHAnsi" w:eastAsia="Times New Roman" w:hAnsiTheme="majorHAnsi" w:cstheme="majorHAnsi"/>
                <w:lang w:val="es-NI" w:eastAsia="es-SV"/>
              </w:rPr>
              <w:t>Abogacía y negociación con otros agentes cooperantes y países amigos.</w:t>
            </w:r>
          </w:p>
        </w:tc>
        <w:tc>
          <w:tcPr>
            <w:tcW w:w="2446" w:type="dxa"/>
          </w:tcPr>
          <w:p w14:paraId="34F834B0" w14:textId="2CE43597" w:rsidR="00886634" w:rsidRDefault="006D0B25" w:rsidP="00886634">
            <w:pPr>
              <w:autoSpaceDE w:val="0"/>
              <w:autoSpaceDN w:val="0"/>
              <w:adjustRightInd w:val="0"/>
              <w:rPr>
                <w:rFonts w:asciiTheme="majorHAnsi" w:eastAsia="Times New Roman" w:hAnsiTheme="majorHAnsi" w:cstheme="majorHAnsi"/>
                <w:lang w:val="es-NI" w:eastAsia="es-SV"/>
              </w:rPr>
            </w:pPr>
            <w:r>
              <w:rPr>
                <w:rFonts w:asciiTheme="majorHAnsi" w:eastAsia="Times New Roman" w:hAnsiTheme="majorHAnsi" w:cstheme="majorHAnsi"/>
                <w:lang w:val="es-NI" w:eastAsia="es-SV"/>
              </w:rPr>
              <w:t>MCP-ES</w:t>
            </w:r>
            <w:r w:rsidR="00313F99" w:rsidRPr="00594D06">
              <w:rPr>
                <w:rFonts w:asciiTheme="majorHAnsi" w:eastAsia="Times New Roman" w:hAnsiTheme="majorHAnsi" w:cstheme="majorHAnsi"/>
                <w:lang w:val="es-NI" w:eastAsia="es-SV"/>
              </w:rPr>
              <w:t xml:space="preserve"> </w:t>
            </w:r>
            <w:r w:rsidR="00886634">
              <w:rPr>
                <w:rFonts w:asciiTheme="majorHAnsi" w:eastAsia="Times New Roman" w:hAnsiTheme="majorHAnsi" w:cstheme="majorHAnsi"/>
                <w:lang w:val="es-NI" w:eastAsia="es-SV"/>
              </w:rPr>
              <w:t>–</w:t>
            </w:r>
            <w:r w:rsidR="00313F99" w:rsidRPr="00594D06">
              <w:rPr>
                <w:rFonts w:asciiTheme="majorHAnsi" w:eastAsia="Times New Roman" w:hAnsiTheme="majorHAnsi" w:cstheme="majorHAnsi"/>
                <w:lang w:val="es-NI" w:eastAsia="es-SV"/>
              </w:rPr>
              <w:t xml:space="preserve"> ES</w:t>
            </w:r>
          </w:p>
          <w:p w14:paraId="7C8F48F7" w14:textId="77777777" w:rsidR="00886634" w:rsidRDefault="00313F99" w:rsidP="00886634">
            <w:pPr>
              <w:autoSpaceDE w:val="0"/>
              <w:autoSpaceDN w:val="0"/>
              <w:adjustRightInd w:val="0"/>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Unidad de Gestión de Riesgos del MINSAL.</w:t>
            </w:r>
          </w:p>
          <w:p w14:paraId="40E7BCD8" w14:textId="77777777" w:rsidR="00886634" w:rsidRDefault="00313F99" w:rsidP="00886634">
            <w:pPr>
              <w:autoSpaceDE w:val="0"/>
              <w:autoSpaceDN w:val="0"/>
              <w:adjustRightInd w:val="0"/>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Equipo Gerencial del Unidad de programa VIH,</w:t>
            </w:r>
          </w:p>
          <w:p w14:paraId="2AE43AE4" w14:textId="364BB743" w:rsidR="00313F99" w:rsidRPr="00594D06" w:rsidRDefault="00DA2E52" w:rsidP="00886634">
            <w:pPr>
              <w:autoSpaceDE w:val="0"/>
              <w:autoSpaceDN w:val="0"/>
              <w:adjustRightInd w:val="0"/>
              <w:rPr>
                <w:rFonts w:asciiTheme="majorHAnsi" w:hAnsiTheme="majorHAnsi" w:cstheme="majorHAnsi"/>
                <w:lang w:val="es-NI"/>
              </w:rPr>
            </w:pPr>
            <w:r>
              <w:rPr>
                <w:rFonts w:asciiTheme="majorHAnsi" w:eastAsia="Times New Roman" w:hAnsiTheme="majorHAnsi" w:cstheme="majorHAnsi"/>
                <w:lang w:val="es-NI" w:eastAsia="es-SV"/>
              </w:rPr>
              <w:t xml:space="preserve">Gerencia </w:t>
            </w:r>
            <w:r w:rsidR="00636117">
              <w:rPr>
                <w:rFonts w:asciiTheme="majorHAnsi" w:eastAsia="Times New Roman" w:hAnsiTheme="majorHAnsi" w:cstheme="majorHAnsi"/>
                <w:lang w:val="es-NI" w:eastAsia="es-SV"/>
              </w:rPr>
              <w:t xml:space="preserve">General </w:t>
            </w:r>
            <w:r w:rsidR="00636117" w:rsidRPr="00594D06">
              <w:rPr>
                <w:rFonts w:asciiTheme="majorHAnsi" w:eastAsia="Times New Roman" w:hAnsiTheme="majorHAnsi" w:cstheme="majorHAnsi"/>
                <w:lang w:val="es-NI" w:eastAsia="es-SV"/>
              </w:rPr>
              <w:t>MINSAL</w:t>
            </w:r>
            <w:r w:rsidR="00313F99" w:rsidRPr="00594D06">
              <w:rPr>
                <w:rFonts w:asciiTheme="majorHAnsi" w:eastAsia="Times New Roman" w:hAnsiTheme="majorHAnsi" w:cstheme="majorHAnsi"/>
                <w:lang w:val="es-NI" w:eastAsia="es-SV"/>
              </w:rPr>
              <w:t xml:space="preserve"> y </w:t>
            </w:r>
            <w:r w:rsidR="00313F99" w:rsidRPr="00594D06">
              <w:rPr>
                <w:rFonts w:asciiTheme="majorHAnsi" w:eastAsia="Times New Roman" w:hAnsiTheme="majorHAnsi" w:cstheme="majorHAnsi"/>
                <w:lang w:val="es-NI"/>
              </w:rPr>
              <w:t>Plan International</w:t>
            </w:r>
          </w:p>
        </w:tc>
      </w:tr>
      <w:tr w:rsidR="00594D06" w:rsidRPr="00A56294" w14:paraId="6300851B" w14:textId="77777777" w:rsidTr="00313F99">
        <w:trPr>
          <w:trHeight w:val="400"/>
        </w:trPr>
        <w:tc>
          <w:tcPr>
            <w:tcW w:w="3372" w:type="dxa"/>
          </w:tcPr>
          <w:p w14:paraId="1534DC96" w14:textId="15A09F63" w:rsidR="00313F99" w:rsidRPr="00594D06" w:rsidRDefault="00313F99" w:rsidP="00313F99">
            <w:pPr>
              <w:autoSpaceDE w:val="0"/>
              <w:autoSpaceDN w:val="0"/>
              <w:adjustRightInd w:val="0"/>
              <w:rPr>
                <w:rFonts w:asciiTheme="majorHAnsi" w:hAnsiTheme="majorHAnsi" w:cstheme="majorHAnsi"/>
                <w:i/>
                <w:lang w:val="es-NI"/>
              </w:rPr>
            </w:pPr>
            <w:r w:rsidRPr="00594D06">
              <w:rPr>
                <w:rFonts w:asciiTheme="majorHAnsi" w:eastAsia="Times New Roman" w:hAnsiTheme="majorHAnsi" w:cstheme="majorHAnsi"/>
                <w:lang w:val="es-NI" w:eastAsia="es-SV"/>
              </w:rPr>
              <w:t xml:space="preserve">5. Falta o desabastecimiento de medicamentos antirretroviral a nivel nacional por un problema </w:t>
            </w:r>
            <w:r w:rsidRPr="00594D06">
              <w:rPr>
                <w:rFonts w:asciiTheme="majorHAnsi" w:eastAsia="Times New Roman" w:hAnsiTheme="majorHAnsi" w:cstheme="majorHAnsi"/>
                <w:lang w:val="es-NI" w:eastAsia="es-SV"/>
              </w:rPr>
              <w:lastRenderedPageBreak/>
              <w:t>de desabastecimiento a nivel internacional</w:t>
            </w:r>
          </w:p>
        </w:tc>
        <w:tc>
          <w:tcPr>
            <w:tcW w:w="4987" w:type="dxa"/>
          </w:tcPr>
          <w:p w14:paraId="3BCC1E89" w14:textId="1821D3C8" w:rsidR="00313F99" w:rsidRPr="00886634" w:rsidRDefault="00313F99" w:rsidP="004065CC">
            <w:pPr>
              <w:pStyle w:val="ListParagraph"/>
              <w:numPr>
                <w:ilvl w:val="0"/>
                <w:numId w:val="72"/>
              </w:numPr>
              <w:spacing w:line="240" w:lineRule="auto"/>
              <w:ind w:left="714" w:hanging="357"/>
              <w:contextualSpacing w:val="0"/>
              <w:jc w:val="both"/>
              <w:textAlignment w:val="baseline"/>
              <w:rPr>
                <w:rFonts w:asciiTheme="majorHAnsi" w:eastAsia="Times New Roman" w:hAnsiTheme="majorHAnsi" w:cstheme="majorHAnsi"/>
                <w:lang w:val="es-NI" w:eastAsia="es-SV"/>
              </w:rPr>
            </w:pPr>
            <w:r w:rsidRPr="00886634">
              <w:rPr>
                <w:rFonts w:asciiTheme="majorHAnsi" w:eastAsia="Times New Roman" w:hAnsiTheme="majorHAnsi" w:cstheme="majorHAnsi"/>
                <w:lang w:val="es-NI" w:eastAsia="es-SV"/>
              </w:rPr>
              <w:lastRenderedPageBreak/>
              <w:t xml:space="preserve">Monitoreo periódico de existencias, medicamentos en tránsito y próximos a vencerse, para anticipar las gestiones correspondientes. </w:t>
            </w:r>
          </w:p>
          <w:p w14:paraId="20BC3421" w14:textId="480F670D" w:rsidR="00313F99" w:rsidRPr="00886634" w:rsidRDefault="00313F99" w:rsidP="00636117">
            <w:pPr>
              <w:pStyle w:val="ListParagraph"/>
              <w:numPr>
                <w:ilvl w:val="0"/>
                <w:numId w:val="72"/>
              </w:numPr>
              <w:spacing w:line="240" w:lineRule="auto"/>
              <w:ind w:left="714" w:hanging="357"/>
              <w:contextualSpacing w:val="0"/>
              <w:jc w:val="both"/>
              <w:textAlignment w:val="baseline"/>
              <w:rPr>
                <w:rFonts w:asciiTheme="majorHAnsi" w:eastAsia="Times New Roman" w:hAnsiTheme="majorHAnsi" w:cstheme="majorHAnsi"/>
                <w:lang w:val="es-NI" w:eastAsia="es-SV"/>
              </w:rPr>
            </w:pPr>
            <w:r w:rsidRPr="00886634">
              <w:rPr>
                <w:rFonts w:asciiTheme="majorHAnsi" w:eastAsia="Times New Roman" w:hAnsiTheme="majorHAnsi" w:cstheme="majorHAnsi"/>
                <w:lang w:val="es-NI" w:eastAsia="es-SV"/>
              </w:rPr>
              <w:lastRenderedPageBreak/>
              <w:t>Gestionar préstamos de medicamentos con otros países y/o ISSS.</w:t>
            </w:r>
          </w:p>
          <w:p w14:paraId="388181E2" w14:textId="77777777" w:rsidR="00886634" w:rsidRDefault="00313F99" w:rsidP="00636117">
            <w:pPr>
              <w:pStyle w:val="ListParagraph"/>
              <w:numPr>
                <w:ilvl w:val="0"/>
                <w:numId w:val="72"/>
              </w:numPr>
              <w:spacing w:line="240" w:lineRule="auto"/>
              <w:ind w:left="714" w:hanging="357"/>
              <w:contextualSpacing w:val="0"/>
              <w:jc w:val="both"/>
              <w:textAlignment w:val="baseline"/>
              <w:rPr>
                <w:rFonts w:asciiTheme="majorHAnsi" w:eastAsia="Times New Roman" w:hAnsiTheme="majorHAnsi" w:cstheme="majorHAnsi"/>
                <w:lang w:val="es-NI" w:eastAsia="es-SV"/>
              </w:rPr>
            </w:pPr>
            <w:r w:rsidRPr="00886634">
              <w:rPr>
                <w:rFonts w:asciiTheme="majorHAnsi" w:eastAsia="Times New Roman" w:hAnsiTheme="majorHAnsi" w:cstheme="majorHAnsi"/>
                <w:lang w:val="es-NI" w:eastAsia="es-SV"/>
              </w:rPr>
              <w:t xml:space="preserve">Iniciar con antelación los procesos de planificación y abastecimiento que permitan reducir los tiempos de procesos de contratación y maximizar los tiempos para la recepción de los bienes y servicios, disminuyendo el riesgo de la no entrega. </w:t>
            </w:r>
          </w:p>
          <w:p w14:paraId="6F289EF7" w14:textId="33BFC014" w:rsidR="00313F99" w:rsidRPr="00886634" w:rsidRDefault="00313F99" w:rsidP="00636117">
            <w:pPr>
              <w:pStyle w:val="ListParagraph"/>
              <w:numPr>
                <w:ilvl w:val="0"/>
                <w:numId w:val="72"/>
              </w:numPr>
              <w:spacing w:line="240" w:lineRule="auto"/>
              <w:ind w:left="714" w:hanging="357"/>
              <w:contextualSpacing w:val="0"/>
              <w:jc w:val="both"/>
              <w:textAlignment w:val="baseline"/>
              <w:rPr>
                <w:rFonts w:asciiTheme="majorHAnsi" w:eastAsia="Times New Roman" w:hAnsiTheme="majorHAnsi" w:cstheme="majorHAnsi"/>
                <w:lang w:val="es-NI" w:eastAsia="es-SV"/>
              </w:rPr>
            </w:pPr>
            <w:r w:rsidRPr="00886634">
              <w:rPr>
                <w:rFonts w:asciiTheme="majorHAnsi" w:eastAsia="Times New Roman" w:hAnsiTheme="majorHAnsi" w:cstheme="majorHAnsi"/>
                <w:lang w:val="es-NI" w:eastAsia="es-SV"/>
              </w:rPr>
              <w:t>Cambios de esquemas de tratamiento.</w:t>
            </w:r>
          </w:p>
          <w:p w14:paraId="046766CA" w14:textId="656060B2" w:rsidR="00313F99" w:rsidRPr="00886634" w:rsidRDefault="00313F99" w:rsidP="00636117">
            <w:pPr>
              <w:pStyle w:val="ListParagraph"/>
              <w:numPr>
                <w:ilvl w:val="0"/>
                <w:numId w:val="72"/>
              </w:numPr>
              <w:autoSpaceDE w:val="0"/>
              <w:autoSpaceDN w:val="0"/>
              <w:adjustRightInd w:val="0"/>
              <w:ind w:left="714" w:hanging="357"/>
              <w:contextualSpacing w:val="0"/>
              <w:jc w:val="both"/>
              <w:rPr>
                <w:rFonts w:asciiTheme="majorHAnsi" w:eastAsia="Times New Roman" w:hAnsiTheme="majorHAnsi" w:cstheme="majorHAnsi"/>
                <w:lang w:val="es-NI" w:bidi="es-ES"/>
              </w:rPr>
            </w:pPr>
            <w:r w:rsidRPr="00886634">
              <w:rPr>
                <w:rFonts w:asciiTheme="majorHAnsi" w:eastAsia="Times New Roman" w:hAnsiTheme="majorHAnsi" w:cstheme="majorHAnsi"/>
                <w:lang w:val="es-NI" w:bidi="es-ES"/>
              </w:rPr>
              <w:t xml:space="preserve">Definir y mantener un </w:t>
            </w:r>
            <w:r w:rsidR="00636117">
              <w:rPr>
                <w:rFonts w:asciiTheme="majorHAnsi" w:eastAsia="Times New Roman" w:hAnsiTheme="majorHAnsi" w:cstheme="majorHAnsi"/>
                <w:lang w:val="es-NI" w:bidi="es-ES"/>
              </w:rPr>
              <w:t>i</w:t>
            </w:r>
            <w:r w:rsidRPr="00886634">
              <w:rPr>
                <w:rFonts w:asciiTheme="majorHAnsi" w:eastAsia="Times New Roman" w:hAnsiTheme="majorHAnsi" w:cstheme="majorHAnsi"/>
                <w:lang w:val="es-NI" w:bidi="es-ES"/>
              </w:rPr>
              <w:t>nventario de Seguridad (safety stock) de medicamentos que permita responder a la demanda mientras se pueda abastecer nuevamente.</w:t>
            </w:r>
          </w:p>
          <w:p w14:paraId="0DDF0D02" w14:textId="4B901DD7" w:rsidR="00313F99" w:rsidRPr="00886634" w:rsidRDefault="00313F99" w:rsidP="00820572">
            <w:pPr>
              <w:pStyle w:val="ListParagraph"/>
              <w:numPr>
                <w:ilvl w:val="0"/>
                <w:numId w:val="72"/>
              </w:numPr>
              <w:autoSpaceDE w:val="0"/>
              <w:autoSpaceDN w:val="0"/>
              <w:adjustRightInd w:val="0"/>
              <w:ind w:left="714" w:hanging="357"/>
              <w:contextualSpacing w:val="0"/>
              <w:jc w:val="both"/>
              <w:rPr>
                <w:rFonts w:asciiTheme="majorHAnsi" w:hAnsiTheme="majorHAnsi" w:cstheme="majorHAnsi"/>
                <w:lang w:val="es-NI"/>
              </w:rPr>
            </w:pPr>
            <w:r w:rsidRPr="00886634">
              <w:rPr>
                <w:rFonts w:asciiTheme="majorHAnsi" w:hAnsiTheme="majorHAnsi" w:cstheme="majorHAnsi"/>
                <w:lang w:val="es-NI"/>
              </w:rPr>
              <w:t>Hacer uso de Asistencia Técnica de PSM/USAID para el fortalecimiento de capacidades del personal del programa en la gestión de suministros (medicamentos y reactivos de laboratorio).</w:t>
            </w:r>
          </w:p>
          <w:p w14:paraId="27FF183F" w14:textId="2EC44BCB" w:rsidR="00313F99" w:rsidRPr="00886634" w:rsidRDefault="00313F99" w:rsidP="00820572">
            <w:pPr>
              <w:pStyle w:val="ListParagraph"/>
              <w:numPr>
                <w:ilvl w:val="0"/>
                <w:numId w:val="72"/>
              </w:numPr>
              <w:autoSpaceDE w:val="0"/>
              <w:autoSpaceDN w:val="0"/>
              <w:adjustRightInd w:val="0"/>
              <w:ind w:left="714" w:hanging="357"/>
              <w:contextualSpacing w:val="0"/>
              <w:jc w:val="both"/>
              <w:rPr>
                <w:rFonts w:asciiTheme="majorHAnsi" w:hAnsiTheme="majorHAnsi" w:cstheme="majorHAnsi"/>
                <w:lang w:val="es-NI"/>
              </w:rPr>
            </w:pPr>
            <w:r w:rsidRPr="00886634">
              <w:rPr>
                <w:rFonts w:asciiTheme="majorHAnsi" w:hAnsiTheme="majorHAnsi" w:cstheme="majorHAnsi"/>
                <w:lang w:val="es-NI"/>
              </w:rPr>
              <w:t>U</w:t>
            </w:r>
            <w:r w:rsidRPr="00886634">
              <w:rPr>
                <w:rStyle w:val="normaltextrun"/>
                <w:rFonts w:asciiTheme="majorHAnsi" w:eastAsia="Times New Roman" w:hAnsiTheme="majorHAnsi" w:cstheme="majorHAnsi"/>
                <w:lang w:eastAsia="en-GB"/>
              </w:rPr>
              <w:t>n equipo multidisciplinar</w:t>
            </w:r>
            <w:r w:rsidR="00820572">
              <w:rPr>
                <w:rStyle w:val="normaltextrun"/>
                <w:rFonts w:asciiTheme="majorHAnsi" w:eastAsia="Times New Roman" w:hAnsiTheme="majorHAnsi" w:cstheme="majorHAnsi"/>
                <w:lang w:eastAsia="en-GB"/>
              </w:rPr>
              <w:t>io</w:t>
            </w:r>
            <w:r w:rsidRPr="00886634">
              <w:rPr>
                <w:rStyle w:val="normaltextrun"/>
                <w:rFonts w:asciiTheme="majorHAnsi" w:eastAsia="Times New Roman" w:hAnsiTheme="majorHAnsi" w:cstheme="majorHAnsi"/>
                <w:lang w:eastAsia="en-GB"/>
              </w:rPr>
              <w:t xml:space="preserve"> del MINSAL con integrantes del ISSS fue capacitado por la OPS en la metodología de estimación de necesidades de medicamentos ARV por el método de morbilidad en la plataforma QUANTMET de la OPS/OMS (frente al método de estimaciones por regresión históricas)</w:t>
            </w:r>
          </w:p>
        </w:tc>
        <w:tc>
          <w:tcPr>
            <w:tcW w:w="2446" w:type="dxa"/>
          </w:tcPr>
          <w:p w14:paraId="24A42B2E" w14:textId="77777777" w:rsidR="00886634" w:rsidRDefault="00313F99" w:rsidP="00886634">
            <w:pPr>
              <w:autoSpaceDE w:val="0"/>
              <w:autoSpaceDN w:val="0"/>
              <w:adjustRightInd w:val="0"/>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lastRenderedPageBreak/>
              <w:t>Unidad de Gestión de Riesgos del MINSAL.</w:t>
            </w:r>
          </w:p>
          <w:p w14:paraId="33BF6B1A" w14:textId="77777777" w:rsidR="00886634" w:rsidRDefault="00313F99" w:rsidP="00886634">
            <w:pPr>
              <w:autoSpaceDE w:val="0"/>
              <w:autoSpaceDN w:val="0"/>
              <w:adjustRightInd w:val="0"/>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lastRenderedPageBreak/>
              <w:t>Equipo Gerencial del UPITS/VIH.</w:t>
            </w:r>
          </w:p>
          <w:p w14:paraId="31868BCD" w14:textId="489470B0" w:rsidR="00886634" w:rsidRDefault="00DA2E52" w:rsidP="00886634">
            <w:pPr>
              <w:autoSpaceDE w:val="0"/>
              <w:autoSpaceDN w:val="0"/>
              <w:adjustRightInd w:val="0"/>
              <w:rPr>
                <w:rFonts w:asciiTheme="majorHAnsi" w:eastAsia="Times New Roman" w:hAnsiTheme="majorHAnsi" w:cstheme="majorHAnsi"/>
                <w:lang w:val="es-NI" w:eastAsia="es-SV"/>
              </w:rPr>
            </w:pPr>
            <w:r>
              <w:rPr>
                <w:rFonts w:asciiTheme="majorHAnsi" w:eastAsia="Times New Roman" w:hAnsiTheme="majorHAnsi" w:cstheme="majorHAnsi"/>
                <w:lang w:val="es-NI" w:eastAsia="es-SV"/>
              </w:rPr>
              <w:t xml:space="preserve">Gerencia </w:t>
            </w:r>
            <w:r w:rsidR="00820572">
              <w:rPr>
                <w:rFonts w:asciiTheme="majorHAnsi" w:eastAsia="Times New Roman" w:hAnsiTheme="majorHAnsi" w:cstheme="majorHAnsi"/>
                <w:lang w:val="es-NI" w:eastAsia="es-SV"/>
              </w:rPr>
              <w:t xml:space="preserve">General </w:t>
            </w:r>
            <w:r w:rsidR="00820572" w:rsidRPr="00594D06">
              <w:rPr>
                <w:rFonts w:asciiTheme="majorHAnsi" w:eastAsia="Times New Roman" w:hAnsiTheme="majorHAnsi" w:cstheme="majorHAnsi"/>
                <w:lang w:val="es-NI" w:eastAsia="es-SV"/>
              </w:rPr>
              <w:t>MINSAL</w:t>
            </w:r>
          </w:p>
          <w:p w14:paraId="0051F3BF" w14:textId="352A442F" w:rsidR="00313F99" w:rsidRPr="00594D06" w:rsidRDefault="00313F99" w:rsidP="00886634">
            <w:pPr>
              <w:autoSpaceDE w:val="0"/>
              <w:autoSpaceDN w:val="0"/>
              <w:adjustRightInd w:val="0"/>
              <w:rPr>
                <w:rFonts w:asciiTheme="majorHAnsi" w:hAnsiTheme="majorHAnsi" w:cstheme="majorHAnsi"/>
                <w:lang w:val="es-NI"/>
              </w:rPr>
            </w:pPr>
            <w:r w:rsidRPr="00594D06">
              <w:rPr>
                <w:rFonts w:asciiTheme="majorHAnsi" w:eastAsia="Times New Roman" w:hAnsiTheme="majorHAnsi" w:cstheme="majorHAnsi"/>
                <w:lang w:val="es-NI" w:eastAsia="es-SV"/>
              </w:rPr>
              <w:t>Dirección de Medicamentos (DNM).</w:t>
            </w:r>
          </w:p>
        </w:tc>
      </w:tr>
      <w:tr w:rsidR="00594D06" w:rsidRPr="00594D06" w14:paraId="7DADC602" w14:textId="77777777" w:rsidTr="00313F99">
        <w:trPr>
          <w:trHeight w:val="400"/>
        </w:trPr>
        <w:tc>
          <w:tcPr>
            <w:tcW w:w="3372" w:type="dxa"/>
          </w:tcPr>
          <w:p w14:paraId="791AFCE8" w14:textId="7072AF57" w:rsidR="00313F99" w:rsidRPr="00594D06" w:rsidRDefault="00313F99" w:rsidP="00313F99">
            <w:pPr>
              <w:autoSpaceDE w:val="0"/>
              <w:autoSpaceDN w:val="0"/>
              <w:adjustRightInd w:val="0"/>
              <w:rPr>
                <w:rFonts w:asciiTheme="majorHAnsi" w:hAnsiTheme="majorHAnsi" w:cstheme="majorHAnsi"/>
                <w:i/>
                <w:lang w:val="es-NI"/>
              </w:rPr>
            </w:pPr>
            <w:r w:rsidRPr="00594D06">
              <w:rPr>
                <w:rFonts w:asciiTheme="majorHAnsi" w:eastAsia="Times New Roman" w:hAnsiTheme="majorHAnsi" w:cstheme="majorHAnsi"/>
                <w:lang w:val="es-NI" w:eastAsia="es-SV"/>
              </w:rPr>
              <w:lastRenderedPageBreak/>
              <w:t>6. Riesgo relacionado por violencia y criminalidad</w:t>
            </w:r>
          </w:p>
        </w:tc>
        <w:tc>
          <w:tcPr>
            <w:tcW w:w="4987" w:type="dxa"/>
          </w:tcPr>
          <w:p w14:paraId="7ABD9C5B" w14:textId="1A30232B" w:rsidR="00313F99" w:rsidRPr="00886634" w:rsidRDefault="00313F99" w:rsidP="000A4565">
            <w:pPr>
              <w:pStyle w:val="ListParagraph"/>
              <w:numPr>
                <w:ilvl w:val="0"/>
                <w:numId w:val="73"/>
              </w:numPr>
              <w:spacing w:line="240" w:lineRule="auto"/>
              <w:ind w:left="714" w:hanging="357"/>
              <w:contextualSpacing w:val="0"/>
              <w:jc w:val="both"/>
              <w:textAlignment w:val="baseline"/>
              <w:rPr>
                <w:rFonts w:asciiTheme="majorHAnsi" w:eastAsia="Times New Roman" w:hAnsiTheme="majorHAnsi" w:cstheme="majorHAnsi"/>
                <w:lang w:val="es-NI" w:eastAsia="es-SV"/>
              </w:rPr>
            </w:pPr>
            <w:r w:rsidRPr="00886634">
              <w:rPr>
                <w:rFonts w:asciiTheme="majorHAnsi" w:eastAsia="Times New Roman" w:hAnsiTheme="majorHAnsi" w:cstheme="majorHAnsi"/>
                <w:lang w:val="es-NI" w:eastAsia="es-SV"/>
              </w:rPr>
              <w:t>Búsqueda de espacios neutrales para brindar servicios de salud, con apoyo de los diferentes actores como las gobernaciones municipales, organizaciones de la sociedad civil, líderes comunitarios, entre otros.</w:t>
            </w:r>
          </w:p>
          <w:p w14:paraId="2546E301" w14:textId="036A1CEC" w:rsidR="00313F99" w:rsidRPr="00886634" w:rsidRDefault="00313F99" w:rsidP="000A4565">
            <w:pPr>
              <w:pStyle w:val="ListParagraph"/>
              <w:numPr>
                <w:ilvl w:val="0"/>
                <w:numId w:val="73"/>
              </w:numPr>
              <w:spacing w:line="240" w:lineRule="auto"/>
              <w:ind w:left="714" w:hanging="357"/>
              <w:contextualSpacing w:val="0"/>
              <w:jc w:val="both"/>
              <w:textAlignment w:val="baseline"/>
              <w:rPr>
                <w:rFonts w:asciiTheme="majorHAnsi" w:eastAsia="Times New Roman" w:hAnsiTheme="majorHAnsi" w:cstheme="majorHAnsi"/>
                <w:lang w:val="es-NI" w:eastAsia="es-SV"/>
              </w:rPr>
            </w:pPr>
            <w:r w:rsidRPr="00886634">
              <w:rPr>
                <w:rFonts w:asciiTheme="majorHAnsi" w:eastAsia="Times New Roman" w:hAnsiTheme="majorHAnsi" w:cstheme="majorHAnsi"/>
                <w:lang w:val="es-NI" w:eastAsia="es-SV"/>
              </w:rPr>
              <w:t>Mantener la oferta de servicio de salud con libre acceso a los establecimientos, independientemente de su lugar de residencia.</w:t>
            </w:r>
          </w:p>
          <w:p w14:paraId="52664A93" w14:textId="33EBABC0" w:rsidR="00313F99" w:rsidRPr="00886634" w:rsidRDefault="00313F99" w:rsidP="000A4565">
            <w:pPr>
              <w:pStyle w:val="ListParagraph"/>
              <w:numPr>
                <w:ilvl w:val="0"/>
                <w:numId w:val="73"/>
              </w:numPr>
              <w:spacing w:line="240" w:lineRule="auto"/>
              <w:ind w:left="714" w:hanging="357"/>
              <w:contextualSpacing w:val="0"/>
              <w:jc w:val="both"/>
              <w:textAlignment w:val="baseline"/>
              <w:rPr>
                <w:rFonts w:asciiTheme="majorHAnsi" w:eastAsia="Times New Roman" w:hAnsiTheme="majorHAnsi" w:cstheme="majorHAnsi"/>
                <w:lang w:val="es-NI" w:eastAsia="es-SV"/>
              </w:rPr>
            </w:pPr>
            <w:r w:rsidRPr="00886634">
              <w:rPr>
                <w:rFonts w:asciiTheme="majorHAnsi" w:eastAsia="Times New Roman" w:hAnsiTheme="majorHAnsi" w:cstheme="majorHAnsi"/>
                <w:lang w:val="es-NI" w:eastAsia="es-SV"/>
              </w:rPr>
              <w:t>Monitoreo constante de la situación de seguridad en los lugares de intervención del proyecto, y uso de sistemas y protocolos existentes de comunicación por equipos de campo para reportes oportunos y adecuar planificaciones en caso de ser necesario.</w:t>
            </w:r>
          </w:p>
          <w:p w14:paraId="1B655608" w14:textId="73589DAA" w:rsidR="00313F99" w:rsidRPr="00886634" w:rsidRDefault="00313F99" w:rsidP="000A4565">
            <w:pPr>
              <w:pStyle w:val="ListParagraph"/>
              <w:numPr>
                <w:ilvl w:val="0"/>
                <w:numId w:val="73"/>
              </w:numPr>
              <w:autoSpaceDE w:val="0"/>
              <w:autoSpaceDN w:val="0"/>
              <w:adjustRightInd w:val="0"/>
              <w:ind w:left="714" w:hanging="357"/>
              <w:contextualSpacing w:val="0"/>
              <w:jc w:val="both"/>
              <w:rPr>
                <w:rFonts w:asciiTheme="majorHAnsi" w:hAnsiTheme="majorHAnsi" w:cstheme="majorHAnsi"/>
                <w:lang w:val="es-NI"/>
              </w:rPr>
            </w:pPr>
            <w:r w:rsidRPr="00886634">
              <w:rPr>
                <w:rFonts w:asciiTheme="majorHAnsi" w:eastAsia="Times New Roman" w:hAnsiTheme="majorHAnsi" w:cstheme="majorHAnsi"/>
                <w:lang w:val="es-NI" w:eastAsia="es-SV"/>
              </w:rPr>
              <w:t xml:space="preserve">Respetar las recomendaciones de seguridad estableciendo medidas preventivas y de mitigación durante las actividades de trabajo en campo y la seguridad personal de </w:t>
            </w:r>
            <w:r w:rsidR="0027368C">
              <w:rPr>
                <w:rFonts w:asciiTheme="majorHAnsi" w:eastAsia="Times New Roman" w:hAnsiTheme="majorHAnsi" w:cstheme="majorHAnsi"/>
                <w:lang w:val="es-NI" w:eastAsia="es-SV"/>
              </w:rPr>
              <w:t xml:space="preserve">sus </w:t>
            </w:r>
            <w:r w:rsidRPr="00886634">
              <w:rPr>
                <w:rFonts w:asciiTheme="majorHAnsi" w:eastAsia="Times New Roman" w:hAnsiTheme="majorHAnsi" w:cstheme="majorHAnsi"/>
                <w:lang w:val="es-NI" w:eastAsia="es-SV"/>
              </w:rPr>
              <w:t xml:space="preserve">colaboradores; </w:t>
            </w:r>
            <w:r w:rsidRPr="00886634">
              <w:rPr>
                <w:rFonts w:asciiTheme="majorHAnsi" w:eastAsia="Times New Roman" w:hAnsiTheme="majorHAnsi" w:cstheme="majorHAnsi"/>
                <w:lang w:val="es-NI" w:eastAsia="es-SV"/>
              </w:rPr>
              <w:lastRenderedPageBreak/>
              <w:t>que cada una de las organizaciones involucradas en el proyecto definirán.</w:t>
            </w:r>
          </w:p>
        </w:tc>
        <w:tc>
          <w:tcPr>
            <w:tcW w:w="2446" w:type="dxa"/>
          </w:tcPr>
          <w:p w14:paraId="648714E6" w14:textId="77777777" w:rsidR="00313F99" w:rsidRPr="00594D06" w:rsidRDefault="00313F99" w:rsidP="00886634">
            <w:pPr>
              <w:spacing w:line="240" w:lineRule="auto"/>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lastRenderedPageBreak/>
              <w:t>MINSAL</w:t>
            </w:r>
          </w:p>
          <w:p w14:paraId="153094D9" w14:textId="77777777" w:rsidR="00313F99" w:rsidRPr="00594D06" w:rsidRDefault="00313F99" w:rsidP="00886634">
            <w:pPr>
              <w:spacing w:line="240" w:lineRule="auto"/>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Dirección General de Migración y Extranjería</w:t>
            </w:r>
          </w:p>
          <w:p w14:paraId="20744F63" w14:textId="2CD95EEF" w:rsidR="00313F99" w:rsidRPr="00594D06" w:rsidRDefault="006D0B25" w:rsidP="00886634">
            <w:pPr>
              <w:spacing w:line="240" w:lineRule="auto"/>
              <w:textAlignment w:val="baseline"/>
              <w:rPr>
                <w:rFonts w:asciiTheme="majorHAnsi" w:eastAsia="Times New Roman" w:hAnsiTheme="majorHAnsi" w:cstheme="majorHAnsi"/>
                <w:lang w:val="es-NI" w:eastAsia="es-SV"/>
              </w:rPr>
            </w:pPr>
            <w:r>
              <w:rPr>
                <w:rFonts w:asciiTheme="majorHAnsi" w:eastAsia="Times New Roman" w:hAnsiTheme="majorHAnsi" w:cstheme="majorHAnsi"/>
                <w:lang w:val="es-NI" w:eastAsia="es-SV"/>
              </w:rPr>
              <w:t>MCP-ES</w:t>
            </w:r>
          </w:p>
          <w:p w14:paraId="19A22D3A" w14:textId="7394A4BA" w:rsidR="00313F99" w:rsidRPr="00594D06" w:rsidRDefault="00313F99" w:rsidP="00886634">
            <w:pPr>
              <w:spacing w:line="240" w:lineRule="auto"/>
              <w:textAlignment w:val="baseline"/>
              <w:rPr>
                <w:rFonts w:asciiTheme="majorHAnsi" w:hAnsiTheme="majorHAnsi" w:cstheme="majorHAnsi"/>
                <w:lang w:val="es-NI"/>
              </w:rPr>
            </w:pPr>
            <w:r w:rsidRPr="00594D06">
              <w:rPr>
                <w:rFonts w:asciiTheme="majorHAnsi" w:eastAsia="Times New Roman" w:hAnsiTheme="majorHAnsi" w:cstheme="majorHAnsi"/>
                <w:lang w:val="es-NI" w:eastAsia="es-SV"/>
              </w:rPr>
              <w:t>Plan International</w:t>
            </w:r>
          </w:p>
        </w:tc>
      </w:tr>
      <w:tr w:rsidR="00594D06" w:rsidRPr="00594D06" w14:paraId="28EAD993" w14:textId="6B25692F" w:rsidTr="00313F99">
        <w:trPr>
          <w:trHeight w:val="400"/>
        </w:trPr>
        <w:tc>
          <w:tcPr>
            <w:tcW w:w="3372" w:type="dxa"/>
          </w:tcPr>
          <w:p w14:paraId="11A6897D" w14:textId="444E908A" w:rsidR="00313F99" w:rsidRPr="00594D06" w:rsidRDefault="00313F99" w:rsidP="00313F99">
            <w:pPr>
              <w:autoSpaceDE w:val="0"/>
              <w:autoSpaceDN w:val="0"/>
              <w:adjustRightInd w:val="0"/>
              <w:rPr>
                <w:rFonts w:asciiTheme="majorHAnsi" w:hAnsiTheme="majorHAnsi" w:cstheme="majorHAnsi"/>
                <w:i/>
                <w:lang w:val="es-NI"/>
              </w:rPr>
            </w:pPr>
            <w:r w:rsidRPr="00594D06">
              <w:rPr>
                <w:rFonts w:asciiTheme="majorHAnsi" w:eastAsia="Times New Roman" w:hAnsiTheme="majorHAnsi" w:cstheme="majorHAnsi"/>
                <w:lang w:val="es-NI" w:eastAsia="es-SV"/>
              </w:rPr>
              <w:t>7. Riesgo relacionado a violencia de género</w:t>
            </w:r>
          </w:p>
        </w:tc>
        <w:tc>
          <w:tcPr>
            <w:tcW w:w="4987" w:type="dxa"/>
          </w:tcPr>
          <w:p w14:paraId="39A30126" w14:textId="63A81064" w:rsidR="00313F99" w:rsidRPr="00886634" w:rsidRDefault="00313F99" w:rsidP="0027368C">
            <w:pPr>
              <w:pStyle w:val="ListParagraph"/>
              <w:numPr>
                <w:ilvl w:val="0"/>
                <w:numId w:val="74"/>
              </w:numPr>
              <w:spacing w:line="240" w:lineRule="auto"/>
              <w:ind w:left="714" w:hanging="357"/>
              <w:contextualSpacing w:val="0"/>
              <w:jc w:val="both"/>
              <w:textAlignment w:val="baseline"/>
              <w:rPr>
                <w:rFonts w:asciiTheme="majorHAnsi" w:eastAsia="Times New Roman" w:hAnsiTheme="majorHAnsi" w:cstheme="majorHAnsi"/>
                <w:lang w:val="es-NI" w:eastAsia="es-SV"/>
              </w:rPr>
            </w:pPr>
            <w:r w:rsidRPr="00886634">
              <w:rPr>
                <w:rFonts w:asciiTheme="majorHAnsi" w:eastAsia="Times New Roman" w:hAnsiTheme="majorHAnsi" w:cstheme="majorHAnsi"/>
                <w:lang w:val="es-NI" w:eastAsia="es-SV"/>
              </w:rPr>
              <w:t>Gestión de servicios de salud que incluya acceso con enfoque de género; libre de estigma y discriminación.</w:t>
            </w:r>
          </w:p>
          <w:p w14:paraId="3CF5487E" w14:textId="4B116665" w:rsidR="00313F99" w:rsidRPr="00886634" w:rsidRDefault="00313F99" w:rsidP="0027368C">
            <w:pPr>
              <w:pStyle w:val="ListParagraph"/>
              <w:numPr>
                <w:ilvl w:val="0"/>
                <w:numId w:val="74"/>
              </w:numPr>
              <w:autoSpaceDE w:val="0"/>
              <w:autoSpaceDN w:val="0"/>
              <w:adjustRightInd w:val="0"/>
              <w:ind w:left="714" w:hanging="357"/>
              <w:contextualSpacing w:val="0"/>
              <w:jc w:val="both"/>
              <w:rPr>
                <w:rFonts w:asciiTheme="majorHAnsi" w:hAnsiTheme="majorHAnsi" w:cstheme="majorHAnsi"/>
                <w:lang w:val="es-NI"/>
              </w:rPr>
            </w:pPr>
            <w:r w:rsidRPr="00886634">
              <w:rPr>
                <w:rFonts w:asciiTheme="majorHAnsi" w:eastAsia="Times New Roman" w:hAnsiTheme="majorHAnsi" w:cstheme="majorHAnsi"/>
                <w:lang w:val="es-NI" w:eastAsia="es-SV"/>
              </w:rPr>
              <w:t>Puesta en marcha de protocolos y mecanismos de protección por violencia de g</w:t>
            </w:r>
            <w:r w:rsidR="0027368C">
              <w:rPr>
                <w:rFonts w:asciiTheme="majorHAnsi" w:eastAsia="Times New Roman" w:hAnsiTheme="majorHAnsi" w:cstheme="majorHAnsi"/>
                <w:lang w:val="es-NI" w:eastAsia="es-SV"/>
              </w:rPr>
              <w:t>é</w:t>
            </w:r>
            <w:r w:rsidRPr="00886634">
              <w:rPr>
                <w:rFonts w:asciiTheme="majorHAnsi" w:eastAsia="Times New Roman" w:hAnsiTheme="majorHAnsi" w:cstheme="majorHAnsi"/>
                <w:lang w:val="es-NI" w:eastAsia="es-SV"/>
              </w:rPr>
              <w:t>nero por actores claves parte del sistema de protección parte de esta respuesta.</w:t>
            </w:r>
          </w:p>
        </w:tc>
        <w:tc>
          <w:tcPr>
            <w:tcW w:w="2446" w:type="dxa"/>
          </w:tcPr>
          <w:p w14:paraId="088A9BA3" w14:textId="77777777" w:rsidR="00313F99" w:rsidRPr="00594D06" w:rsidRDefault="00313F99" w:rsidP="00886634">
            <w:pPr>
              <w:spacing w:line="240" w:lineRule="auto"/>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 xml:space="preserve">Unidad de Género MINSAL </w:t>
            </w:r>
          </w:p>
          <w:p w14:paraId="48816234" w14:textId="4A84A11F" w:rsidR="00313F99" w:rsidRPr="00594D06" w:rsidRDefault="006D0B25" w:rsidP="00886634">
            <w:pPr>
              <w:spacing w:line="240" w:lineRule="auto"/>
              <w:textAlignment w:val="baseline"/>
              <w:rPr>
                <w:rFonts w:asciiTheme="majorHAnsi" w:eastAsia="Times New Roman" w:hAnsiTheme="majorHAnsi" w:cstheme="majorHAnsi"/>
                <w:lang w:val="es-NI" w:eastAsia="es-SV"/>
              </w:rPr>
            </w:pPr>
            <w:r>
              <w:rPr>
                <w:rFonts w:asciiTheme="majorHAnsi" w:eastAsia="Times New Roman" w:hAnsiTheme="majorHAnsi" w:cstheme="majorHAnsi"/>
                <w:lang w:val="es-NI" w:eastAsia="es-SV"/>
              </w:rPr>
              <w:t>MCP-ES</w:t>
            </w:r>
            <w:r w:rsidR="00313F99" w:rsidRPr="00594D06">
              <w:rPr>
                <w:rFonts w:asciiTheme="majorHAnsi" w:eastAsia="Times New Roman" w:hAnsiTheme="majorHAnsi" w:cstheme="majorHAnsi"/>
                <w:lang w:val="es-NI" w:eastAsia="es-SV"/>
              </w:rPr>
              <w:t xml:space="preserve">-ES, </w:t>
            </w:r>
          </w:p>
          <w:p w14:paraId="26A14241" w14:textId="77777777" w:rsidR="00313F99" w:rsidRPr="00594D06" w:rsidRDefault="00313F99" w:rsidP="00886634">
            <w:pPr>
              <w:spacing w:line="240" w:lineRule="auto"/>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MINSAL,</w:t>
            </w:r>
          </w:p>
          <w:p w14:paraId="13777788" w14:textId="77777777" w:rsidR="00313F99" w:rsidRPr="00594D06" w:rsidRDefault="00313F99" w:rsidP="00886634">
            <w:pPr>
              <w:spacing w:line="240" w:lineRule="auto"/>
              <w:textAlignment w:val="baseline"/>
              <w:rPr>
                <w:rFonts w:asciiTheme="majorHAnsi" w:eastAsia="Times New Roman" w:hAnsiTheme="majorHAnsi" w:cstheme="majorHAnsi"/>
                <w:lang w:val="es-NI" w:eastAsia="es-SV"/>
              </w:rPr>
            </w:pPr>
            <w:r w:rsidRPr="00594D06">
              <w:rPr>
                <w:rFonts w:asciiTheme="majorHAnsi" w:eastAsia="Times New Roman" w:hAnsiTheme="majorHAnsi" w:cstheme="majorHAnsi"/>
                <w:lang w:val="es-NI" w:eastAsia="es-SV"/>
              </w:rPr>
              <w:t xml:space="preserve">Equipo Gerencial de la unidad de programas VIH, </w:t>
            </w:r>
          </w:p>
          <w:p w14:paraId="15411C80" w14:textId="69314D8F" w:rsidR="00313F99" w:rsidRPr="00594D06" w:rsidRDefault="00313F99" w:rsidP="00886634">
            <w:pPr>
              <w:autoSpaceDE w:val="0"/>
              <w:autoSpaceDN w:val="0"/>
              <w:adjustRightInd w:val="0"/>
              <w:rPr>
                <w:rFonts w:asciiTheme="majorHAnsi" w:hAnsiTheme="majorHAnsi" w:cstheme="majorHAnsi"/>
                <w:lang w:val="es-NI"/>
              </w:rPr>
            </w:pPr>
            <w:r w:rsidRPr="00594D06" w:rsidDel="004A742F">
              <w:rPr>
                <w:rFonts w:asciiTheme="majorHAnsi" w:eastAsia="Times New Roman" w:hAnsiTheme="majorHAnsi" w:cstheme="majorHAnsi"/>
                <w:lang w:val="es-NI" w:eastAsia="es-SV"/>
              </w:rPr>
              <w:t xml:space="preserve">Plan </w:t>
            </w:r>
            <w:r w:rsidRPr="00594D06">
              <w:rPr>
                <w:rFonts w:asciiTheme="majorHAnsi" w:eastAsia="Times New Roman" w:hAnsiTheme="majorHAnsi" w:cstheme="majorHAnsi"/>
                <w:lang w:val="es-NI" w:eastAsia="es-SV"/>
              </w:rPr>
              <w:t>International</w:t>
            </w:r>
          </w:p>
        </w:tc>
      </w:tr>
    </w:tbl>
    <w:p w14:paraId="65883D5C" w14:textId="77777777" w:rsidR="00485066" w:rsidRPr="00313F99" w:rsidRDefault="00485066" w:rsidP="00485066">
      <w:pPr>
        <w:pStyle w:val="ListParagraph"/>
        <w:spacing w:before="120" w:after="0" w:line="240" w:lineRule="auto"/>
        <w:ind w:left="360"/>
        <w:jc w:val="both"/>
        <w:rPr>
          <w:rFonts w:asciiTheme="majorHAnsi" w:hAnsiTheme="majorHAnsi" w:cstheme="majorHAnsi"/>
          <w:bCs/>
          <w:iCs/>
          <w:lang w:val="es-NI"/>
        </w:rPr>
      </w:pPr>
    </w:p>
    <w:p w14:paraId="144A166C" w14:textId="641BE764" w:rsidR="00485066" w:rsidRPr="00841157" w:rsidRDefault="00485066" w:rsidP="00025BC8">
      <w:pPr>
        <w:pStyle w:val="ListParagraph"/>
        <w:numPr>
          <w:ilvl w:val="0"/>
          <w:numId w:val="21"/>
        </w:numPr>
        <w:spacing w:before="120" w:after="0" w:line="240" w:lineRule="auto"/>
        <w:jc w:val="both"/>
        <w:rPr>
          <w:rFonts w:asciiTheme="majorHAnsi" w:hAnsiTheme="majorHAnsi" w:cstheme="majorHAnsi"/>
          <w:bCs/>
          <w:iCs/>
        </w:rPr>
      </w:pPr>
      <w:r w:rsidRPr="008C21CF">
        <w:rPr>
          <w:rFonts w:asciiTheme="majorHAnsi" w:hAnsiTheme="majorHAnsi" w:cstheme="majorHAnsi"/>
          <w:lang w:bidi="es-ES"/>
        </w:rPr>
        <w:t xml:space="preserve">¿La solicitud de financiamiento contempla crear una </w:t>
      </w:r>
      <w:r w:rsidRPr="008C21CF">
        <w:rPr>
          <w:rFonts w:asciiTheme="majorHAnsi" w:hAnsiTheme="majorHAnsi" w:cstheme="majorHAnsi"/>
          <w:b/>
          <w:lang w:bidi="es-ES"/>
        </w:rPr>
        <w:t>plataforma de inversión común</w:t>
      </w:r>
      <w:r w:rsidRPr="008C21CF">
        <w:rPr>
          <w:rFonts w:asciiTheme="majorHAnsi" w:hAnsiTheme="majorHAnsi" w:cstheme="majorHAnsi"/>
          <w:lang w:bidi="es-ES"/>
        </w:rPr>
        <w:t xml:space="preserve"> con otras instituciones? </w:t>
      </w:r>
    </w:p>
    <w:p w14:paraId="297BAF88" w14:textId="334A9519" w:rsidR="00AA45C3" w:rsidRPr="00841157" w:rsidRDefault="00381E40" w:rsidP="00BF6D92">
      <w:pPr>
        <w:pStyle w:val="ListParagraph"/>
        <w:spacing w:before="120" w:line="240" w:lineRule="auto"/>
        <w:ind w:left="360" w:firstLine="357"/>
        <w:contextualSpacing w:val="0"/>
        <w:jc w:val="both"/>
        <w:rPr>
          <w:rFonts w:asciiTheme="majorHAnsi" w:hAnsiTheme="majorHAnsi" w:cstheme="majorHAnsi"/>
          <w:bCs/>
          <w:iCs/>
        </w:rPr>
      </w:pPr>
      <w:sdt>
        <w:sdtPr>
          <w:rPr>
            <w:rFonts w:asciiTheme="majorHAnsi" w:eastAsia="MS Gothic" w:hAnsiTheme="majorHAnsi" w:cstheme="majorHAnsi"/>
            <w:bCs/>
            <w:iCs/>
          </w:rPr>
          <w:id w:val="1973173543"/>
          <w14:checkbox>
            <w14:checked w14:val="0"/>
            <w14:checkedState w14:val="2612" w14:font="MS Gothic"/>
            <w14:uncheckedState w14:val="2610" w14:font="MS Gothic"/>
          </w14:checkbox>
        </w:sdtPr>
        <w:sdtContent>
          <w:r w:rsidR="00AA45C3" w:rsidRPr="008C21CF">
            <w:rPr>
              <w:rFonts w:ascii="MS Gothic" w:eastAsia="MS Gothic" w:hAnsi="MS Gothic" w:cstheme="majorHAnsi"/>
              <w:lang w:bidi="es-ES"/>
            </w:rPr>
            <w:t>☐</w:t>
          </w:r>
        </w:sdtContent>
      </w:sdt>
      <w:r w:rsidR="00485066" w:rsidRPr="008C21CF">
        <w:rPr>
          <w:rFonts w:asciiTheme="majorHAnsi" w:hAnsiTheme="majorHAnsi" w:cstheme="majorHAnsi"/>
          <w:lang w:bidi="es-ES"/>
        </w:rPr>
        <w:t xml:space="preserve"> Sí         </w:t>
      </w:r>
      <w:sdt>
        <w:sdtPr>
          <w:rPr>
            <w:rFonts w:asciiTheme="majorHAnsi" w:hAnsiTheme="majorHAnsi" w:cstheme="majorHAnsi"/>
            <w:bCs/>
            <w:iCs/>
            <w:lang w:val="es-NI"/>
          </w:rPr>
          <w:id w:val="1360627992"/>
          <w14:checkbox>
            <w14:checked w14:val="1"/>
            <w14:checkedState w14:val="2612" w14:font="MS Gothic"/>
            <w14:uncheckedState w14:val="2610" w14:font="MS Gothic"/>
          </w14:checkbox>
        </w:sdtPr>
        <w:sdtContent>
          <w:r w:rsidR="00BF6D92" w:rsidRPr="00BF6D92">
            <w:rPr>
              <w:rFonts w:ascii="MS Gothic" w:eastAsia="MS Gothic" w:hAnsi="MS Gothic" w:cstheme="majorHAnsi" w:hint="eastAsia"/>
              <w:bCs/>
              <w:iCs/>
              <w:lang w:val="es-NI"/>
            </w:rPr>
            <w:t>☒</w:t>
          </w:r>
        </w:sdtContent>
      </w:sdt>
      <w:r w:rsidR="00485066" w:rsidRPr="008C21CF">
        <w:rPr>
          <w:rFonts w:asciiTheme="majorHAnsi" w:hAnsiTheme="majorHAnsi" w:cstheme="majorHAnsi"/>
          <w:lang w:bidi="es-ES"/>
        </w:rPr>
        <w:t xml:space="preserve"> No</w:t>
      </w:r>
    </w:p>
    <w:p w14:paraId="276A559D" w14:textId="4259CD7B" w:rsidR="00794CE6" w:rsidRPr="00841157" w:rsidRDefault="00794CE6" w:rsidP="00BF6D92">
      <w:pPr>
        <w:spacing w:before="120" w:line="240" w:lineRule="auto"/>
        <w:ind w:firstLine="357"/>
        <w:jc w:val="both"/>
        <w:rPr>
          <w:rFonts w:asciiTheme="majorHAnsi" w:hAnsiTheme="majorHAnsi" w:cstheme="majorHAnsi"/>
          <w:bCs/>
          <w:iCs/>
        </w:rPr>
      </w:pPr>
      <w:r w:rsidRPr="00B2724B">
        <w:rPr>
          <w:rFonts w:asciiTheme="majorHAnsi" w:hAnsiTheme="majorHAnsi" w:cstheme="majorHAnsi"/>
          <w:b/>
          <w:lang w:bidi="es-ES"/>
        </w:rPr>
        <w:t>En caso afirmativo</w:t>
      </w:r>
      <w:r w:rsidRPr="00B2724B">
        <w:rPr>
          <w:rFonts w:asciiTheme="majorHAnsi" w:hAnsiTheme="majorHAnsi" w:cstheme="majorHAnsi"/>
          <w:lang w:bidi="es-ES"/>
        </w:rPr>
        <w:t>, aporte detalles sobre acuerdos y modalidades concretos.</w:t>
      </w:r>
    </w:p>
    <w:tbl>
      <w:tblPr>
        <w:tblStyle w:val="TableGrid"/>
        <w:tblW w:w="0" w:type="auto"/>
        <w:tblLook w:val="04A0" w:firstRow="1" w:lastRow="0" w:firstColumn="1" w:lastColumn="0" w:noHBand="0" w:noVBand="1"/>
      </w:tblPr>
      <w:tblGrid>
        <w:gridCol w:w="10456"/>
      </w:tblGrid>
      <w:tr w:rsidR="00485066" w:rsidRPr="001D57CE" w14:paraId="4F316570" w14:textId="77777777" w:rsidTr="00DB0BE5">
        <w:tc>
          <w:tcPr>
            <w:tcW w:w="10456" w:type="dxa"/>
          </w:tcPr>
          <w:p w14:paraId="36A6DC12" w14:textId="5A270CD5" w:rsidR="00485066" w:rsidRPr="008C21CF" w:rsidRDefault="00BF6D92" w:rsidP="00BF6D92">
            <w:pPr>
              <w:rPr>
                <w:rFonts w:asciiTheme="majorHAnsi" w:hAnsiTheme="majorHAnsi" w:cstheme="majorHAnsi"/>
              </w:rPr>
            </w:pPr>
            <w:r>
              <w:rPr>
                <w:rFonts w:asciiTheme="majorHAnsi" w:hAnsiTheme="majorHAnsi" w:cstheme="majorHAnsi"/>
                <w:lang w:bidi="es-ES"/>
              </w:rPr>
              <w:t>N/A</w:t>
            </w:r>
          </w:p>
        </w:tc>
      </w:tr>
    </w:tbl>
    <w:p w14:paraId="4C1E003F" w14:textId="77777777" w:rsidR="00DB0BE5" w:rsidRPr="00DB0BE5" w:rsidRDefault="00DB0BE5" w:rsidP="00DB0BE5"/>
    <w:p w14:paraId="0AFE2713" w14:textId="77777777" w:rsidR="00CB4224" w:rsidRDefault="00CB4224" w:rsidP="00CB4224">
      <w:pPr>
        <w:spacing w:after="0"/>
        <w:rPr>
          <w:rFonts w:cs="Arial"/>
          <w:lang w:bidi="es-ES"/>
        </w:rPr>
      </w:pPr>
    </w:p>
    <w:p w14:paraId="00157E0F" w14:textId="77777777" w:rsidR="005C47FA" w:rsidRPr="005C47FA" w:rsidRDefault="005C47FA" w:rsidP="005C47FA">
      <w:pPr>
        <w:keepNext/>
        <w:keepLines/>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after="0" w:line="420" w:lineRule="atLeast"/>
        <w:ind w:left="567" w:hanging="567"/>
        <w:outlineLvl w:val="0"/>
        <w:rPr>
          <w:rFonts w:eastAsiaTheme="majorEastAsia" w:cs="Arial"/>
          <w:b/>
          <w:bCs/>
          <w:noProof/>
          <w:sz w:val="30"/>
          <w:szCs w:val="30"/>
          <w:lang w:val="es-US"/>
        </w:rPr>
      </w:pPr>
      <w:r w:rsidRPr="005C47FA">
        <w:rPr>
          <w:rFonts w:eastAsiaTheme="majorEastAsia" w:cs="Arial"/>
          <w:b/>
          <w:bCs/>
          <w:noProof/>
          <w:sz w:val="30"/>
          <w:szCs w:val="30"/>
          <w:lang w:bidi="es-ES"/>
        </w:rPr>
        <w:t>Sección 3: Cofinanciamiento, sostenibilidad y transición</w:t>
      </w:r>
    </w:p>
    <w:p w14:paraId="5391B1BB" w14:textId="77777777" w:rsidR="005C47FA" w:rsidRPr="005C47FA" w:rsidRDefault="005C47FA" w:rsidP="005C47FA">
      <w:pPr>
        <w:spacing w:after="0"/>
        <w:jc w:val="both"/>
      </w:pPr>
      <w:bookmarkStart w:id="6" w:name="_Hlk13737743"/>
      <w:r w:rsidRPr="005C47FA">
        <w:rPr>
          <w:lang w:bidi="es-ES"/>
        </w:rPr>
        <w:t xml:space="preserve">Para responder las preguntas a continuación, consulte las </w:t>
      </w:r>
      <w:r w:rsidRPr="005C47FA">
        <w:rPr>
          <w:i/>
          <w:lang w:bidi="es-ES"/>
        </w:rPr>
        <w:t>Instrucciones</w:t>
      </w:r>
      <w:r w:rsidRPr="005C47FA">
        <w:rPr>
          <w:lang w:bidi="es-ES"/>
        </w:rPr>
        <w:t xml:space="preserve">, la sección sobre financiamiento doméstico de la carta de asignación, la </w:t>
      </w:r>
      <w:hyperlink r:id="rId32" w:history="1">
        <w:r w:rsidRPr="005C47FA">
          <w:rPr>
            <w:rFonts w:cs="Arial"/>
            <w:color w:val="0563C1" w:themeColor="hyperlink"/>
            <w:u w:val="single"/>
            <w:lang w:bidi="es-ES"/>
          </w:rPr>
          <w:t>Nota informativa sobre sostenibilidad, transición y cofinanciamiento</w:t>
        </w:r>
      </w:hyperlink>
      <w:r w:rsidRPr="005C47FA">
        <w:rPr>
          <w:rFonts w:cs="Arial"/>
          <w:color w:val="0563C1" w:themeColor="hyperlink"/>
          <w:u w:val="single"/>
          <w:lang w:bidi="es-ES"/>
        </w:rPr>
        <w:t xml:space="preserve">, </w:t>
      </w:r>
      <w:r w:rsidRPr="005C47FA">
        <w:rPr>
          <w:lang w:bidi="es-ES"/>
        </w:rPr>
        <w:t>la(s)</w:t>
      </w:r>
      <w:r w:rsidRPr="005C47FA">
        <w:rPr>
          <w:b/>
          <w:lang w:bidi="es-ES"/>
        </w:rPr>
        <w:t xml:space="preserve"> tabla(s) de panorama de financiamiento</w:t>
      </w:r>
      <w:r w:rsidRPr="005C47FA">
        <w:rPr>
          <w:lang w:bidi="es-ES"/>
        </w:rPr>
        <w:t xml:space="preserve">, la(s) </w:t>
      </w:r>
      <w:r w:rsidRPr="005C47FA">
        <w:rPr>
          <w:b/>
          <w:lang w:bidi="es-ES"/>
        </w:rPr>
        <w:t>tabla(s) de brechas programáticas</w:t>
      </w:r>
      <w:r w:rsidRPr="005C47FA">
        <w:rPr>
          <w:lang w:bidi="es-ES"/>
        </w:rPr>
        <w:t xml:space="preserve">, el </w:t>
      </w:r>
      <w:r w:rsidRPr="005C47FA">
        <w:rPr>
          <w:b/>
          <w:lang w:bidi="es-ES"/>
        </w:rPr>
        <w:t>plan de trabajo transicional</w:t>
      </w:r>
      <w:r w:rsidRPr="005C47FA">
        <w:rPr>
          <w:lang w:bidi="es-ES"/>
        </w:rPr>
        <w:t xml:space="preserve"> y la </w:t>
      </w:r>
      <w:r w:rsidRPr="005C47FA">
        <w:rPr>
          <w:b/>
          <w:lang w:bidi="es-ES"/>
        </w:rPr>
        <w:t>evaluación de la preparación para la transición</w:t>
      </w:r>
      <w:r w:rsidRPr="005C47FA">
        <w:rPr>
          <w:lang w:bidi="es-ES"/>
        </w:rPr>
        <w:t xml:space="preserve"> (si está disponible)</w:t>
      </w:r>
      <w:r w:rsidRPr="005C47FA">
        <w:rPr>
          <w:vertAlign w:val="superscript"/>
          <w:lang w:val="en-US" w:bidi="es-ES"/>
        </w:rPr>
        <w:footnoteReference w:id="7"/>
      </w:r>
      <w:r w:rsidRPr="005C47FA">
        <w:rPr>
          <w:lang w:bidi="es-ES"/>
        </w:rPr>
        <w:t>.</w:t>
      </w:r>
      <w:bookmarkEnd w:id="6"/>
    </w:p>
    <w:p w14:paraId="175C3A30" w14:textId="77777777" w:rsidR="005C47FA" w:rsidRPr="005C47FA" w:rsidRDefault="005C47FA" w:rsidP="005C47FA">
      <w:pPr>
        <w:shd w:val="clear" w:color="auto" w:fill="D9D9D9" w:themeFill="background1" w:themeFillShade="D9"/>
        <w:spacing w:before="120" w:line="240" w:lineRule="auto"/>
        <w:rPr>
          <w:rFonts w:asciiTheme="majorHAnsi" w:hAnsiTheme="majorHAnsi" w:cstheme="majorHAnsi"/>
          <w:b/>
          <w:lang w:val="en-US"/>
        </w:rPr>
      </w:pPr>
      <w:r w:rsidRPr="005C47FA">
        <w:rPr>
          <w:rFonts w:asciiTheme="majorHAnsi" w:hAnsiTheme="majorHAnsi" w:cstheme="majorHAnsi"/>
          <w:b/>
          <w:shd w:val="clear" w:color="auto" w:fill="D9D9D9" w:themeFill="background1" w:themeFillShade="D9"/>
          <w:lang w:bidi="es-ES"/>
        </w:rPr>
        <w:t>3.1 Cofinanciamiento</w:t>
      </w:r>
    </w:p>
    <w:p w14:paraId="48311017" w14:textId="77777777" w:rsidR="005C47FA" w:rsidRPr="005C47FA" w:rsidRDefault="005C47FA" w:rsidP="005C47FA">
      <w:pPr>
        <w:numPr>
          <w:ilvl w:val="0"/>
          <w:numId w:val="19"/>
        </w:numPr>
        <w:spacing w:after="0" w:line="240" w:lineRule="auto"/>
        <w:ind w:left="360"/>
        <w:jc w:val="both"/>
        <w:rPr>
          <w:rFonts w:asciiTheme="majorHAnsi" w:eastAsia="SimSun" w:hAnsiTheme="majorHAnsi" w:cstheme="majorHAnsi"/>
          <w:lang w:eastAsia="zh-CN"/>
        </w:rPr>
      </w:pPr>
      <w:r w:rsidRPr="005C47FA">
        <w:rPr>
          <w:rFonts w:asciiTheme="majorHAnsi" w:eastAsia="Times New Roman" w:hAnsiTheme="majorHAnsi" w:cstheme="majorHAnsi"/>
          <w:lang w:bidi="es-ES"/>
        </w:rPr>
        <w:t xml:space="preserve">¿Se han cumplido los </w:t>
      </w:r>
      <w:r w:rsidRPr="005C47FA">
        <w:rPr>
          <w:rFonts w:asciiTheme="majorHAnsi" w:eastAsia="Times New Roman" w:hAnsiTheme="majorHAnsi" w:cstheme="majorHAnsi"/>
          <w:b/>
          <w:lang w:bidi="es-ES"/>
        </w:rPr>
        <w:t>compromisos de cofinanciamiento</w:t>
      </w:r>
      <w:r w:rsidRPr="005C47FA">
        <w:rPr>
          <w:rFonts w:asciiTheme="majorHAnsi" w:eastAsia="Times New Roman" w:hAnsiTheme="majorHAnsi" w:cstheme="majorHAnsi"/>
          <w:lang w:bidi="es-ES"/>
        </w:rPr>
        <w:t xml:space="preserve"> durante el período de asignación </w:t>
      </w:r>
      <w:r w:rsidRPr="005C47FA">
        <w:rPr>
          <w:rFonts w:asciiTheme="majorHAnsi" w:eastAsia="Times New Roman" w:hAnsiTheme="majorHAnsi" w:cstheme="majorHAnsi"/>
          <w:b/>
          <w:lang w:bidi="es-ES"/>
        </w:rPr>
        <w:t>vigente</w:t>
      </w:r>
      <w:r w:rsidRPr="005C47FA">
        <w:rPr>
          <w:rFonts w:asciiTheme="majorHAnsi" w:eastAsia="Times New Roman" w:hAnsiTheme="majorHAnsi" w:cstheme="majorHAnsi"/>
          <w:lang w:bidi="es-ES"/>
        </w:rPr>
        <w:t>?</w:t>
      </w:r>
    </w:p>
    <w:p w14:paraId="1D43153B" w14:textId="77777777" w:rsidR="005C47FA" w:rsidRPr="005C47FA" w:rsidRDefault="005C47FA" w:rsidP="005C47FA">
      <w:pPr>
        <w:spacing w:before="120" w:line="240" w:lineRule="auto"/>
        <w:ind w:left="357" w:firstLine="357"/>
        <w:jc w:val="both"/>
        <w:rPr>
          <w:rFonts w:asciiTheme="majorHAnsi" w:hAnsiTheme="majorHAnsi" w:cstheme="majorHAnsi"/>
          <w:bCs/>
          <w:iCs/>
        </w:rPr>
      </w:pPr>
      <w:sdt>
        <w:sdtPr>
          <w:rPr>
            <w:rFonts w:asciiTheme="majorHAnsi" w:hAnsiTheme="majorHAnsi" w:cstheme="majorHAnsi"/>
            <w:bCs/>
            <w:iCs/>
            <w:lang w:val="es-NI"/>
          </w:rPr>
          <w:id w:val="924852934"/>
          <w14:checkbox>
            <w14:checked w14:val="1"/>
            <w14:checkedState w14:val="2612" w14:font="MS Gothic"/>
            <w14:uncheckedState w14:val="2610" w14:font="MS Gothic"/>
          </w14:checkbox>
        </w:sdtPr>
        <w:sdtContent>
          <w:r w:rsidRPr="005C47FA">
            <w:rPr>
              <w:rFonts w:ascii="Segoe UI Symbol" w:hAnsi="Segoe UI Symbol" w:cs="Segoe UI Symbol"/>
              <w:bCs/>
              <w:iCs/>
              <w:lang w:val="es-NI"/>
            </w:rPr>
            <w:t>☒</w:t>
          </w:r>
        </w:sdtContent>
      </w:sdt>
      <w:r w:rsidRPr="005C47FA">
        <w:rPr>
          <w:rFonts w:asciiTheme="majorHAnsi" w:hAnsiTheme="majorHAnsi" w:cstheme="majorHAnsi"/>
          <w:lang w:bidi="es-ES"/>
        </w:rPr>
        <w:t xml:space="preserve"> Sí         </w:t>
      </w:r>
      <w:sdt>
        <w:sdtPr>
          <w:rPr>
            <w:rFonts w:asciiTheme="majorHAnsi" w:hAnsiTheme="majorHAnsi" w:cstheme="majorHAnsi"/>
            <w:bCs/>
            <w:iCs/>
            <w:lang w:val="es-SV"/>
          </w:rPr>
          <w:id w:val="1334948662"/>
          <w14:checkbox>
            <w14:checked w14:val="0"/>
            <w14:checkedState w14:val="2612" w14:font="MS Gothic"/>
            <w14:uncheckedState w14:val="2610" w14:font="MS Gothic"/>
          </w14:checkbox>
        </w:sdtPr>
        <w:sdtContent>
          <w:r w:rsidRPr="005C47FA">
            <w:rPr>
              <w:rFonts w:ascii="Segoe UI Symbol" w:hAnsi="Segoe UI Symbol" w:cs="Segoe UI Symbol"/>
              <w:bCs/>
              <w:iCs/>
              <w:lang w:val="es-SV"/>
            </w:rPr>
            <w:t>☐</w:t>
          </w:r>
        </w:sdtContent>
      </w:sdt>
      <w:r w:rsidRPr="005C47FA">
        <w:rPr>
          <w:rFonts w:asciiTheme="majorHAnsi" w:hAnsiTheme="majorHAnsi" w:cstheme="majorHAnsi"/>
          <w:lang w:bidi="es-ES"/>
        </w:rPr>
        <w:t xml:space="preserve"> No</w:t>
      </w:r>
    </w:p>
    <w:p w14:paraId="319227DD" w14:textId="77777777" w:rsidR="005C47FA" w:rsidRPr="005C47FA" w:rsidRDefault="005C47FA" w:rsidP="005C47FA">
      <w:pPr>
        <w:spacing w:before="120" w:line="240" w:lineRule="auto"/>
        <w:ind w:left="357"/>
        <w:jc w:val="both"/>
        <w:rPr>
          <w:rFonts w:asciiTheme="majorHAnsi" w:eastAsia="Times New Roman" w:hAnsiTheme="majorHAnsi" w:cstheme="majorHAnsi"/>
        </w:rPr>
      </w:pPr>
      <w:r w:rsidRPr="005C47FA">
        <w:rPr>
          <w:rFonts w:asciiTheme="majorHAnsi" w:eastAsia="Times New Roman" w:hAnsiTheme="majorHAnsi" w:cstheme="majorHAnsi"/>
          <w:b/>
          <w:lang w:bidi="es-ES"/>
        </w:rPr>
        <w:t>En caso afirmativo</w:t>
      </w:r>
      <w:r w:rsidRPr="005C47FA">
        <w:rPr>
          <w:rFonts w:asciiTheme="majorHAnsi" w:eastAsia="Times New Roman" w:hAnsiTheme="majorHAnsi" w:cstheme="majorHAnsi"/>
          <w:lang w:bidi="es-ES"/>
        </w:rPr>
        <w:t xml:space="preserve">, adjunte documentos de soporte que muestren hasta qué punto se han cumplido los compromisos de cofinanciamiento. </w:t>
      </w:r>
    </w:p>
    <w:p w14:paraId="4F10224D" w14:textId="77777777" w:rsidR="005C47FA" w:rsidRPr="005C47FA" w:rsidRDefault="005C47FA" w:rsidP="005C47FA">
      <w:pPr>
        <w:spacing w:before="120" w:line="240" w:lineRule="auto"/>
        <w:ind w:left="357"/>
        <w:rPr>
          <w:rFonts w:asciiTheme="majorHAnsi" w:eastAsia="Times New Roman" w:hAnsiTheme="majorHAnsi" w:cstheme="majorHAnsi"/>
        </w:rPr>
      </w:pPr>
      <w:r w:rsidRPr="005C47FA">
        <w:rPr>
          <w:rFonts w:asciiTheme="majorHAnsi" w:eastAsia="Times New Roman" w:hAnsiTheme="majorHAnsi" w:cstheme="majorHAnsi"/>
          <w:b/>
          <w:lang w:bidi="es-ES"/>
        </w:rPr>
        <w:t>En caso negativo</w:t>
      </w:r>
      <w:r w:rsidRPr="005C47FA">
        <w:rPr>
          <w:rFonts w:asciiTheme="majorHAnsi" w:eastAsia="Times New Roman" w:hAnsiTheme="majorHAnsi" w:cstheme="majorHAnsi"/>
          <w:lang w:bidi="es-ES"/>
        </w:rPr>
        <w:t>, explique por qué y haga un breve resumen de cómo esta situación ha repercutido en el programa.</w:t>
      </w:r>
    </w:p>
    <w:tbl>
      <w:tblPr>
        <w:tblStyle w:val="TableGrid"/>
        <w:tblW w:w="0" w:type="auto"/>
        <w:tblLook w:val="04A0" w:firstRow="1" w:lastRow="0" w:firstColumn="1" w:lastColumn="0" w:noHBand="0" w:noVBand="1"/>
      </w:tblPr>
      <w:tblGrid>
        <w:gridCol w:w="10456"/>
      </w:tblGrid>
      <w:tr w:rsidR="005C47FA" w:rsidRPr="005C47FA" w14:paraId="55B99AD6" w14:textId="77777777" w:rsidTr="00D47417">
        <w:tc>
          <w:tcPr>
            <w:tcW w:w="10456" w:type="dxa"/>
          </w:tcPr>
          <w:p w14:paraId="3900B5B8" w14:textId="77777777" w:rsidR="005C47FA" w:rsidRPr="005C47FA" w:rsidRDefault="005C47FA" w:rsidP="005C47FA">
            <w:pPr>
              <w:jc w:val="both"/>
              <w:rPr>
                <w:lang w:val="es-NI"/>
              </w:rPr>
            </w:pPr>
            <w:r w:rsidRPr="005C47FA">
              <w:rPr>
                <w:lang w:val="es-NI"/>
              </w:rPr>
              <w:t>El reporte de verificación de gastos cubiertos con la contrapartida de fondos del gobierno de El Salvador emitido el 8 de septiembre del 2020 por la Dirección de Auditoría Cinco de la Corte de Cuentas de la República de El Salvador establece un cumplimiento del 97.26%. [Anexo 3.1], otra fuente de información del cumplimiento de compromisos de cofinanciamiento son los informes MEGAS de los años 2017, 2018 y 2019, que están d</w:t>
            </w:r>
            <w:r w:rsidRPr="005C47FA">
              <w:rPr>
                <w:color w:val="494949" w:themeColor="text1" w:themeTint="F2"/>
                <w:lang w:val="es-NI"/>
              </w:rPr>
              <w:t>isponibles en línea en el sitio: http://www.salud.gob.sv/unidad-del-programa-de-its-vih/#DOCUMENTOS-VIH).</w:t>
            </w:r>
          </w:p>
          <w:p w14:paraId="6B483433" w14:textId="77777777" w:rsidR="005C47FA" w:rsidRPr="005C47FA" w:rsidRDefault="005C47FA" w:rsidP="005C47FA">
            <w:pPr>
              <w:jc w:val="both"/>
              <w:rPr>
                <w:lang w:val="es-NI"/>
              </w:rPr>
            </w:pPr>
            <w:r w:rsidRPr="005C47FA">
              <w:rPr>
                <w:lang w:val="es-NI"/>
              </w:rPr>
              <w:t>Para el año 2019 se compraron medicamentos ARV, reactivos de laboratorio, sucedáneos de la leche, servicios de mantenimiento de equipos y personal asignado al programa de VIH por un monto de $2,431,624.87.</w:t>
            </w:r>
          </w:p>
          <w:p w14:paraId="4C0778FF" w14:textId="77777777" w:rsidR="005C47FA" w:rsidRPr="005C47FA" w:rsidRDefault="005C47FA" w:rsidP="005C47FA">
            <w:pPr>
              <w:jc w:val="both"/>
              <w:rPr>
                <w:rFonts w:asciiTheme="majorHAnsi" w:hAnsiTheme="majorHAnsi" w:cstheme="majorHAnsi"/>
                <w:lang w:val="es-NI"/>
              </w:rPr>
            </w:pPr>
            <w:r w:rsidRPr="005C47FA">
              <w:rPr>
                <w:lang w:val="es-NI"/>
              </w:rPr>
              <w:lastRenderedPageBreak/>
              <w:t>En el año 2020 se ha logrado cumplir con financiamiento de fondos domésticos lo siguiente: medicamentos ARV, reactivos de laboratorio, sucedáneos de la leche, servicios de mantenimiento de equipos y personal asignado al programa de VIH por un monto de $ 2,184,815.04.</w:t>
            </w:r>
          </w:p>
        </w:tc>
      </w:tr>
    </w:tbl>
    <w:p w14:paraId="4C75F987" w14:textId="77777777" w:rsidR="005C47FA" w:rsidRPr="005C47FA" w:rsidRDefault="005C47FA" w:rsidP="005C47FA">
      <w:pPr>
        <w:numPr>
          <w:ilvl w:val="0"/>
          <w:numId w:val="19"/>
        </w:numPr>
        <w:spacing w:before="120" w:line="240" w:lineRule="auto"/>
        <w:ind w:left="360"/>
        <w:jc w:val="both"/>
        <w:rPr>
          <w:rFonts w:asciiTheme="majorHAnsi" w:eastAsia="SimSun" w:hAnsiTheme="majorHAnsi" w:cstheme="majorHAnsi"/>
          <w:lang w:eastAsia="zh-CN"/>
        </w:rPr>
      </w:pPr>
      <w:r w:rsidRPr="005C47FA">
        <w:rPr>
          <w:rFonts w:asciiTheme="majorHAnsi" w:eastAsia="Times New Roman" w:hAnsiTheme="majorHAnsi" w:cstheme="majorHAnsi"/>
          <w:lang w:bidi="es-ES"/>
        </w:rPr>
        <w:lastRenderedPageBreak/>
        <w:t xml:space="preserve">¿Los </w:t>
      </w:r>
      <w:r w:rsidRPr="005C47FA">
        <w:rPr>
          <w:rFonts w:asciiTheme="majorHAnsi" w:eastAsia="Times New Roman" w:hAnsiTheme="majorHAnsi" w:cstheme="majorHAnsi"/>
          <w:b/>
          <w:lang w:bidi="es-ES"/>
        </w:rPr>
        <w:t>compromisos de cofinanciamiento</w:t>
      </w:r>
      <w:r w:rsidRPr="005C47FA">
        <w:rPr>
          <w:rFonts w:asciiTheme="majorHAnsi" w:eastAsia="Times New Roman" w:hAnsiTheme="majorHAnsi" w:cstheme="majorHAnsi"/>
          <w:lang w:bidi="es-ES"/>
        </w:rPr>
        <w:t xml:space="preserve"> del </w:t>
      </w:r>
      <w:r w:rsidRPr="005C47FA">
        <w:rPr>
          <w:rFonts w:asciiTheme="majorHAnsi" w:eastAsia="Times New Roman" w:hAnsiTheme="majorHAnsi" w:cstheme="majorHAnsi"/>
          <w:b/>
          <w:lang w:bidi="es-ES"/>
        </w:rPr>
        <w:t>próximo</w:t>
      </w:r>
      <w:r w:rsidRPr="005C47FA">
        <w:rPr>
          <w:rFonts w:asciiTheme="majorHAnsi" w:eastAsia="Times New Roman" w:hAnsiTheme="majorHAnsi" w:cstheme="majorHAnsi"/>
          <w:lang w:bidi="es-ES"/>
        </w:rPr>
        <w:t xml:space="preserve"> período de asignación cumplen los requisitos mínimos para acceder a la totalidad del incentivo de cofinanciamiento? </w:t>
      </w:r>
    </w:p>
    <w:p w14:paraId="64F29E8F" w14:textId="77777777" w:rsidR="005C47FA" w:rsidRPr="005C47FA" w:rsidRDefault="005C47FA" w:rsidP="005C47FA">
      <w:pPr>
        <w:spacing w:before="120" w:line="240" w:lineRule="auto"/>
        <w:ind w:left="360" w:firstLine="360"/>
        <w:jc w:val="both"/>
        <w:rPr>
          <w:rFonts w:asciiTheme="majorHAnsi" w:hAnsiTheme="majorHAnsi" w:cstheme="majorHAnsi"/>
          <w:bCs/>
          <w:iCs/>
        </w:rPr>
      </w:pPr>
      <w:sdt>
        <w:sdtPr>
          <w:rPr>
            <w:rFonts w:asciiTheme="majorHAnsi" w:hAnsiTheme="majorHAnsi" w:cstheme="majorHAnsi"/>
            <w:bCs/>
            <w:iCs/>
            <w:lang w:val="es-NI"/>
          </w:rPr>
          <w:id w:val="-1936279169"/>
          <w14:checkbox>
            <w14:checked w14:val="1"/>
            <w14:checkedState w14:val="2612" w14:font="MS Gothic"/>
            <w14:uncheckedState w14:val="2610" w14:font="MS Gothic"/>
          </w14:checkbox>
        </w:sdtPr>
        <w:sdtContent>
          <w:r w:rsidRPr="005C47FA">
            <w:rPr>
              <w:rFonts w:ascii="Segoe UI Symbol" w:hAnsi="Segoe UI Symbol" w:cs="Segoe UI Symbol"/>
              <w:bCs/>
              <w:iCs/>
              <w:lang w:val="es-NI"/>
            </w:rPr>
            <w:t>☒</w:t>
          </w:r>
        </w:sdtContent>
      </w:sdt>
      <w:r w:rsidRPr="005C47FA">
        <w:rPr>
          <w:rFonts w:asciiTheme="majorHAnsi" w:hAnsiTheme="majorHAnsi" w:cstheme="majorHAnsi"/>
          <w:lang w:bidi="es-ES"/>
        </w:rPr>
        <w:t xml:space="preserve"> Sí         </w:t>
      </w:r>
      <w:sdt>
        <w:sdtPr>
          <w:rPr>
            <w:rFonts w:asciiTheme="majorHAnsi" w:hAnsiTheme="majorHAnsi" w:cstheme="majorHAnsi"/>
            <w:bCs/>
            <w:iCs/>
            <w:lang w:val="es-SV"/>
          </w:rPr>
          <w:id w:val="-1870989213"/>
          <w14:checkbox>
            <w14:checked w14:val="0"/>
            <w14:checkedState w14:val="2612" w14:font="MS Gothic"/>
            <w14:uncheckedState w14:val="2610" w14:font="MS Gothic"/>
          </w14:checkbox>
        </w:sdtPr>
        <w:sdtContent>
          <w:r w:rsidRPr="005C47FA">
            <w:rPr>
              <w:rFonts w:ascii="Segoe UI Symbol" w:hAnsi="Segoe UI Symbol" w:cs="Segoe UI Symbol"/>
              <w:bCs/>
              <w:iCs/>
              <w:lang w:val="es-SV"/>
            </w:rPr>
            <w:t>☐</w:t>
          </w:r>
        </w:sdtContent>
      </w:sdt>
      <w:r w:rsidRPr="005C47FA">
        <w:rPr>
          <w:rFonts w:asciiTheme="majorHAnsi" w:hAnsiTheme="majorHAnsi" w:cstheme="majorHAnsi"/>
          <w:lang w:bidi="es-ES"/>
        </w:rPr>
        <w:t xml:space="preserve"> No</w:t>
      </w:r>
    </w:p>
    <w:p w14:paraId="4AB9D114" w14:textId="77777777" w:rsidR="005C47FA" w:rsidRPr="005C47FA" w:rsidRDefault="005C47FA" w:rsidP="005C47FA">
      <w:pPr>
        <w:spacing w:before="120"/>
        <w:ind w:left="270"/>
        <w:jc w:val="both"/>
        <w:rPr>
          <w:rFonts w:asciiTheme="majorHAnsi" w:hAnsiTheme="majorHAnsi" w:cstheme="majorHAnsi"/>
        </w:rPr>
      </w:pPr>
      <w:r w:rsidRPr="005C47FA">
        <w:rPr>
          <w:rFonts w:asciiTheme="majorHAnsi" w:hAnsiTheme="majorHAnsi" w:cstheme="majorHAnsi"/>
          <w:lang w:bidi="es-ES"/>
        </w:rPr>
        <w:t xml:space="preserve">Si se dispone de información detallada sobre los compromisos de cofinanciamiento, adjunte documentos de soporte que muestren hasta qué punto se han cumplido. </w:t>
      </w:r>
    </w:p>
    <w:p w14:paraId="5596D324" w14:textId="77777777" w:rsidR="005C47FA" w:rsidRPr="005C47FA" w:rsidRDefault="005C47FA" w:rsidP="005C47FA">
      <w:pPr>
        <w:spacing w:before="120"/>
        <w:ind w:left="272"/>
        <w:rPr>
          <w:rFonts w:asciiTheme="majorHAnsi" w:eastAsia="Times New Roman" w:hAnsiTheme="majorHAnsi" w:cstheme="majorHAnsi"/>
        </w:rPr>
      </w:pPr>
      <w:r w:rsidRPr="005C47FA">
        <w:rPr>
          <w:rFonts w:asciiTheme="majorHAnsi" w:hAnsiTheme="majorHAnsi" w:cstheme="majorHAnsi"/>
          <w:lang w:bidi="es-ES"/>
        </w:rPr>
        <w:t>Si los compromisos de cofinanciamiento no satisfacen los requisitos mínimos, explique el motivo.</w:t>
      </w:r>
    </w:p>
    <w:tbl>
      <w:tblPr>
        <w:tblStyle w:val="TableGrid"/>
        <w:tblW w:w="0" w:type="auto"/>
        <w:tblLook w:val="04A0" w:firstRow="1" w:lastRow="0" w:firstColumn="1" w:lastColumn="0" w:noHBand="0" w:noVBand="1"/>
      </w:tblPr>
      <w:tblGrid>
        <w:gridCol w:w="10456"/>
      </w:tblGrid>
      <w:tr w:rsidR="005C47FA" w:rsidRPr="005C47FA" w14:paraId="20A3EBC3" w14:textId="77777777" w:rsidTr="00D47417">
        <w:tc>
          <w:tcPr>
            <w:tcW w:w="10790" w:type="dxa"/>
          </w:tcPr>
          <w:p w14:paraId="162EF4FB" w14:textId="77777777" w:rsidR="005C47FA" w:rsidRPr="005C47FA" w:rsidRDefault="005C47FA" w:rsidP="005C47FA">
            <w:pPr>
              <w:jc w:val="both"/>
              <w:rPr>
                <w:sz w:val="20"/>
                <w:szCs w:val="20"/>
                <w:lang w:bidi="es-ES"/>
              </w:rPr>
            </w:pPr>
            <w:r w:rsidRPr="005C47FA">
              <w:rPr>
                <w:sz w:val="20"/>
                <w:szCs w:val="20"/>
                <w:lang w:bidi="es-ES"/>
              </w:rPr>
              <w:t>Los compromisos de cofinanciamientos de los próximos tres años de asignación cumple con los requisitos mínimos para acceder al incentivo de cofinanciamiento. [Anexo 3.4]</w:t>
            </w:r>
          </w:p>
          <w:p w14:paraId="2279000D" w14:textId="77777777" w:rsidR="005C47FA" w:rsidRPr="005C47FA" w:rsidRDefault="005C47FA" w:rsidP="005C47FA">
            <w:pPr>
              <w:jc w:val="both"/>
              <w:rPr>
                <w:sz w:val="20"/>
                <w:szCs w:val="20"/>
                <w:lang w:bidi="es-ES"/>
              </w:rPr>
            </w:pPr>
            <w:r w:rsidRPr="005C47FA">
              <w:rPr>
                <w:sz w:val="20"/>
                <w:szCs w:val="20"/>
                <w:lang w:bidi="es-ES"/>
              </w:rPr>
              <w:t>Los recursos financieros necesarios para cubrir los gastos de VIH en el período 2022-2024 se estiman en $183,664,557.57; de los cuales se espera sean asumidos con recursos gubernamentales el 55.0%; se estima que el MINSAL asumirá el 37.4% de los recursos gubernamentales (GOES).</w:t>
            </w:r>
          </w:p>
          <w:p w14:paraId="1703B569" w14:textId="77777777" w:rsidR="005C47FA" w:rsidRPr="005C47FA" w:rsidRDefault="005C47FA" w:rsidP="005C47FA">
            <w:pPr>
              <w:jc w:val="both"/>
              <w:rPr>
                <w:sz w:val="20"/>
                <w:szCs w:val="20"/>
                <w:lang w:bidi="es-ES"/>
              </w:rPr>
            </w:pPr>
            <w:r w:rsidRPr="005C47FA">
              <w:rPr>
                <w:sz w:val="20"/>
                <w:szCs w:val="20"/>
                <w:lang w:bidi="es-ES"/>
              </w:rPr>
              <w:t>De los recursos de la cooperación externa se estima el 14.9 % para el financiamiento del PENM, de los cuales el Fondo Mundial representa el 59.0%.</w:t>
            </w:r>
          </w:p>
          <w:p w14:paraId="045349F3" w14:textId="77777777" w:rsidR="005C47FA" w:rsidRPr="005C47FA" w:rsidRDefault="005C47FA" w:rsidP="005C47FA">
            <w:pPr>
              <w:jc w:val="both"/>
              <w:rPr>
                <w:lang w:bidi="es-ES"/>
              </w:rPr>
            </w:pPr>
            <w:r w:rsidRPr="005C47FA">
              <w:rPr>
                <w:noProof/>
                <w:lang w:val="en-US"/>
              </w:rPr>
              <w:drawing>
                <wp:inline distT="0" distB="0" distL="0" distR="0" wp14:anchorId="22F37D0D" wp14:editId="7211303D">
                  <wp:extent cx="6555518" cy="2539793"/>
                  <wp:effectExtent l="0" t="0" r="17145" b="13335"/>
                  <wp:docPr id="9" name="Gráfico 9">
                    <a:extLst xmlns:a="http://schemas.openxmlformats.org/drawingml/2006/main">
                      <a:ext uri="{FF2B5EF4-FFF2-40B4-BE49-F238E27FC236}">
                        <a16:creationId xmlns:a16="http://schemas.microsoft.com/office/drawing/2014/main" id="{2CDB74FB-2FCB-42B3-B177-DB12D5D4FA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A48A9BA" w14:textId="77777777" w:rsidR="005C47FA" w:rsidRPr="005C47FA" w:rsidRDefault="005C47FA" w:rsidP="005C47FA">
            <w:pPr>
              <w:jc w:val="both"/>
              <w:rPr>
                <w:rFonts w:asciiTheme="majorHAnsi" w:hAnsiTheme="majorHAnsi" w:cstheme="majorHAnsi"/>
                <w:i/>
                <w:iCs/>
                <w:lang w:val="es-NI"/>
              </w:rPr>
            </w:pPr>
            <w:r w:rsidRPr="005C47FA">
              <w:rPr>
                <w:i/>
                <w:iCs/>
                <w:sz w:val="20"/>
                <w:szCs w:val="20"/>
                <w:lang w:bidi="es-ES"/>
              </w:rPr>
              <w:t>Fuente: PENM 2022-2026 (versión preliminar, Anexo 1</w:t>
            </w:r>
            <w:r w:rsidRPr="005C47FA">
              <w:rPr>
                <w:i/>
                <w:iCs/>
                <w:sz w:val="20"/>
                <w:szCs w:val="20"/>
                <w:lang w:val="es-NI" w:bidi="es-ES"/>
              </w:rPr>
              <w:t>.24</w:t>
            </w:r>
            <w:r w:rsidRPr="005C47FA">
              <w:rPr>
                <w:i/>
                <w:iCs/>
                <w:sz w:val="20"/>
                <w:szCs w:val="20"/>
                <w:lang w:bidi="es-ES"/>
              </w:rPr>
              <w:t xml:space="preserve">) </w:t>
            </w:r>
          </w:p>
        </w:tc>
      </w:tr>
    </w:tbl>
    <w:p w14:paraId="4B984B3E" w14:textId="77777777" w:rsidR="005C47FA" w:rsidRPr="005C47FA" w:rsidRDefault="005C47FA" w:rsidP="005C47FA">
      <w:pPr>
        <w:numPr>
          <w:ilvl w:val="0"/>
          <w:numId w:val="19"/>
        </w:numPr>
        <w:spacing w:before="120"/>
        <w:ind w:left="360"/>
        <w:jc w:val="both"/>
        <w:rPr>
          <w:b/>
          <w:lang w:val="es-US"/>
        </w:rPr>
      </w:pPr>
      <w:r w:rsidRPr="005C47FA">
        <w:rPr>
          <w:rFonts w:asciiTheme="majorHAnsi" w:eastAsia="Times New Roman" w:hAnsiTheme="majorHAnsi" w:cstheme="majorHAnsi"/>
          <w:lang w:bidi="es-ES"/>
        </w:rPr>
        <w:t>Haga un resumen</w:t>
      </w:r>
      <w:r w:rsidRPr="005C47FA">
        <w:rPr>
          <w:lang w:bidi="es-ES"/>
        </w:rPr>
        <w:t xml:space="preserve"> de las </w:t>
      </w:r>
      <w:r w:rsidRPr="005C47FA">
        <w:rPr>
          <w:b/>
          <w:lang w:bidi="es-ES"/>
        </w:rPr>
        <w:t>áreas programáticas</w:t>
      </w:r>
      <w:r w:rsidRPr="005C47FA">
        <w:rPr>
          <w:lang w:bidi="es-ES"/>
        </w:rPr>
        <w:t xml:space="preserve"> que van a financiarse mediante con los recursos domésticos de cofinanciamiento en el próximo período de asignación. Específicamente:</w:t>
      </w:r>
    </w:p>
    <w:p w14:paraId="2C8B543A" w14:textId="77777777" w:rsidR="005C47FA" w:rsidRPr="005C47FA" w:rsidRDefault="005C47FA" w:rsidP="005C47FA">
      <w:pPr>
        <w:numPr>
          <w:ilvl w:val="2"/>
          <w:numId w:val="19"/>
        </w:numPr>
        <w:spacing w:before="120"/>
        <w:ind w:left="990"/>
        <w:rPr>
          <w:lang w:bidi="es-ES"/>
        </w:rPr>
      </w:pPr>
      <w:r w:rsidRPr="005C47FA">
        <w:rPr>
          <w:lang w:bidi="es-ES"/>
        </w:rPr>
        <w:t>la absorción programada con fondos domésticos de intervenciones;</w:t>
      </w:r>
    </w:p>
    <w:p w14:paraId="782B1294" w14:textId="77777777" w:rsidR="005C47FA" w:rsidRPr="005C47FA" w:rsidRDefault="005C47FA" w:rsidP="005C47FA">
      <w:pPr>
        <w:numPr>
          <w:ilvl w:val="2"/>
          <w:numId w:val="19"/>
        </w:numPr>
        <w:spacing w:before="120"/>
        <w:ind w:left="990"/>
        <w:rPr>
          <w:lang w:bidi="es-ES"/>
        </w:rPr>
      </w:pPr>
      <w:r w:rsidRPr="005C47FA">
        <w:rPr>
          <w:lang w:bidi="es-ES"/>
        </w:rPr>
        <w:t>actualmente cubiertas con la subvención del Fondo Mundial.</w:t>
      </w:r>
    </w:p>
    <w:tbl>
      <w:tblPr>
        <w:tblStyle w:val="TableGrid"/>
        <w:tblW w:w="0" w:type="auto"/>
        <w:tblLook w:val="04A0" w:firstRow="1" w:lastRow="0" w:firstColumn="1" w:lastColumn="0" w:noHBand="0" w:noVBand="1"/>
      </w:tblPr>
      <w:tblGrid>
        <w:gridCol w:w="10456"/>
      </w:tblGrid>
      <w:tr w:rsidR="005C47FA" w:rsidRPr="005C47FA" w14:paraId="541B04EE" w14:textId="77777777" w:rsidTr="00D47417">
        <w:tc>
          <w:tcPr>
            <w:tcW w:w="10456" w:type="dxa"/>
          </w:tcPr>
          <w:p w14:paraId="2774ABFB" w14:textId="77777777" w:rsidR="005C47FA" w:rsidRPr="005C47FA" w:rsidRDefault="005C47FA" w:rsidP="005C47FA">
            <w:pPr>
              <w:numPr>
                <w:ilvl w:val="0"/>
                <w:numId w:val="63"/>
              </w:numPr>
              <w:spacing w:after="0" w:line="260" w:lineRule="atLeast"/>
              <w:ind w:left="310"/>
              <w:contextualSpacing/>
              <w:rPr>
                <w:lang w:bidi="es-ES"/>
              </w:rPr>
            </w:pPr>
            <w:r w:rsidRPr="005C47FA">
              <w:rPr>
                <w:lang w:bidi="es-ES"/>
              </w:rPr>
              <w:t>La absorción programada con fondos domésticos de intervenciones;</w:t>
            </w:r>
          </w:p>
          <w:p w14:paraId="41F68B88" w14:textId="77777777" w:rsidR="005C47FA" w:rsidRPr="005C47FA" w:rsidRDefault="005C47FA" w:rsidP="005C47FA">
            <w:pPr>
              <w:jc w:val="both"/>
              <w:rPr>
                <w:lang w:val="es-NI"/>
              </w:rPr>
            </w:pPr>
            <w:r w:rsidRPr="005C47FA">
              <w:rPr>
                <w:lang w:val="es-NI"/>
              </w:rPr>
              <w:t>El país, a través de fondos GOES, financiará los costos programáticos operativos siguientes:</w:t>
            </w:r>
          </w:p>
          <w:p w14:paraId="2A53C7F5" w14:textId="77777777" w:rsidR="005C47FA" w:rsidRPr="005C47FA" w:rsidRDefault="005C47FA" w:rsidP="005C47FA">
            <w:pPr>
              <w:jc w:val="both"/>
              <w:rPr>
                <w:lang w:val="es-NI"/>
              </w:rPr>
            </w:pPr>
            <w:r w:rsidRPr="005C47FA">
              <w:rPr>
                <w:lang w:val="es-NI"/>
              </w:rPr>
              <w:t>En el Ministerio de Salud:</w:t>
            </w:r>
          </w:p>
          <w:p w14:paraId="6B2ADCE4" w14:textId="77777777" w:rsidR="005C47FA" w:rsidRPr="005C47FA" w:rsidRDefault="005C47FA" w:rsidP="005C47FA">
            <w:pPr>
              <w:numPr>
                <w:ilvl w:val="0"/>
                <w:numId w:val="28"/>
              </w:numPr>
              <w:contextualSpacing/>
              <w:jc w:val="both"/>
              <w:rPr>
                <w:lang w:val="es-NI"/>
              </w:rPr>
            </w:pPr>
            <w:r w:rsidRPr="005C47FA">
              <w:rPr>
                <w:lang w:val="es-NI"/>
              </w:rPr>
              <w:t xml:space="preserve">El salario de los recursos humanos de los 27 equipos multidisciplinarios (médicos, enfermeras, profesional de laboratorio clínico, inspector de saneamiento) para atención, prevención, tratamiento de las personas privadas de libertad. </w:t>
            </w:r>
          </w:p>
          <w:p w14:paraId="6668FD54" w14:textId="77777777" w:rsidR="005C47FA" w:rsidRPr="005C47FA" w:rsidRDefault="005C47FA" w:rsidP="005C47FA">
            <w:pPr>
              <w:numPr>
                <w:ilvl w:val="0"/>
                <w:numId w:val="28"/>
              </w:numPr>
              <w:contextualSpacing/>
              <w:jc w:val="both"/>
              <w:rPr>
                <w:lang w:val="es-NI"/>
              </w:rPr>
            </w:pPr>
            <w:r w:rsidRPr="005C47FA">
              <w:rPr>
                <w:lang w:val="es-NI"/>
              </w:rPr>
              <w:t>El salario de los recursos humanos de los equipos multidisciplinarios de las 30 CAI (personal de archivo, médicos, enfermeras, profesional de laboratorio clínico, psicólogo, trabajador social, promotores pares, farmacia) para atención, prevención, tratamiento de las personas afectadas por VIH.</w:t>
            </w:r>
          </w:p>
          <w:p w14:paraId="64CB6BEF" w14:textId="77777777" w:rsidR="005C47FA" w:rsidRPr="005C47FA" w:rsidRDefault="005C47FA" w:rsidP="005C47FA">
            <w:pPr>
              <w:numPr>
                <w:ilvl w:val="0"/>
                <w:numId w:val="28"/>
              </w:numPr>
              <w:contextualSpacing/>
              <w:jc w:val="both"/>
              <w:rPr>
                <w:lang w:val="es-NI"/>
              </w:rPr>
            </w:pPr>
            <w:r w:rsidRPr="005C47FA">
              <w:rPr>
                <w:lang w:val="es-NI"/>
              </w:rPr>
              <w:t>El salario de los recursos humanos de los 20 equipos multidisciplinarios que atienden las VICITS y 15 equipos en clínicas amigables para la atención de poblaciones claves (médicos, enfermeras, profesional de laboratorio clínico, archivo).</w:t>
            </w:r>
          </w:p>
          <w:p w14:paraId="6AF8A9A8" w14:textId="77777777" w:rsidR="005C47FA" w:rsidRPr="005C47FA" w:rsidRDefault="005C47FA" w:rsidP="005C47FA">
            <w:pPr>
              <w:numPr>
                <w:ilvl w:val="0"/>
                <w:numId w:val="28"/>
              </w:numPr>
              <w:contextualSpacing/>
              <w:jc w:val="both"/>
              <w:rPr>
                <w:lang w:val="es-NI"/>
              </w:rPr>
            </w:pPr>
            <w:r w:rsidRPr="005C47FA">
              <w:rPr>
                <w:lang w:val="es-NI"/>
              </w:rPr>
              <w:lastRenderedPageBreak/>
              <w:t>El salario de los recursos humanos de los equipos de 30 bancos de sangre (profesionales de laboratorio clínico, personal administrativo) para la toma de muestras y análisis de sangre donada.</w:t>
            </w:r>
          </w:p>
          <w:p w14:paraId="60917935" w14:textId="77777777" w:rsidR="005C47FA" w:rsidRPr="005C47FA" w:rsidRDefault="005C47FA" w:rsidP="005C47FA">
            <w:pPr>
              <w:numPr>
                <w:ilvl w:val="0"/>
                <w:numId w:val="28"/>
              </w:numPr>
              <w:contextualSpacing/>
              <w:jc w:val="both"/>
              <w:rPr>
                <w:lang w:val="es-NI"/>
              </w:rPr>
            </w:pPr>
            <w:r w:rsidRPr="005C47FA">
              <w:rPr>
                <w:lang w:val="es-NI"/>
              </w:rPr>
              <w:t xml:space="preserve">Financiamiento del tratamiento antirretroviral para las personas con VIH. </w:t>
            </w:r>
          </w:p>
          <w:p w14:paraId="47E3C4BD" w14:textId="77777777" w:rsidR="005C47FA" w:rsidRPr="005C47FA" w:rsidRDefault="005C47FA" w:rsidP="005C47FA">
            <w:pPr>
              <w:numPr>
                <w:ilvl w:val="0"/>
                <w:numId w:val="28"/>
              </w:numPr>
              <w:contextualSpacing/>
              <w:jc w:val="both"/>
              <w:rPr>
                <w:lang w:val="es-NI"/>
              </w:rPr>
            </w:pPr>
            <w:r w:rsidRPr="005C47FA">
              <w:rPr>
                <w:lang w:val="es-NI"/>
              </w:rPr>
              <w:t xml:space="preserve">Adquisición de reactivos de prueba rápida de VIH para población general y complemento de pruebas confirmatorias. </w:t>
            </w:r>
          </w:p>
          <w:p w14:paraId="07FF6260" w14:textId="77777777" w:rsidR="005C47FA" w:rsidRPr="005C47FA" w:rsidRDefault="005C47FA" w:rsidP="005C47FA">
            <w:pPr>
              <w:numPr>
                <w:ilvl w:val="0"/>
                <w:numId w:val="28"/>
              </w:numPr>
              <w:contextualSpacing/>
              <w:jc w:val="both"/>
              <w:rPr>
                <w:lang w:val="es-NI"/>
              </w:rPr>
            </w:pPr>
            <w:r w:rsidRPr="005C47FA">
              <w:rPr>
                <w:lang w:val="es-NI"/>
              </w:rPr>
              <w:t xml:space="preserve">Adquisición de un perfil de prueba rápida de VIH para embarazadas, pruebas confirmatorias, terapia antirretroviral y sucedáneos de leche materna. </w:t>
            </w:r>
          </w:p>
          <w:p w14:paraId="6B6DBCF0" w14:textId="77777777" w:rsidR="005C47FA" w:rsidRPr="005C47FA" w:rsidRDefault="005C47FA" w:rsidP="005C47FA">
            <w:pPr>
              <w:numPr>
                <w:ilvl w:val="0"/>
                <w:numId w:val="28"/>
              </w:numPr>
              <w:contextualSpacing/>
              <w:jc w:val="both"/>
              <w:rPr>
                <w:lang w:val="es-NI"/>
              </w:rPr>
            </w:pPr>
            <w:r w:rsidRPr="005C47FA">
              <w:rPr>
                <w:lang w:val="es-NI"/>
              </w:rPr>
              <w:t>Adquisición de pruebas e insumos para el procesamiento de sangre segura.</w:t>
            </w:r>
          </w:p>
          <w:p w14:paraId="6BF628A3" w14:textId="77777777" w:rsidR="005C47FA" w:rsidRPr="005C47FA" w:rsidRDefault="005C47FA" w:rsidP="005C47FA">
            <w:pPr>
              <w:numPr>
                <w:ilvl w:val="0"/>
                <w:numId w:val="28"/>
              </w:numPr>
              <w:contextualSpacing/>
              <w:jc w:val="both"/>
              <w:rPr>
                <w:lang w:val="es-NI"/>
              </w:rPr>
            </w:pPr>
            <w:r w:rsidRPr="005C47FA">
              <w:rPr>
                <w:lang w:val="es-NI"/>
              </w:rPr>
              <w:t>Adquisición de un perfil de prueba rápida de VIH para las personas privadas de libertad.</w:t>
            </w:r>
          </w:p>
          <w:p w14:paraId="5D81F351" w14:textId="77777777" w:rsidR="005C47FA" w:rsidRPr="005C47FA" w:rsidRDefault="005C47FA" w:rsidP="005C47FA">
            <w:pPr>
              <w:numPr>
                <w:ilvl w:val="0"/>
                <w:numId w:val="28"/>
              </w:numPr>
              <w:contextualSpacing/>
              <w:jc w:val="both"/>
              <w:rPr>
                <w:lang w:val="es-NI"/>
              </w:rPr>
            </w:pPr>
            <w:r w:rsidRPr="005C47FA">
              <w:rPr>
                <w:lang w:val="es-NI"/>
              </w:rPr>
              <w:t xml:space="preserve">Implementación de las actividades colaborativas VIH/TB, a través del descarte de la Tuberculosis, en cumplimiento del algoritmo diagnóstico. </w:t>
            </w:r>
          </w:p>
          <w:p w14:paraId="5D605F3D" w14:textId="77777777" w:rsidR="005C47FA" w:rsidRPr="005C47FA" w:rsidRDefault="005C47FA" w:rsidP="005C47FA">
            <w:pPr>
              <w:numPr>
                <w:ilvl w:val="0"/>
                <w:numId w:val="28"/>
              </w:numPr>
              <w:contextualSpacing/>
              <w:jc w:val="both"/>
              <w:rPr>
                <w:strike/>
                <w:color w:val="D9D9D9" w:themeColor="background1" w:themeShade="D9"/>
                <w:lang w:val="es-NI"/>
              </w:rPr>
            </w:pPr>
            <w:r w:rsidRPr="005C47FA">
              <w:rPr>
                <w:lang w:val="es-NI"/>
              </w:rPr>
              <w:t>Actualización de los instrumentos técnicos jurídicos como normativa y lineamientos técnicos de prevención y control del VIH, atención a poblaciones claves, entre otros, así como la socialización y difusión de los mismos entre los diferentes proveedores de servicios de salud.</w:t>
            </w:r>
            <w:r w:rsidRPr="005C47FA" w:rsidDel="00D751AC">
              <w:rPr>
                <w:lang w:val="es-NI"/>
              </w:rPr>
              <w:t xml:space="preserve"> </w:t>
            </w:r>
          </w:p>
          <w:p w14:paraId="553287D1" w14:textId="77777777" w:rsidR="005C47FA" w:rsidRPr="005C47FA" w:rsidRDefault="005C47FA" w:rsidP="005C47FA">
            <w:pPr>
              <w:numPr>
                <w:ilvl w:val="0"/>
                <w:numId w:val="28"/>
              </w:numPr>
              <w:contextualSpacing/>
              <w:jc w:val="both"/>
              <w:rPr>
                <w:lang w:val="es-NI"/>
              </w:rPr>
            </w:pPr>
            <w:r w:rsidRPr="005C47FA">
              <w:rPr>
                <w:lang w:val="es-NI"/>
              </w:rPr>
              <w:t xml:space="preserve">Gestión de la cadena suministros (compra, almacenamiento y distribución de productos farmacéuticos, de laboratorio, sucedáneos leche materna, consumibles de laboratorio) en la red de MINSAL). </w:t>
            </w:r>
          </w:p>
          <w:p w14:paraId="0E9142E8" w14:textId="77777777" w:rsidR="005C47FA" w:rsidRPr="005C47FA" w:rsidRDefault="005C47FA" w:rsidP="005C47FA">
            <w:pPr>
              <w:jc w:val="both"/>
              <w:rPr>
                <w:lang w:val="es-NI"/>
              </w:rPr>
            </w:pPr>
            <w:r w:rsidRPr="005C47FA">
              <w:rPr>
                <w:lang w:val="es-NI"/>
              </w:rPr>
              <w:t>En el Seguro Social:</w:t>
            </w:r>
          </w:p>
          <w:p w14:paraId="75C079EC" w14:textId="77777777" w:rsidR="005C47FA" w:rsidRPr="005C47FA" w:rsidRDefault="005C47FA" w:rsidP="005C47FA">
            <w:pPr>
              <w:numPr>
                <w:ilvl w:val="0"/>
                <w:numId w:val="28"/>
              </w:numPr>
              <w:contextualSpacing/>
              <w:jc w:val="both"/>
              <w:rPr>
                <w:lang w:val="es-NI"/>
              </w:rPr>
            </w:pPr>
            <w:r w:rsidRPr="005C47FA">
              <w:rPr>
                <w:lang w:val="es-NI"/>
              </w:rPr>
              <w:t>El salario de los recursos humanos de los equipos multidisciplinarios de las 4 CAI (personal de archivo, médicos, enfermeras, profesional de laboratorio clínico, psicólogo, trabajador social, farmacia) para atención, prevención, tratamiento de las personas afectadas por VIH.</w:t>
            </w:r>
          </w:p>
          <w:p w14:paraId="7412430D" w14:textId="77777777" w:rsidR="005C47FA" w:rsidRPr="005C47FA" w:rsidRDefault="005C47FA" w:rsidP="005C47FA">
            <w:pPr>
              <w:numPr>
                <w:ilvl w:val="0"/>
                <w:numId w:val="28"/>
              </w:numPr>
              <w:contextualSpacing/>
              <w:jc w:val="both"/>
              <w:rPr>
                <w:lang w:val="es-NI"/>
              </w:rPr>
            </w:pPr>
            <w:r w:rsidRPr="005C47FA">
              <w:rPr>
                <w:lang w:val="es-NI"/>
              </w:rPr>
              <w:t xml:space="preserve">Financiamiento del tratamiento antirretroviral para las personas con VIH. </w:t>
            </w:r>
          </w:p>
          <w:p w14:paraId="7BA32E59" w14:textId="77777777" w:rsidR="005C47FA" w:rsidRPr="005C47FA" w:rsidRDefault="005C47FA" w:rsidP="005C47FA">
            <w:pPr>
              <w:numPr>
                <w:ilvl w:val="0"/>
                <w:numId w:val="28"/>
              </w:numPr>
              <w:contextualSpacing/>
              <w:jc w:val="both"/>
              <w:rPr>
                <w:lang w:val="es-NI"/>
              </w:rPr>
            </w:pPr>
            <w:r w:rsidRPr="005C47FA">
              <w:rPr>
                <w:lang w:val="es-NI"/>
              </w:rPr>
              <w:t xml:space="preserve">Adquisición de reactivos de prueba rápida de VIH para población general y complemento de pruebas confirmatorias. </w:t>
            </w:r>
          </w:p>
          <w:p w14:paraId="3E360A70" w14:textId="77777777" w:rsidR="005C47FA" w:rsidRPr="005C47FA" w:rsidRDefault="005C47FA" w:rsidP="005C47FA">
            <w:pPr>
              <w:numPr>
                <w:ilvl w:val="0"/>
                <w:numId w:val="28"/>
              </w:numPr>
              <w:contextualSpacing/>
              <w:jc w:val="both"/>
              <w:rPr>
                <w:lang w:val="es-NI"/>
              </w:rPr>
            </w:pPr>
            <w:r w:rsidRPr="005C47FA">
              <w:rPr>
                <w:lang w:val="es-NI"/>
              </w:rPr>
              <w:t xml:space="preserve">Adquisición de dos perfiles de prueba rápida de VIH para embarazadas, pruebas confirmatorias, terapia antirretroviral y sucedáneos de leche materna. </w:t>
            </w:r>
          </w:p>
          <w:p w14:paraId="3A3B3923" w14:textId="77777777" w:rsidR="005C47FA" w:rsidRPr="005C47FA" w:rsidRDefault="005C47FA" w:rsidP="005C47FA">
            <w:pPr>
              <w:numPr>
                <w:ilvl w:val="0"/>
                <w:numId w:val="28"/>
              </w:numPr>
              <w:contextualSpacing/>
              <w:jc w:val="both"/>
              <w:rPr>
                <w:lang w:val="es-NI"/>
              </w:rPr>
            </w:pPr>
            <w:r w:rsidRPr="005C47FA">
              <w:rPr>
                <w:lang w:val="es-NI"/>
              </w:rPr>
              <w:t>Adquisición de medicamentos para tratar infecciones oportunistas e infecciones de transmisión sexual a los afiliados al seguro social.</w:t>
            </w:r>
          </w:p>
          <w:p w14:paraId="0D0BD460" w14:textId="77777777" w:rsidR="005C47FA" w:rsidRPr="005C47FA" w:rsidRDefault="005C47FA" w:rsidP="005C47FA">
            <w:pPr>
              <w:numPr>
                <w:ilvl w:val="0"/>
                <w:numId w:val="28"/>
              </w:numPr>
              <w:contextualSpacing/>
              <w:jc w:val="both"/>
              <w:rPr>
                <w:lang w:val="es-NI"/>
              </w:rPr>
            </w:pPr>
            <w:r w:rsidRPr="005C47FA">
              <w:rPr>
                <w:lang w:val="es-NI"/>
              </w:rPr>
              <w:t>El salario de los recursos humanos de los equipos de 5 bancos de sangre (profesionales de laboratorio clínico, personal administrativo) para la toma de muestras y análisis de sangre donada.</w:t>
            </w:r>
          </w:p>
          <w:p w14:paraId="19DF267E" w14:textId="77777777" w:rsidR="005C47FA" w:rsidRPr="005C47FA" w:rsidRDefault="005C47FA" w:rsidP="005C47FA">
            <w:pPr>
              <w:numPr>
                <w:ilvl w:val="0"/>
                <w:numId w:val="28"/>
              </w:numPr>
              <w:contextualSpacing/>
              <w:jc w:val="both"/>
              <w:rPr>
                <w:lang w:val="es-NI"/>
              </w:rPr>
            </w:pPr>
            <w:r w:rsidRPr="005C47FA">
              <w:rPr>
                <w:lang w:val="es-NI"/>
              </w:rPr>
              <w:t>Adquisición de pruebas e insumos para el procesamiento de sangre segura.</w:t>
            </w:r>
          </w:p>
          <w:p w14:paraId="20D46B6B" w14:textId="77777777" w:rsidR="005C47FA" w:rsidRPr="005C47FA" w:rsidRDefault="005C47FA" w:rsidP="005C47FA">
            <w:pPr>
              <w:jc w:val="both"/>
              <w:rPr>
                <w:lang w:val="es-NI"/>
              </w:rPr>
            </w:pPr>
            <w:r w:rsidRPr="005C47FA">
              <w:rPr>
                <w:lang w:val="es-NI"/>
              </w:rPr>
              <w:t>En Sanidad Militar:</w:t>
            </w:r>
          </w:p>
          <w:p w14:paraId="1029B1D4" w14:textId="77777777" w:rsidR="005C47FA" w:rsidRPr="005C47FA" w:rsidRDefault="005C47FA" w:rsidP="005C47FA">
            <w:pPr>
              <w:numPr>
                <w:ilvl w:val="0"/>
                <w:numId w:val="28"/>
              </w:numPr>
              <w:contextualSpacing/>
              <w:jc w:val="both"/>
              <w:rPr>
                <w:lang w:val="es-NI"/>
              </w:rPr>
            </w:pPr>
            <w:r w:rsidRPr="005C47FA">
              <w:rPr>
                <w:lang w:val="es-NI"/>
              </w:rPr>
              <w:t>El salario de personal asignado a la prevención de VIH en Sanidad Militar (médicos, enfermeros, laboratorio).</w:t>
            </w:r>
          </w:p>
          <w:p w14:paraId="2A97D035" w14:textId="77777777" w:rsidR="005C47FA" w:rsidRPr="005C47FA" w:rsidRDefault="005C47FA" w:rsidP="005C47FA">
            <w:pPr>
              <w:numPr>
                <w:ilvl w:val="0"/>
                <w:numId w:val="28"/>
              </w:numPr>
              <w:contextualSpacing/>
              <w:jc w:val="both"/>
              <w:rPr>
                <w:lang w:val="es-NI"/>
              </w:rPr>
            </w:pPr>
            <w:r w:rsidRPr="005C47FA">
              <w:rPr>
                <w:lang w:val="es-NI"/>
              </w:rPr>
              <w:t>El salario de los recursos humanos de los equipos de 2 bancos de sangre (profesionales de laboratorio clínico, personal administrativo) para la toma de muestras y análisis de sangre donada.</w:t>
            </w:r>
          </w:p>
          <w:p w14:paraId="1D1B51F4" w14:textId="77777777" w:rsidR="005C47FA" w:rsidRPr="005C47FA" w:rsidRDefault="005C47FA" w:rsidP="005C47FA">
            <w:pPr>
              <w:numPr>
                <w:ilvl w:val="0"/>
                <w:numId w:val="28"/>
              </w:numPr>
              <w:contextualSpacing/>
              <w:jc w:val="both"/>
              <w:rPr>
                <w:lang w:val="es-NI"/>
              </w:rPr>
            </w:pPr>
            <w:r w:rsidRPr="005C47FA">
              <w:rPr>
                <w:lang w:val="es-NI"/>
              </w:rPr>
              <w:t>Adquisición de pruebas e insumos para el procesamiento de sangre segura.</w:t>
            </w:r>
          </w:p>
          <w:p w14:paraId="3C23C92B" w14:textId="77777777" w:rsidR="005C47FA" w:rsidRPr="005C47FA" w:rsidRDefault="005C47FA" w:rsidP="005C47FA">
            <w:pPr>
              <w:numPr>
                <w:ilvl w:val="0"/>
                <w:numId w:val="28"/>
              </w:numPr>
              <w:contextualSpacing/>
              <w:jc w:val="both"/>
              <w:rPr>
                <w:lang w:val="es-NI"/>
              </w:rPr>
            </w:pPr>
            <w:r w:rsidRPr="005C47FA">
              <w:rPr>
                <w:lang w:val="es-NI"/>
              </w:rPr>
              <w:t>Adquisición de medicamentos para tratar infecciones oportunistas e infecciones de transmisión sexual de personal militar.</w:t>
            </w:r>
          </w:p>
          <w:p w14:paraId="43E9540F" w14:textId="77777777" w:rsidR="005C47FA" w:rsidRPr="005C47FA" w:rsidRDefault="005C47FA" w:rsidP="005C47FA">
            <w:pPr>
              <w:jc w:val="both"/>
              <w:rPr>
                <w:lang w:val="es-NI"/>
              </w:rPr>
            </w:pPr>
            <w:r w:rsidRPr="005C47FA">
              <w:rPr>
                <w:lang w:val="es-NI"/>
              </w:rPr>
              <w:t>En el Ministerio de Justicia y Seguridad:</w:t>
            </w:r>
          </w:p>
          <w:p w14:paraId="694A8A54" w14:textId="77777777" w:rsidR="005C47FA" w:rsidRPr="005C47FA" w:rsidRDefault="005C47FA" w:rsidP="005C47FA">
            <w:pPr>
              <w:numPr>
                <w:ilvl w:val="0"/>
                <w:numId w:val="28"/>
              </w:numPr>
              <w:contextualSpacing/>
              <w:jc w:val="both"/>
              <w:rPr>
                <w:lang w:val="es-NI"/>
              </w:rPr>
            </w:pPr>
            <w:r w:rsidRPr="005C47FA">
              <w:rPr>
                <w:lang w:val="es-NI"/>
              </w:rPr>
              <w:t>Recursos multidisciplinarios en salud para atención, prevención, tratamiento de los afectados por VIH del sistema penitenciario: médico y enfermera. Este personal atiende tanto VIH como TB en los 27 centros penales, centros de detención intermedios y los centros de reinserción de menores.</w:t>
            </w:r>
          </w:p>
          <w:p w14:paraId="6BA9B246" w14:textId="77777777" w:rsidR="005C47FA" w:rsidRPr="005C47FA" w:rsidRDefault="005C47FA" w:rsidP="005C47FA">
            <w:pPr>
              <w:jc w:val="both"/>
              <w:rPr>
                <w:lang w:val="es-NI"/>
              </w:rPr>
            </w:pPr>
            <w:r w:rsidRPr="005C47FA">
              <w:rPr>
                <w:lang w:val="es-NI"/>
              </w:rPr>
              <w:t>Ministerio de Trabajo:</w:t>
            </w:r>
          </w:p>
          <w:p w14:paraId="682907A3" w14:textId="77777777" w:rsidR="005C47FA" w:rsidRPr="005C47FA" w:rsidRDefault="005C47FA" w:rsidP="005C47FA">
            <w:pPr>
              <w:numPr>
                <w:ilvl w:val="0"/>
                <w:numId w:val="28"/>
              </w:numPr>
              <w:contextualSpacing/>
              <w:jc w:val="both"/>
              <w:rPr>
                <w:lang w:val="es-NI"/>
              </w:rPr>
            </w:pPr>
            <w:r w:rsidRPr="005C47FA">
              <w:rPr>
                <w:lang w:val="es-NI"/>
              </w:rPr>
              <w:t>El salario de inspectores de trabajo que verifican el cumplimiento de los derechos laborales de las personas con VIH.</w:t>
            </w:r>
          </w:p>
          <w:p w14:paraId="0916DAC0" w14:textId="77777777" w:rsidR="005C47FA" w:rsidRPr="005C47FA" w:rsidRDefault="005C47FA" w:rsidP="005C47FA">
            <w:pPr>
              <w:jc w:val="both"/>
              <w:rPr>
                <w:lang w:val="es-NI"/>
              </w:rPr>
            </w:pPr>
            <w:r w:rsidRPr="005C47FA">
              <w:rPr>
                <w:lang w:val="es-NI"/>
              </w:rPr>
              <w:t>Ministerio de Educación:</w:t>
            </w:r>
          </w:p>
          <w:p w14:paraId="4CD2A5C1" w14:textId="77777777" w:rsidR="005C47FA" w:rsidRPr="005C47FA" w:rsidRDefault="005C47FA" w:rsidP="005C47FA">
            <w:pPr>
              <w:numPr>
                <w:ilvl w:val="0"/>
                <w:numId w:val="65"/>
              </w:numPr>
              <w:contextualSpacing/>
              <w:jc w:val="both"/>
              <w:rPr>
                <w:lang w:val="es-NI"/>
              </w:rPr>
            </w:pPr>
            <w:r w:rsidRPr="005C47FA">
              <w:rPr>
                <w:lang w:val="es-NI"/>
              </w:rPr>
              <w:t>El salario de personal asignado a la capacitación de docentes en educación integral para la sexualidad, que incluye la temática de VIH.</w:t>
            </w:r>
          </w:p>
          <w:p w14:paraId="482DCB2F" w14:textId="77777777" w:rsidR="005C47FA" w:rsidRPr="005C47FA" w:rsidRDefault="005C47FA" w:rsidP="005C47FA">
            <w:pPr>
              <w:jc w:val="both"/>
              <w:rPr>
                <w:lang w:val="es-NI"/>
              </w:rPr>
            </w:pPr>
            <w:r w:rsidRPr="005C47FA">
              <w:rPr>
                <w:lang w:val="es-NI"/>
              </w:rPr>
              <w:t>Procuraduría para la Defensa de los Derechos Humanos:</w:t>
            </w:r>
          </w:p>
          <w:p w14:paraId="1FD89D66" w14:textId="77777777" w:rsidR="005C47FA" w:rsidRPr="005C47FA" w:rsidRDefault="005C47FA" w:rsidP="005C47FA">
            <w:pPr>
              <w:numPr>
                <w:ilvl w:val="0"/>
                <w:numId w:val="65"/>
              </w:numPr>
              <w:contextualSpacing/>
              <w:rPr>
                <w:rFonts w:asciiTheme="majorHAnsi" w:hAnsiTheme="majorHAnsi" w:cstheme="majorHAnsi"/>
                <w:lang w:val="es-NI"/>
              </w:rPr>
            </w:pPr>
            <w:r w:rsidRPr="005C47FA">
              <w:rPr>
                <w:lang w:val="es-NI"/>
              </w:rPr>
              <w:t>El salario del equipo del Departamento de VIH de la PDDH.</w:t>
            </w:r>
          </w:p>
        </w:tc>
      </w:tr>
      <w:tr w:rsidR="005C47FA" w:rsidRPr="005C47FA" w14:paraId="2DE3DB2B" w14:textId="77777777" w:rsidTr="00D47417">
        <w:tc>
          <w:tcPr>
            <w:tcW w:w="10456" w:type="dxa"/>
          </w:tcPr>
          <w:p w14:paraId="2B99051D" w14:textId="77777777" w:rsidR="005C47FA" w:rsidRPr="005C47FA" w:rsidRDefault="005C47FA" w:rsidP="005C47FA">
            <w:pPr>
              <w:numPr>
                <w:ilvl w:val="0"/>
                <w:numId w:val="64"/>
              </w:numPr>
              <w:spacing w:after="0" w:line="260" w:lineRule="atLeast"/>
              <w:ind w:left="310"/>
              <w:contextualSpacing/>
              <w:rPr>
                <w:lang w:bidi="es-ES"/>
              </w:rPr>
            </w:pPr>
            <w:r w:rsidRPr="005C47FA">
              <w:rPr>
                <w:lang w:bidi="es-ES"/>
              </w:rPr>
              <w:lastRenderedPageBreak/>
              <w:t>Actualmente cubiertas con la subvención del Fondo Mundial.</w:t>
            </w:r>
          </w:p>
          <w:p w14:paraId="2865FD88" w14:textId="77777777" w:rsidR="005C47FA" w:rsidRPr="005C47FA" w:rsidRDefault="005C47FA" w:rsidP="005C47FA">
            <w:pPr>
              <w:spacing w:after="0" w:line="260" w:lineRule="atLeast"/>
              <w:ind w:left="130"/>
              <w:jc w:val="both"/>
              <w:rPr>
                <w:lang w:bidi="es-ES"/>
              </w:rPr>
            </w:pPr>
            <w:r w:rsidRPr="005C47FA">
              <w:rPr>
                <w:lang w:bidi="es-ES"/>
              </w:rPr>
              <w:t xml:space="preserve">En relación a las brechas financieras según el PENM 2022-2026, la necesidad estimada del país para dar respuesta al VIH para los años 2022-2024 asciende a la cantidad $183,664,557.57. Esta solicitud </w:t>
            </w:r>
            <w:r w:rsidRPr="005C47FA">
              <w:rPr>
                <w:lang w:bidi="es-ES"/>
              </w:rPr>
              <w:lastRenderedPageBreak/>
              <w:t>corresponde a $16,074.816.00 que representa el 8.8% del costo del PENM para ese período. De la necesidad de país distribuido de la siguiente manera:</w:t>
            </w:r>
          </w:p>
          <w:p w14:paraId="6BBC15A2" w14:textId="77777777" w:rsidR="005C47FA" w:rsidRPr="005C47FA" w:rsidRDefault="005C47FA" w:rsidP="005C47FA">
            <w:pPr>
              <w:spacing w:line="260" w:lineRule="atLeast"/>
              <w:ind w:left="130"/>
              <w:jc w:val="both"/>
              <w:rPr>
                <w:lang w:bidi="es-ES"/>
              </w:rPr>
            </w:pPr>
            <w:r w:rsidRPr="005C47FA">
              <w:rPr>
                <w:lang w:bidi="es-ES"/>
              </w:rPr>
              <w:t>El componente de mayor asignación presupuestaria es el módulo de “Prevención” cuyo porcentaje asciende a 41.4%; con el cual se proyecta atender las intervenciones “Abordaje del estigma, la discriminación y la violencia”, “Intervenciones para cambio de comportamiento”, “Intervención para poblaciones jóvenes clave”, “PrEP”, “Prevención y manejo de coinfección y comorbilidades (prevención)”, “Programas de preservativos y lubricantes” y “Servicios de salud sexual y reproductiva incluyendo las ITS”. El siguiente en orden de importancia es el módulo de “Tratamiento, atención y apoyo” con el 21.3% con el que se proyecta atender las intervenciones “Prestación de servicios diferenciados de ARV y atención para el VIH” y Seguimiento del tratamiento carga viral”. El tercer módulo en importancia es el de “Gestión de programas” que representa el 16.9% para las siguientes intervenciones: “Coordinación y gestión de los programas nacionales de control de enfermedades” y “Gestión de Subvenciones”. Así también el Módulo de “Servicios diferenciados de diagnóstico del VIH” con el 10.2% con el cual se proyecta atender las intervenciones de “</w:t>
            </w:r>
            <w:proofErr w:type="spellStart"/>
            <w:r w:rsidRPr="005C47FA">
              <w:rPr>
                <w:lang w:bidi="es-ES"/>
              </w:rPr>
              <w:t>Autot</w:t>
            </w:r>
            <w:r w:rsidRPr="005C47FA">
              <w:rPr>
                <w:lang w:val="es-NI" w:bidi="es-ES"/>
              </w:rPr>
              <w:t>est</w:t>
            </w:r>
            <w:proofErr w:type="spellEnd"/>
            <w:r w:rsidRPr="005C47FA">
              <w:rPr>
                <w:lang w:bidi="es-ES"/>
              </w:rPr>
              <w:t>”, “Pruebas a nivel comunitario” y “Pruebas a nivel de establecimientos de salud”.</w:t>
            </w:r>
          </w:p>
          <w:tbl>
            <w:tblPr>
              <w:tblW w:w="8852" w:type="dxa"/>
              <w:jc w:val="center"/>
              <w:tblCellMar>
                <w:left w:w="70" w:type="dxa"/>
                <w:right w:w="70" w:type="dxa"/>
              </w:tblCellMar>
              <w:tblLook w:val="04A0" w:firstRow="1" w:lastRow="0" w:firstColumn="1" w:lastColumn="0" w:noHBand="0" w:noVBand="1"/>
            </w:tblPr>
            <w:tblGrid>
              <w:gridCol w:w="6241"/>
              <w:gridCol w:w="1940"/>
              <w:gridCol w:w="671"/>
            </w:tblGrid>
            <w:tr w:rsidR="005C47FA" w:rsidRPr="005C47FA" w14:paraId="38A59C12" w14:textId="77777777" w:rsidTr="00D47417">
              <w:trPr>
                <w:trHeight w:val="300"/>
                <w:jc w:val="center"/>
              </w:trPr>
              <w:tc>
                <w:tcPr>
                  <w:tcW w:w="6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6CFC7" w14:textId="77777777" w:rsidR="005C47FA" w:rsidRPr="005C47FA" w:rsidRDefault="005C47FA" w:rsidP="005C47FA">
                  <w:pPr>
                    <w:spacing w:after="0" w:line="240" w:lineRule="auto"/>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Prevención</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19ADDCBD" w14:textId="77777777" w:rsidR="005C47FA" w:rsidRPr="005C47FA" w:rsidRDefault="005C47FA" w:rsidP="005C47FA">
                  <w:pPr>
                    <w:spacing w:after="0" w:line="240" w:lineRule="auto"/>
                    <w:ind w:right="438"/>
                    <w:jc w:val="right"/>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 xml:space="preserve">$6,650,532.26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3DF9F12A" w14:textId="77777777" w:rsidR="005C47FA" w:rsidRPr="005C47FA" w:rsidRDefault="005C47FA" w:rsidP="005C47FA">
                  <w:pPr>
                    <w:spacing w:after="0" w:line="240" w:lineRule="auto"/>
                    <w:jc w:val="right"/>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41.4%</w:t>
                  </w:r>
                </w:p>
              </w:tc>
            </w:tr>
            <w:tr w:rsidR="005C47FA" w:rsidRPr="005C47FA" w14:paraId="152B6DA0" w14:textId="77777777" w:rsidTr="00D47417">
              <w:trPr>
                <w:trHeight w:val="300"/>
                <w:jc w:val="center"/>
              </w:trPr>
              <w:tc>
                <w:tcPr>
                  <w:tcW w:w="6241" w:type="dxa"/>
                  <w:tcBorders>
                    <w:top w:val="nil"/>
                    <w:left w:val="single" w:sz="4" w:space="0" w:color="auto"/>
                    <w:bottom w:val="single" w:sz="4" w:space="0" w:color="auto"/>
                    <w:right w:val="single" w:sz="4" w:space="0" w:color="auto"/>
                  </w:tcBorders>
                  <w:shd w:val="clear" w:color="auto" w:fill="auto"/>
                  <w:noWrap/>
                  <w:vAlign w:val="bottom"/>
                  <w:hideMark/>
                </w:tcPr>
                <w:p w14:paraId="446120C7" w14:textId="77777777" w:rsidR="005C47FA" w:rsidRPr="005C47FA" w:rsidRDefault="005C47FA" w:rsidP="005C47FA">
                  <w:pPr>
                    <w:spacing w:after="0" w:line="240" w:lineRule="auto"/>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Tratamiento, atención y apoyo</w:t>
                  </w:r>
                </w:p>
              </w:tc>
              <w:tc>
                <w:tcPr>
                  <w:tcW w:w="1940" w:type="dxa"/>
                  <w:tcBorders>
                    <w:top w:val="nil"/>
                    <w:left w:val="nil"/>
                    <w:bottom w:val="single" w:sz="4" w:space="0" w:color="auto"/>
                    <w:right w:val="single" w:sz="4" w:space="0" w:color="auto"/>
                  </w:tcBorders>
                  <w:shd w:val="clear" w:color="auto" w:fill="auto"/>
                  <w:noWrap/>
                  <w:vAlign w:val="bottom"/>
                  <w:hideMark/>
                </w:tcPr>
                <w:p w14:paraId="5D333BA5" w14:textId="77777777" w:rsidR="005C47FA" w:rsidRPr="005C47FA" w:rsidRDefault="005C47FA" w:rsidP="005C47FA">
                  <w:pPr>
                    <w:spacing w:after="0" w:line="240" w:lineRule="auto"/>
                    <w:ind w:right="438"/>
                    <w:jc w:val="right"/>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 xml:space="preserve">$3,427,092.37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1184227A" w14:textId="77777777" w:rsidR="005C47FA" w:rsidRPr="005C47FA" w:rsidRDefault="005C47FA" w:rsidP="005C47FA">
                  <w:pPr>
                    <w:spacing w:after="0" w:line="240" w:lineRule="auto"/>
                    <w:jc w:val="right"/>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21.3%</w:t>
                  </w:r>
                </w:p>
              </w:tc>
            </w:tr>
            <w:tr w:rsidR="005C47FA" w:rsidRPr="005C47FA" w14:paraId="5385F5BC" w14:textId="77777777" w:rsidTr="00D47417">
              <w:trPr>
                <w:trHeight w:val="300"/>
                <w:jc w:val="center"/>
              </w:trPr>
              <w:tc>
                <w:tcPr>
                  <w:tcW w:w="6241" w:type="dxa"/>
                  <w:tcBorders>
                    <w:top w:val="nil"/>
                    <w:left w:val="single" w:sz="4" w:space="0" w:color="auto"/>
                    <w:bottom w:val="single" w:sz="4" w:space="0" w:color="auto"/>
                    <w:right w:val="single" w:sz="4" w:space="0" w:color="auto"/>
                  </w:tcBorders>
                  <w:shd w:val="clear" w:color="auto" w:fill="auto"/>
                  <w:noWrap/>
                  <w:vAlign w:val="bottom"/>
                  <w:hideMark/>
                </w:tcPr>
                <w:p w14:paraId="3E195BA8" w14:textId="77777777" w:rsidR="005C47FA" w:rsidRPr="005C47FA" w:rsidRDefault="005C47FA" w:rsidP="005C47FA">
                  <w:pPr>
                    <w:spacing w:after="0" w:line="240" w:lineRule="auto"/>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Gestión de programas</w:t>
                  </w:r>
                </w:p>
              </w:tc>
              <w:tc>
                <w:tcPr>
                  <w:tcW w:w="1940" w:type="dxa"/>
                  <w:tcBorders>
                    <w:top w:val="nil"/>
                    <w:left w:val="nil"/>
                    <w:bottom w:val="single" w:sz="4" w:space="0" w:color="auto"/>
                    <w:right w:val="single" w:sz="4" w:space="0" w:color="auto"/>
                  </w:tcBorders>
                  <w:shd w:val="clear" w:color="auto" w:fill="auto"/>
                  <w:noWrap/>
                  <w:vAlign w:val="bottom"/>
                  <w:hideMark/>
                </w:tcPr>
                <w:p w14:paraId="6DDE0F46" w14:textId="77777777" w:rsidR="005C47FA" w:rsidRPr="005C47FA" w:rsidRDefault="005C47FA" w:rsidP="005C47FA">
                  <w:pPr>
                    <w:spacing w:after="0" w:line="240" w:lineRule="auto"/>
                    <w:ind w:right="438"/>
                    <w:jc w:val="right"/>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 xml:space="preserve">$2,714,803.41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7AFCE910" w14:textId="77777777" w:rsidR="005C47FA" w:rsidRPr="005C47FA" w:rsidRDefault="005C47FA" w:rsidP="005C47FA">
                  <w:pPr>
                    <w:spacing w:after="0" w:line="240" w:lineRule="auto"/>
                    <w:jc w:val="right"/>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16.9%</w:t>
                  </w:r>
                </w:p>
              </w:tc>
            </w:tr>
            <w:tr w:rsidR="005C47FA" w:rsidRPr="005C47FA" w14:paraId="2A8F4C60" w14:textId="77777777" w:rsidTr="00D47417">
              <w:trPr>
                <w:trHeight w:val="300"/>
                <w:jc w:val="center"/>
              </w:trPr>
              <w:tc>
                <w:tcPr>
                  <w:tcW w:w="6241" w:type="dxa"/>
                  <w:tcBorders>
                    <w:top w:val="nil"/>
                    <w:left w:val="single" w:sz="4" w:space="0" w:color="auto"/>
                    <w:bottom w:val="single" w:sz="4" w:space="0" w:color="auto"/>
                    <w:right w:val="single" w:sz="4" w:space="0" w:color="auto"/>
                  </w:tcBorders>
                  <w:shd w:val="clear" w:color="auto" w:fill="auto"/>
                  <w:noWrap/>
                  <w:vAlign w:val="bottom"/>
                  <w:hideMark/>
                </w:tcPr>
                <w:p w14:paraId="55310EED" w14:textId="77777777" w:rsidR="005C47FA" w:rsidRPr="005C47FA" w:rsidRDefault="005C47FA" w:rsidP="005C47FA">
                  <w:pPr>
                    <w:spacing w:after="0" w:line="240" w:lineRule="auto"/>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Servicios diferenciados de diagnóstico del VIH</w:t>
                  </w:r>
                </w:p>
              </w:tc>
              <w:tc>
                <w:tcPr>
                  <w:tcW w:w="1940" w:type="dxa"/>
                  <w:tcBorders>
                    <w:top w:val="nil"/>
                    <w:left w:val="nil"/>
                    <w:bottom w:val="single" w:sz="4" w:space="0" w:color="auto"/>
                    <w:right w:val="single" w:sz="4" w:space="0" w:color="auto"/>
                  </w:tcBorders>
                  <w:shd w:val="clear" w:color="auto" w:fill="auto"/>
                  <w:noWrap/>
                  <w:vAlign w:val="bottom"/>
                  <w:hideMark/>
                </w:tcPr>
                <w:p w14:paraId="56168DF0" w14:textId="77777777" w:rsidR="005C47FA" w:rsidRPr="005C47FA" w:rsidRDefault="005C47FA" w:rsidP="005C47FA">
                  <w:pPr>
                    <w:spacing w:after="0" w:line="240" w:lineRule="auto"/>
                    <w:ind w:right="438"/>
                    <w:jc w:val="right"/>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 xml:space="preserve">$1,644,156.20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3A5002FC" w14:textId="77777777" w:rsidR="005C47FA" w:rsidRPr="005C47FA" w:rsidRDefault="005C47FA" w:rsidP="005C47FA">
                  <w:pPr>
                    <w:spacing w:after="0" w:line="240" w:lineRule="auto"/>
                    <w:jc w:val="right"/>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10.2%</w:t>
                  </w:r>
                </w:p>
              </w:tc>
            </w:tr>
            <w:tr w:rsidR="005C47FA" w:rsidRPr="005C47FA" w14:paraId="2307D048" w14:textId="77777777" w:rsidTr="00D47417">
              <w:trPr>
                <w:trHeight w:val="300"/>
                <w:jc w:val="center"/>
              </w:trPr>
              <w:tc>
                <w:tcPr>
                  <w:tcW w:w="6241" w:type="dxa"/>
                  <w:tcBorders>
                    <w:top w:val="nil"/>
                    <w:left w:val="single" w:sz="4" w:space="0" w:color="auto"/>
                    <w:bottom w:val="single" w:sz="4" w:space="0" w:color="auto"/>
                    <w:right w:val="single" w:sz="4" w:space="0" w:color="auto"/>
                  </w:tcBorders>
                  <w:shd w:val="clear" w:color="auto" w:fill="auto"/>
                  <w:noWrap/>
                  <w:vAlign w:val="bottom"/>
                  <w:hideMark/>
                </w:tcPr>
                <w:p w14:paraId="5671B5A6" w14:textId="77777777" w:rsidR="005C47FA" w:rsidRPr="005C47FA" w:rsidRDefault="005C47FA" w:rsidP="005C47FA">
                  <w:pPr>
                    <w:spacing w:after="0" w:line="240" w:lineRule="auto"/>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SSRS: Sistemas de información de gestión de salud y M&amp;E (Monitoreo y Evaluación)</w:t>
                  </w:r>
                </w:p>
              </w:tc>
              <w:tc>
                <w:tcPr>
                  <w:tcW w:w="1940" w:type="dxa"/>
                  <w:tcBorders>
                    <w:top w:val="nil"/>
                    <w:left w:val="nil"/>
                    <w:bottom w:val="single" w:sz="4" w:space="0" w:color="auto"/>
                    <w:right w:val="single" w:sz="4" w:space="0" w:color="auto"/>
                  </w:tcBorders>
                  <w:shd w:val="clear" w:color="auto" w:fill="auto"/>
                  <w:noWrap/>
                  <w:vAlign w:val="bottom"/>
                  <w:hideMark/>
                </w:tcPr>
                <w:p w14:paraId="635272AD" w14:textId="77777777" w:rsidR="005C47FA" w:rsidRPr="005C47FA" w:rsidRDefault="005C47FA" w:rsidP="005C47FA">
                  <w:pPr>
                    <w:spacing w:after="0" w:line="240" w:lineRule="auto"/>
                    <w:ind w:right="438"/>
                    <w:jc w:val="right"/>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 xml:space="preserve">$702,624.69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6D063ABA" w14:textId="77777777" w:rsidR="005C47FA" w:rsidRPr="005C47FA" w:rsidRDefault="005C47FA" w:rsidP="005C47FA">
                  <w:pPr>
                    <w:spacing w:after="0" w:line="240" w:lineRule="auto"/>
                    <w:jc w:val="right"/>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4.4%</w:t>
                  </w:r>
                </w:p>
              </w:tc>
            </w:tr>
            <w:tr w:rsidR="005C47FA" w:rsidRPr="005C47FA" w14:paraId="05050D27" w14:textId="77777777" w:rsidTr="00D47417">
              <w:trPr>
                <w:trHeight w:val="300"/>
                <w:jc w:val="center"/>
              </w:trPr>
              <w:tc>
                <w:tcPr>
                  <w:tcW w:w="6241" w:type="dxa"/>
                  <w:tcBorders>
                    <w:top w:val="nil"/>
                    <w:left w:val="single" w:sz="4" w:space="0" w:color="auto"/>
                    <w:bottom w:val="single" w:sz="4" w:space="0" w:color="auto"/>
                    <w:right w:val="single" w:sz="4" w:space="0" w:color="auto"/>
                  </w:tcBorders>
                  <w:shd w:val="clear" w:color="auto" w:fill="auto"/>
                  <w:noWrap/>
                  <w:vAlign w:val="bottom"/>
                  <w:hideMark/>
                </w:tcPr>
                <w:p w14:paraId="7DCE2468" w14:textId="77777777" w:rsidR="005C47FA" w:rsidRPr="005C47FA" w:rsidRDefault="005C47FA" w:rsidP="005C47FA">
                  <w:pPr>
                    <w:spacing w:after="0" w:line="240" w:lineRule="auto"/>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SSRS: mejora de la calidad y la prestación de servicios integrados</w:t>
                  </w:r>
                </w:p>
              </w:tc>
              <w:tc>
                <w:tcPr>
                  <w:tcW w:w="1940" w:type="dxa"/>
                  <w:tcBorders>
                    <w:top w:val="nil"/>
                    <w:left w:val="nil"/>
                    <w:bottom w:val="single" w:sz="4" w:space="0" w:color="auto"/>
                    <w:right w:val="single" w:sz="4" w:space="0" w:color="auto"/>
                  </w:tcBorders>
                  <w:shd w:val="clear" w:color="auto" w:fill="auto"/>
                  <w:noWrap/>
                  <w:vAlign w:val="bottom"/>
                  <w:hideMark/>
                </w:tcPr>
                <w:p w14:paraId="6857AA35" w14:textId="77777777" w:rsidR="005C47FA" w:rsidRPr="005C47FA" w:rsidRDefault="005C47FA" w:rsidP="005C47FA">
                  <w:pPr>
                    <w:spacing w:after="0" w:line="240" w:lineRule="auto"/>
                    <w:ind w:right="438"/>
                    <w:jc w:val="right"/>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 xml:space="preserve">$493,254.56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062999FC" w14:textId="77777777" w:rsidR="005C47FA" w:rsidRPr="005C47FA" w:rsidRDefault="005C47FA" w:rsidP="005C47FA">
                  <w:pPr>
                    <w:spacing w:after="0" w:line="240" w:lineRule="auto"/>
                    <w:jc w:val="right"/>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3.1%</w:t>
                  </w:r>
                </w:p>
              </w:tc>
            </w:tr>
            <w:tr w:rsidR="005C47FA" w:rsidRPr="005C47FA" w14:paraId="38762822" w14:textId="77777777" w:rsidTr="00D47417">
              <w:trPr>
                <w:trHeight w:val="300"/>
                <w:jc w:val="center"/>
              </w:trPr>
              <w:tc>
                <w:tcPr>
                  <w:tcW w:w="6241" w:type="dxa"/>
                  <w:tcBorders>
                    <w:top w:val="nil"/>
                    <w:left w:val="single" w:sz="4" w:space="0" w:color="auto"/>
                    <w:bottom w:val="single" w:sz="4" w:space="0" w:color="auto"/>
                    <w:right w:val="single" w:sz="4" w:space="0" w:color="auto"/>
                  </w:tcBorders>
                  <w:shd w:val="clear" w:color="auto" w:fill="auto"/>
                  <w:noWrap/>
                  <w:vAlign w:val="bottom"/>
                  <w:hideMark/>
                </w:tcPr>
                <w:p w14:paraId="2DD631EA" w14:textId="77777777" w:rsidR="005C47FA" w:rsidRPr="005C47FA" w:rsidRDefault="005C47FA" w:rsidP="005C47FA">
                  <w:pPr>
                    <w:spacing w:after="0" w:line="240" w:lineRule="auto"/>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PTMI</w:t>
                  </w:r>
                </w:p>
              </w:tc>
              <w:tc>
                <w:tcPr>
                  <w:tcW w:w="1940" w:type="dxa"/>
                  <w:tcBorders>
                    <w:top w:val="nil"/>
                    <w:left w:val="nil"/>
                    <w:bottom w:val="single" w:sz="4" w:space="0" w:color="auto"/>
                    <w:right w:val="single" w:sz="4" w:space="0" w:color="auto"/>
                  </w:tcBorders>
                  <w:shd w:val="clear" w:color="auto" w:fill="auto"/>
                  <w:noWrap/>
                  <w:vAlign w:val="bottom"/>
                  <w:hideMark/>
                </w:tcPr>
                <w:p w14:paraId="0D459FF3" w14:textId="77777777" w:rsidR="005C47FA" w:rsidRPr="005C47FA" w:rsidRDefault="005C47FA" w:rsidP="005C47FA">
                  <w:pPr>
                    <w:spacing w:after="0" w:line="240" w:lineRule="auto"/>
                    <w:ind w:right="438"/>
                    <w:jc w:val="right"/>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 xml:space="preserve">$442,352.59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14:paraId="4315DAC2" w14:textId="77777777" w:rsidR="005C47FA" w:rsidRPr="005C47FA" w:rsidRDefault="005C47FA" w:rsidP="005C47FA">
                  <w:pPr>
                    <w:spacing w:after="0" w:line="240" w:lineRule="auto"/>
                    <w:jc w:val="right"/>
                    <w:rPr>
                      <w:rFonts w:ascii="Gill Sans MT" w:eastAsia="Times New Roman" w:hAnsi="Gill Sans MT" w:cs="Calibri"/>
                      <w:color w:val="000000"/>
                      <w:sz w:val="18"/>
                      <w:szCs w:val="18"/>
                      <w:lang w:val="es-NI" w:eastAsia="es-NI"/>
                    </w:rPr>
                  </w:pPr>
                  <w:r w:rsidRPr="005C47FA">
                    <w:rPr>
                      <w:rFonts w:ascii="Gill Sans MT" w:eastAsia="Times New Roman" w:hAnsi="Gill Sans MT" w:cs="Calibri"/>
                      <w:color w:val="000000"/>
                      <w:sz w:val="18"/>
                      <w:szCs w:val="18"/>
                      <w:lang w:val="es-NI" w:eastAsia="es-NI"/>
                    </w:rPr>
                    <w:t>2.8%</w:t>
                  </w:r>
                </w:p>
              </w:tc>
            </w:tr>
          </w:tbl>
          <w:p w14:paraId="27EE6A28" w14:textId="77777777" w:rsidR="005C47FA" w:rsidRPr="005C47FA" w:rsidRDefault="005C47FA" w:rsidP="005C47FA">
            <w:pPr>
              <w:spacing w:line="260" w:lineRule="atLeast"/>
              <w:ind w:left="130"/>
              <w:rPr>
                <w:lang w:val="en-US" w:bidi="es-ES"/>
              </w:rPr>
            </w:pPr>
          </w:p>
          <w:p w14:paraId="006B5727" w14:textId="77777777" w:rsidR="005C47FA" w:rsidRPr="005C47FA" w:rsidRDefault="005C47FA" w:rsidP="005C47FA">
            <w:pPr>
              <w:spacing w:line="260" w:lineRule="atLeast"/>
              <w:ind w:left="130"/>
              <w:rPr>
                <w:lang w:val="en-US" w:bidi="es-ES"/>
              </w:rPr>
            </w:pPr>
            <w:r w:rsidRPr="005C47FA">
              <w:rPr>
                <w:noProof/>
                <w:lang w:val="en-US"/>
              </w:rPr>
              <w:drawing>
                <wp:inline distT="0" distB="0" distL="0" distR="0" wp14:anchorId="1874902B" wp14:editId="4ACB8CC6">
                  <wp:extent cx="6368142" cy="2732314"/>
                  <wp:effectExtent l="0" t="0" r="13970" b="11430"/>
                  <wp:docPr id="23" name="Gráfico 23">
                    <a:extLst xmlns:a="http://schemas.openxmlformats.org/drawingml/2006/main">
                      <a:ext uri="{FF2B5EF4-FFF2-40B4-BE49-F238E27FC236}">
                        <a16:creationId xmlns:a16="http://schemas.microsoft.com/office/drawing/2014/main" id="{260AB503-C7BC-4BFA-B021-1564B8381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0FB25BF" w14:textId="77777777" w:rsidR="005C47FA" w:rsidRPr="005C47FA" w:rsidRDefault="005C47FA" w:rsidP="005C47FA">
            <w:pPr>
              <w:spacing w:line="260" w:lineRule="atLeast"/>
              <w:ind w:left="130"/>
              <w:rPr>
                <w:lang w:val="es-NI" w:bidi="es-ES"/>
              </w:rPr>
            </w:pPr>
            <w:r w:rsidRPr="005C47FA">
              <w:rPr>
                <w:sz w:val="16"/>
                <w:szCs w:val="16"/>
                <w:lang w:val="es-NI" w:bidi="es-ES"/>
              </w:rPr>
              <w:t>Fuente: Presupuesto de la Subvención SLV-H-MOH 2022-2024</w:t>
            </w:r>
            <w:r w:rsidRPr="005C47FA">
              <w:rPr>
                <w:lang w:val="es-NI" w:bidi="es-ES"/>
              </w:rPr>
              <w:t xml:space="preserve"> [Anexo 3.2]</w:t>
            </w:r>
          </w:p>
        </w:tc>
      </w:tr>
    </w:tbl>
    <w:p w14:paraId="195BCA3E" w14:textId="77777777" w:rsidR="005C47FA" w:rsidRPr="005C47FA" w:rsidRDefault="005C47FA" w:rsidP="005C47FA">
      <w:pPr>
        <w:spacing w:after="0" w:line="240" w:lineRule="auto"/>
        <w:rPr>
          <w:lang w:val="es-NI"/>
        </w:rPr>
      </w:pPr>
    </w:p>
    <w:p w14:paraId="716A5E89" w14:textId="77777777" w:rsidR="005C47FA" w:rsidRPr="005C47FA" w:rsidRDefault="005C47FA" w:rsidP="005C47FA">
      <w:pPr>
        <w:shd w:val="clear" w:color="auto" w:fill="D9D9D9" w:themeFill="background1" w:themeFillShade="D9"/>
        <w:spacing w:after="0" w:line="260" w:lineRule="atLeast"/>
        <w:rPr>
          <w:rFonts w:cs="Arial"/>
          <w:b/>
          <w:lang w:val="en-US"/>
        </w:rPr>
      </w:pPr>
      <w:r w:rsidRPr="005C47FA">
        <w:rPr>
          <w:rFonts w:cs="Arial"/>
          <w:b/>
          <w:lang w:bidi="es-ES"/>
        </w:rPr>
        <w:t>3.2 Sostenibilidad y transición</w:t>
      </w:r>
    </w:p>
    <w:p w14:paraId="18B9A432" w14:textId="77777777" w:rsidR="005C47FA" w:rsidRPr="005C47FA" w:rsidRDefault="005C47FA" w:rsidP="005C47FA">
      <w:pPr>
        <w:spacing w:after="0" w:line="240" w:lineRule="auto"/>
        <w:rPr>
          <w:lang w:val="en-US"/>
        </w:rPr>
      </w:pPr>
    </w:p>
    <w:p w14:paraId="24DCDC1F" w14:textId="77777777" w:rsidR="005C47FA" w:rsidRPr="005C47FA" w:rsidRDefault="005C47FA" w:rsidP="005C47FA">
      <w:pPr>
        <w:numPr>
          <w:ilvl w:val="0"/>
          <w:numId w:val="22"/>
        </w:numPr>
        <w:spacing w:after="160" w:line="260" w:lineRule="atLeast"/>
        <w:contextualSpacing/>
        <w:jc w:val="both"/>
      </w:pPr>
      <w:r w:rsidRPr="005C47FA">
        <w:rPr>
          <w:rFonts w:cs="Arial"/>
          <w:lang w:bidi="es-ES"/>
        </w:rPr>
        <w:t xml:space="preserve">Partiendo del análisis de la(s) </w:t>
      </w:r>
      <w:r w:rsidRPr="005C47FA">
        <w:rPr>
          <w:rFonts w:cs="Arial"/>
          <w:b/>
          <w:lang w:bidi="es-ES"/>
        </w:rPr>
        <w:t>tabla(s) de panorama de financiamiento</w:t>
      </w:r>
      <w:r w:rsidRPr="005C47FA">
        <w:rPr>
          <w:rFonts w:cs="Arial"/>
          <w:lang w:bidi="es-ES"/>
        </w:rPr>
        <w:t xml:space="preserve">, describa las necesidades en materia de financiamiento y los fondos previstos, y haciendo énfasis en las brechas programáticas más importantes durante el próximo período de asignación. </w:t>
      </w:r>
    </w:p>
    <w:p w14:paraId="47F54F74" w14:textId="77777777" w:rsidR="005C47FA" w:rsidRPr="005C47FA" w:rsidRDefault="005C47FA" w:rsidP="005C47FA">
      <w:pPr>
        <w:spacing w:after="160" w:line="260" w:lineRule="atLeast"/>
        <w:ind w:left="360"/>
        <w:contextualSpacing/>
        <w:jc w:val="both"/>
      </w:pPr>
      <w:r w:rsidRPr="005C47FA">
        <w:rPr>
          <w:rFonts w:cs="Arial"/>
          <w:lang w:bidi="es-ES"/>
        </w:rPr>
        <w:t xml:space="preserve">Explique también i) qué van a hacer las autoridades nacionales para obtener y asegurar fondos complementarios o nuevas fuentes de financiamiento o </w:t>
      </w:r>
      <w:proofErr w:type="spellStart"/>
      <w:r w:rsidRPr="005C47FA">
        <w:rPr>
          <w:rFonts w:cs="Arial"/>
          <w:lang w:bidi="es-ES"/>
        </w:rPr>
        <w:t>ii</w:t>
      </w:r>
      <w:proofErr w:type="spellEnd"/>
      <w:r w:rsidRPr="005C47FA">
        <w:rPr>
          <w:rFonts w:cs="Arial"/>
          <w:lang w:bidi="es-ES"/>
        </w:rPr>
        <w:t>) cómo conseguir una mayor eficiencia para garantizar que las intervenciones clave cuentan con financiamiento suficiente, sobre todo aquellas que el Fondo Mundial financia en la actualidad.</w:t>
      </w:r>
    </w:p>
    <w:p w14:paraId="28F5E5D7" w14:textId="77777777" w:rsidR="005C47FA" w:rsidRPr="005C47FA" w:rsidRDefault="005C47FA" w:rsidP="005C47FA">
      <w:pPr>
        <w:spacing w:after="0" w:line="260" w:lineRule="atLeast"/>
        <w:ind w:left="360"/>
        <w:contextualSpacing/>
        <w:jc w:val="both"/>
      </w:pPr>
    </w:p>
    <w:tbl>
      <w:tblPr>
        <w:tblStyle w:val="TableGrid"/>
        <w:tblW w:w="0" w:type="auto"/>
        <w:tblLook w:val="04A0" w:firstRow="1" w:lastRow="0" w:firstColumn="1" w:lastColumn="0" w:noHBand="0" w:noVBand="1"/>
      </w:tblPr>
      <w:tblGrid>
        <w:gridCol w:w="10456"/>
      </w:tblGrid>
      <w:tr w:rsidR="005C47FA" w:rsidRPr="005C47FA" w14:paraId="6645DDE8" w14:textId="77777777" w:rsidTr="00D47417">
        <w:tc>
          <w:tcPr>
            <w:tcW w:w="10790" w:type="dxa"/>
          </w:tcPr>
          <w:p w14:paraId="7C7F34A1" w14:textId="77777777" w:rsidR="005C47FA" w:rsidRPr="005C47FA" w:rsidRDefault="005C47FA" w:rsidP="005C47FA">
            <w:pPr>
              <w:jc w:val="both"/>
              <w:rPr>
                <w:lang w:val="es-NI"/>
              </w:rPr>
            </w:pPr>
            <w:r w:rsidRPr="005C47FA">
              <w:rPr>
                <w:lang w:val="es-NI"/>
              </w:rPr>
              <w:lastRenderedPageBreak/>
              <w:t xml:space="preserve">El Salvador ha proyectado una inversión de $ </w:t>
            </w:r>
            <w:r w:rsidRPr="005C47FA">
              <w:rPr>
                <w:rFonts w:ascii="Calibri" w:hAnsi="Calibri" w:cs="Calibri"/>
                <w:color w:val="000000"/>
                <w:lang w:val="es-NI"/>
              </w:rPr>
              <w:t xml:space="preserve">309,412,246.95 </w:t>
            </w:r>
            <w:r w:rsidRPr="005C47FA">
              <w:rPr>
                <w:lang w:val="es-NI"/>
              </w:rPr>
              <w:t>para el período del año 2022 al 2026 para la atención  y control de VIH, de estos el MINSAL invertirá $ 115,839,020.71  que corresponde al 37.4%; seguido del ISSS con un $29,934,188.10  que corresponde al 9.7%;  COSAM $ 1,386,454.77 que corresponde al 0.4%, el ISBM $ 1,123,271.92 que también corresponde al 0.4%  y el Fondo Mundial cofinanciará el PENM VIH en los primeros tres años (2022, 2023 y 2024) un monto de $16,074,816.00 que representa aproximadamente el 5.2% de la inversión total. Quedando una brecha de $ 104,219,873.25 (33.7%).</w:t>
            </w:r>
          </w:p>
          <w:p w14:paraId="3713084A" w14:textId="77777777" w:rsidR="005C47FA" w:rsidRPr="005C47FA" w:rsidRDefault="005C47FA" w:rsidP="005C47FA">
            <w:pPr>
              <w:jc w:val="both"/>
              <w:rPr>
                <w:rFonts w:cs="Arial"/>
                <w:lang w:val="es-NI"/>
              </w:rPr>
            </w:pPr>
            <w:r w:rsidRPr="005C47FA">
              <w:rPr>
                <w:lang w:val="es-NI"/>
              </w:rPr>
              <w:t>Según las brechas programáticas más importantes durante este período, las estrategias se concentran en la necesidad de mejorar la efectividad de la prevención, ampliar el acceso a tratamiento, enfocar las acciones en los grupos de mayor riesgo y garantizar el seguimiento a las personas en tratamiento para que tengan una carga viral indetectable, acorde con las directrices de la Organización Mundial de la Salud (OMS).</w:t>
            </w:r>
          </w:p>
          <w:p w14:paraId="7031C5D6" w14:textId="77777777" w:rsidR="005C47FA" w:rsidRPr="005C47FA" w:rsidRDefault="005C47FA" w:rsidP="005C47FA">
            <w:pPr>
              <w:jc w:val="both"/>
              <w:rPr>
                <w:lang w:val="es-NI"/>
              </w:rPr>
            </w:pPr>
            <w:r w:rsidRPr="005C47FA">
              <w:rPr>
                <w:lang w:val="es-NI"/>
              </w:rPr>
              <w:t xml:space="preserve">La oferta de servicios de salud se ha mantenido en 20 hospitales del Ministerio de Salud, dejando a voluntad del paciente donde quiere atenderse, para ampliar la oferta de servicio se descentralizará la terapia antirretroviral a todos los hospitales de la red nacional y se hará un pilotaje de oferta en unidades de salud del primer nivel de atención. El personal que brindará el servicio es personal del Ministerio de Salud al que se le capacitará para brindar esta atención. </w:t>
            </w:r>
          </w:p>
          <w:p w14:paraId="407FA378" w14:textId="77777777" w:rsidR="005C47FA" w:rsidRPr="005C47FA" w:rsidRDefault="005C47FA" w:rsidP="005C47FA">
            <w:pPr>
              <w:jc w:val="both"/>
              <w:rPr>
                <w:lang w:val="es-NI"/>
              </w:rPr>
            </w:pPr>
            <w:r w:rsidRPr="005C47FA">
              <w:rPr>
                <w:lang w:val="es-NI"/>
              </w:rPr>
              <w:t xml:space="preserve">Se está coordinando con el Instituto Salvadoreño del Seguro Social (ISSS) la estandarización de la guía clínica de atención con el objeto de que se disponga de los mismos servicios en ambos prestadores de salud. </w:t>
            </w:r>
          </w:p>
          <w:p w14:paraId="7BAF0ED4" w14:textId="77777777" w:rsidR="005C47FA" w:rsidRPr="005C47FA" w:rsidRDefault="005C47FA" w:rsidP="005C47FA">
            <w:pPr>
              <w:jc w:val="both"/>
              <w:rPr>
                <w:lang w:val="es-NI"/>
              </w:rPr>
            </w:pPr>
            <w:r w:rsidRPr="005C47FA">
              <w:rPr>
                <w:lang w:val="es-NI"/>
              </w:rPr>
              <w:t xml:space="preserve">Se iniciará la implementación de estrategias innovadoras a fin de encontrar nuevas infecciones y para mantener la adherencia en las personas en terapia antirretroviral. </w:t>
            </w:r>
          </w:p>
          <w:p w14:paraId="05D8CBDD" w14:textId="77777777" w:rsidR="005C47FA" w:rsidRPr="005C47FA" w:rsidRDefault="005C47FA" w:rsidP="005C47FA">
            <w:pPr>
              <w:jc w:val="both"/>
              <w:rPr>
                <w:lang w:val="es-NI"/>
              </w:rPr>
            </w:pPr>
            <w:r w:rsidRPr="005C47FA">
              <w:rPr>
                <w:lang w:val="es-NI"/>
              </w:rPr>
              <w:t xml:space="preserve">Al realizar el análisis de la sostenibilidad de la respuesta al VIH en El Salvador se valoran múltiples aspectos, que nos permite identificar las brechas, retos y las oportunidades. La apuesta del país a través del PENM es utilizar los recursos disponibles al momento, tanto domésticos como provenientes de fuente externa, para invertir de forma catalítica en los componentes claves que permitan una mejor captación, detección, diagnóstico y tratamiento oportuno que permita disminuir la transmisión del VIH y abonar al logro de las metas 95-95-95. </w:t>
            </w:r>
          </w:p>
          <w:p w14:paraId="69117FAD" w14:textId="77777777" w:rsidR="005C47FA" w:rsidRPr="005C47FA" w:rsidRDefault="005C47FA" w:rsidP="005C47FA">
            <w:pPr>
              <w:jc w:val="both"/>
              <w:rPr>
                <w:rFonts w:cs="Arial"/>
                <w:color w:val="222222"/>
                <w:shd w:val="clear" w:color="auto" w:fill="FFFFFF"/>
                <w:lang w:val="es-NI"/>
              </w:rPr>
            </w:pPr>
            <w:r w:rsidRPr="005C47FA">
              <w:rPr>
                <w:lang w:val="es-NI"/>
              </w:rPr>
              <w:t xml:space="preserve">En el tema de Derechos humanos, en coordinación con las organizaciones de sociedad civil se trabaja en la reducción del estigma y discriminación a las personas con VIH y a las personas LGBTI a fin de que no pierdan su adherencia al tratamiento. </w:t>
            </w:r>
            <w:r w:rsidRPr="005C47FA">
              <w:rPr>
                <w:rFonts w:cs="Arial"/>
                <w:color w:val="222222"/>
                <w:shd w:val="clear" w:color="auto" w:fill="FFFFFF"/>
                <w:lang w:val="es-NI"/>
              </w:rPr>
              <w:t>Bajo este antecedente, esta propuesta reforzará el respeto de los Derechos Humanos, para lograr la accesibilidad a los servicios de salud así como capacitaciones al personal que laboran en las Clínicas de Vigilancia Centinela de Infecciones de Transmisión Sexual (VICITS), Centro de Atención Integral (CAI), Unidad Comunitaria de Salud Familiar (UCSF) y clínicas amigables reforzando la eliminación del estigma y discriminación, el enfoque de género para el abordaje diferenciado de cada población, con lo cual se pretende desarrollar confianza en los y las usuarias de los servicios y así lograr su atención, retención y acceso a tratamiento del VIH y otras ITS.</w:t>
            </w:r>
          </w:p>
          <w:p w14:paraId="5F5BF7FF" w14:textId="77777777" w:rsidR="005C47FA" w:rsidRPr="005C47FA" w:rsidRDefault="005C47FA" w:rsidP="005C47FA">
            <w:pPr>
              <w:jc w:val="both"/>
              <w:rPr>
                <w:rFonts w:cs="Arial"/>
                <w:lang w:val="es-NI"/>
              </w:rPr>
            </w:pPr>
            <w:r w:rsidRPr="005C47FA">
              <w:rPr>
                <w:rFonts w:cs="Arial"/>
                <w:color w:val="222222"/>
                <w:shd w:val="clear" w:color="auto" w:fill="FFFFFF"/>
                <w:lang w:val="es-NI"/>
              </w:rPr>
              <w:t>[Anexo 3.3]</w:t>
            </w:r>
          </w:p>
        </w:tc>
      </w:tr>
    </w:tbl>
    <w:p w14:paraId="215EF92E" w14:textId="77777777" w:rsidR="005C47FA" w:rsidRPr="005C47FA" w:rsidRDefault="005C47FA" w:rsidP="005C47FA">
      <w:pPr>
        <w:spacing w:after="0"/>
        <w:jc w:val="both"/>
        <w:rPr>
          <w:rFonts w:eastAsia="Times New Roman" w:cs="Arial"/>
          <w:lang w:val="es-NI"/>
        </w:rPr>
      </w:pPr>
    </w:p>
    <w:p w14:paraId="538A22C4" w14:textId="77777777" w:rsidR="005C47FA" w:rsidRPr="005C47FA" w:rsidRDefault="005C47FA" w:rsidP="005C47FA">
      <w:pPr>
        <w:numPr>
          <w:ilvl w:val="0"/>
          <w:numId w:val="22"/>
        </w:numPr>
        <w:spacing w:after="0" w:line="260" w:lineRule="atLeast"/>
        <w:contextualSpacing/>
        <w:jc w:val="both"/>
      </w:pPr>
      <w:r w:rsidRPr="005C47FA">
        <w:rPr>
          <w:lang w:bidi="es-ES"/>
        </w:rPr>
        <w:t xml:space="preserve">Subraye las </w:t>
      </w:r>
      <w:r w:rsidRPr="005C47FA">
        <w:rPr>
          <w:b/>
          <w:lang w:bidi="es-ES"/>
        </w:rPr>
        <w:t>dificultades</w:t>
      </w:r>
      <w:r w:rsidRPr="005C47FA">
        <w:rPr>
          <w:lang w:bidi="es-ES"/>
        </w:rPr>
        <w:t xml:space="preserve"> relacionadas con la sostenibilidad (refiérase a la lista indicativa que se puede encuentra en las </w:t>
      </w:r>
      <w:r w:rsidRPr="005C47FA">
        <w:rPr>
          <w:i/>
          <w:lang w:bidi="es-ES"/>
        </w:rPr>
        <w:t>Instrucciones</w:t>
      </w:r>
      <w:r w:rsidRPr="005C47FA">
        <w:rPr>
          <w:lang w:bidi="es-ES"/>
        </w:rPr>
        <w:t>). Especifique cómo va a hacerse frente a dichas dificultades con esta solicitud de financiamiento o mediante otras fuentes. Si ya se han detallado en la estrategia nacional, el plan de sostenibilidad o de transición u otros documentos que se hayan enviado junto con la solicitud de financiamiento, haga referencia a las secciones correspondientes de dichos documentos.</w:t>
      </w:r>
    </w:p>
    <w:p w14:paraId="756496DC" w14:textId="77777777" w:rsidR="005C47FA" w:rsidRPr="005C47FA" w:rsidRDefault="005C47FA" w:rsidP="005C47FA">
      <w:pPr>
        <w:spacing w:after="0" w:line="260" w:lineRule="atLeast"/>
        <w:ind w:left="360"/>
        <w:contextualSpacing/>
        <w:jc w:val="both"/>
      </w:pPr>
    </w:p>
    <w:tbl>
      <w:tblPr>
        <w:tblStyle w:val="TableGrid"/>
        <w:tblW w:w="10456" w:type="dxa"/>
        <w:tblLook w:val="04A0" w:firstRow="1" w:lastRow="0" w:firstColumn="1" w:lastColumn="0" w:noHBand="0" w:noVBand="1"/>
      </w:tblPr>
      <w:tblGrid>
        <w:gridCol w:w="10456"/>
      </w:tblGrid>
      <w:tr w:rsidR="005C47FA" w:rsidRPr="005C47FA" w14:paraId="246C8E95" w14:textId="77777777" w:rsidTr="00D47417">
        <w:tc>
          <w:tcPr>
            <w:tcW w:w="10456" w:type="dxa"/>
          </w:tcPr>
          <w:p w14:paraId="2EFC7813" w14:textId="77777777" w:rsidR="005C47FA" w:rsidRPr="005C47FA" w:rsidRDefault="005C47FA" w:rsidP="005C47FA">
            <w:pPr>
              <w:autoSpaceDE w:val="0"/>
              <w:autoSpaceDN w:val="0"/>
              <w:adjustRightInd w:val="0"/>
              <w:spacing w:after="0" w:line="240" w:lineRule="auto"/>
              <w:jc w:val="both"/>
              <w:rPr>
                <w:lang w:bidi="es-ES"/>
              </w:rPr>
            </w:pPr>
            <w:r w:rsidRPr="005C47FA">
              <w:rPr>
                <w:lang w:bidi="es-ES"/>
              </w:rPr>
              <w:t>La sostenibilidad depende tanto de contar con los recursos financieros necesarios y utilizarlos</w:t>
            </w:r>
          </w:p>
          <w:p w14:paraId="26973803" w14:textId="77777777" w:rsidR="005C47FA" w:rsidRPr="005C47FA" w:rsidRDefault="005C47FA" w:rsidP="005C47FA">
            <w:pPr>
              <w:autoSpaceDE w:val="0"/>
              <w:autoSpaceDN w:val="0"/>
              <w:adjustRightInd w:val="0"/>
              <w:spacing w:after="0" w:line="240" w:lineRule="auto"/>
              <w:jc w:val="both"/>
              <w:rPr>
                <w:lang w:bidi="es-ES"/>
              </w:rPr>
            </w:pPr>
            <w:r w:rsidRPr="005C47FA">
              <w:rPr>
                <w:lang w:bidi="es-ES"/>
              </w:rPr>
              <w:t>de la manera más eficiente posible, como también de asegurar que toda persona con VIH se encuentra en tratamiento y es adherente al mismo, para así reducir la probabilidad de transmisión del VIH y consecuentemente reducir el número de nuevas infecciones. Actualmente se identifica dentro de las barreras para la sostenibilidad lo siguientes puntos:</w:t>
            </w:r>
          </w:p>
          <w:p w14:paraId="124C8D08" w14:textId="77777777" w:rsidR="005C47FA" w:rsidRPr="005C47FA" w:rsidRDefault="005C47FA" w:rsidP="005C47FA">
            <w:pPr>
              <w:numPr>
                <w:ilvl w:val="0"/>
                <w:numId w:val="75"/>
              </w:numPr>
              <w:autoSpaceDE w:val="0"/>
              <w:autoSpaceDN w:val="0"/>
              <w:adjustRightInd w:val="0"/>
              <w:spacing w:after="0" w:line="240" w:lineRule="auto"/>
              <w:contextualSpacing/>
              <w:jc w:val="both"/>
              <w:rPr>
                <w:lang w:bidi="es-ES"/>
              </w:rPr>
            </w:pPr>
            <w:r w:rsidRPr="005C47FA">
              <w:rPr>
                <w:lang w:bidi="es-ES"/>
              </w:rPr>
              <w:t>El diseño y asignación presupuestaria se basa en el histórico de asignación presupuestaria.</w:t>
            </w:r>
          </w:p>
          <w:p w14:paraId="1DCB1964" w14:textId="77777777" w:rsidR="005C47FA" w:rsidRPr="005C47FA" w:rsidRDefault="005C47FA" w:rsidP="005C47FA">
            <w:pPr>
              <w:numPr>
                <w:ilvl w:val="0"/>
                <w:numId w:val="75"/>
              </w:numPr>
              <w:autoSpaceDE w:val="0"/>
              <w:autoSpaceDN w:val="0"/>
              <w:adjustRightInd w:val="0"/>
              <w:spacing w:after="0" w:line="240" w:lineRule="auto"/>
              <w:contextualSpacing/>
              <w:jc w:val="both"/>
              <w:rPr>
                <w:dstrike/>
                <w:lang w:bidi="es-ES"/>
              </w:rPr>
            </w:pPr>
            <w:r w:rsidRPr="005C47FA">
              <w:rPr>
                <w:lang w:bidi="es-ES"/>
              </w:rPr>
              <w:t xml:space="preserve">En el presupuesto general de la nación no hay una línea exclusiva de financiamiento para el abordaje </w:t>
            </w:r>
          </w:p>
          <w:p w14:paraId="1399CE9F" w14:textId="77777777" w:rsidR="005C47FA" w:rsidRPr="005C47FA" w:rsidRDefault="005C47FA" w:rsidP="005C47FA">
            <w:pPr>
              <w:numPr>
                <w:ilvl w:val="0"/>
                <w:numId w:val="75"/>
              </w:numPr>
              <w:autoSpaceDE w:val="0"/>
              <w:autoSpaceDN w:val="0"/>
              <w:adjustRightInd w:val="0"/>
              <w:spacing w:after="0" w:line="240" w:lineRule="auto"/>
              <w:contextualSpacing/>
              <w:jc w:val="both"/>
              <w:rPr>
                <w:lang w:bidi="es-ES"/>
              </w:rPr>
            </w:pPr>
            <w:r w:rsidRPr="005C47FA">
              <w:rPr>
                <w:lang w:bidi="es-ES"/>
              </w:rPr>
              <w:lastRenderedPageBreak/>
              <w:t>Se desconoce la situación de trabajo en VIH que las alcaldías están realizando.</w:t>
            </w:r>
          </w:p>
          <w:p w14:paraId="0E987392" w14:textId="77777777" w:rsidR="005C47FA" w:rsidRPr="005C47FA" w:rsidRDefault="005C47FA" w:rsidP="005C47FA">
            <w:pPr>
              <w:autoSpaceDE w:val="0"/>
              <w:autoSpaceDN w:val="0"/>
              <w:adjustRightInd w:val="0"/>
              <w:spacing w:after="0" w:line="240" w:lineRule="auto"/>
              <w:ind w:left="720"/>
              <w:contextualSpacing/>
              <w:jc w:val="both"/>
              <w:rPr>
                <w:lang w:bidi="es-ES"/>
              </w:rPr>
            </w:pPr>
          </w:p>
          <w:p w14:paraId="0996584C" w14:textId="77777777" w:rsidR="005C47FA" w:rsidRPr="005C47FA" w:rsidRDefault="005C47FA" w:rsidP="005C47FA">
            <w:pPr>
              <w:autoSpaceDE w:val="0"/>
              <w:autoSpaceDN w:val="0"/>
              <w:adjustRightInd w:val="0"/>
              <w:spacing w:before="120" w:line="240" w:lineRule="auto"/>
              <w:jc w:val="both"/>
              <w:rPr>
                <w:b/>
                <w:lang w:val="es-NI"/>
              </w:rPr>
            </w:pPr>
            <w:r w:rsidRPr="005C47FA">
              <w:rPr>
                <w:b/>
                <w:lang w:val="es-NI"/>
              </w:rPr>
              <w:t>Sostenibilidad Financiera</w:t>
            </w:r>
          </w:p>
          <w:p w14:paraId="67C60E2F" w14:textId="77777777" w:rsidR="005C47FA" w:rsidRPr="005C47FA" w:rsidRDefault="005C47FA" w:rsidP="005C47FA">
            <w:pPr>
              <w:autoSpaceDE w:val="0"/>
              <w:autoSpaceDN w:val="0"/>
              <w:adjustRightInd w:val="0"/>
              <w:spacing w:line="240" w:lineRule="auto"/>
              <w:jc w:val="both"/>
              <w:rPr>
                <w:lang w:bidi="es-ES"/>
              </w:rPr>
            </w:pPr>
            <w:r w:rsidRPr="005C47FA">
              <w:rPr>
                <w:lang w:bidi="es-ES"/>
              </w:rPr>
              <w:t>El país ha trabajado una estrategia de sostenibilidad que busca fortalecer los recursos financieros para las diferentes acciones de la respuesta nacional, entre ellas: técnicas de análisis financiero, maximización de impacto y principios de economía y gestión de la salud para la administración estratégica de las finanzas relacionadas con el VIH/sida, la movilización de recursos internos, búsqueda de eficiencias técnicas, asignación oportuna de recursos, presupuesto basados en resultados, selección de intervenciones costo-efectivas, monitoreo del gasto, estrategias para la reducción de costos,  para asegurar los recursos financieros necesarios y una estrategia de financiamiento de largo plazo para cumplir de manera eficaz y eficiente las metas y objetivos nacionales de prevención, atención y tratamiento del VIH/sida.</w:t>
            </w:r>
          </w:p>
          <w:p w14:paraId="341B1238" w14:textId="77777777" w:rsidR="005C47FA" w:rsidRPr="005C47FA" w:rsidRDefault="005C47FA" w:rsidP="005C47FA">
            <w:pPr>
              <w:autoSpaceDE w:val="0"/>
              <w:autoSpaceDN w:val="0"/>
              <w:adjustRightInd w:val="0"/>
              <w:spacing w:after="0" w:line="240" w:lineRule="auto"/>
              <w:ind w:left="29"/>
              <w:jc w:val="both"/>
              <w:rPr>
                <w:lang w:bidi="es-ES"/>
              </w:rPr>
            </w:pPr>
            <w:r w:rsidRPr="005C47FA">
              <w:rPr>
                <w:lang w:bidi="es-ES"/>
              </w:rPr>
              <w:t>Se aspira que el financiamiento para el VIH sea parte de las prioridades del plan de desarrollo del gobierno para el período 2022-2026, incidir en alcaldías de los departamentos donde hay mayor prevalencia de VIH estableciendo un mecanismo de diálogo político para abordar el financiamiento específico para el VIH, se requiere mucho compromiso de las organizaciones de la sociedad civil para incidir en los tomadores de decisiones a nivel legislativo y del ejecutivo (Ministerio de Hacienda) para que se garantice el presupuesto asignado de los fondos nacionales para cubrir las necesidades actuales y el aumento de la cobertura requerido.</w:t>
            </w:r>
          </w:p>
          <w:p w14:paraId="0D96AC76" w14:textId="77777777" w:rsidR="005C47FA" w:rsidRPr="005C47FA" w:rsidRDefault="005C47FA" w:rsidP="005C47FA">
            <w:pPr>
              <w:autoSpaceDE w:val="0"/>
              <w:autoSpaceDN w:val="0"/>
              <w:adjustRightInd w:val="0"/>
              <w:spacing w:before="120" w:line="240" w:lineRule="auto"/>
              <w:jc w:val="both"/>
              <w:rPr>
                <w:b/>
                <w:lang w:val="es-NI"/>
              </w:rPr>
            </w:pPr>
            <w:r w:rsidRPr="005C47FA">
              <w:rPr>
                <w:b/>
                <w:lang w:val="es-NI"/>
              </w:rPr>
              <w:t>Sostenibilidad Programática</w:t>
            </w:r>
          </w:p>
          <w:p w14:paraId="6862F498" w14:textId="77777777" w:rsidR="005C47FA" w:rsidRPr="005C47FA" w:rsidRDefault="005C47FA" w:rsidP="005C47FA">
            <w:pPr>
              <w:autoSpaceDE w:val="0"/>
              <w:autoSpaceDN w:val="0"/>
              <w:adjustRightInd w:val="0"/>
              <w:spacing w:before="120" w:line="240" w:lineRule="auto"/>
              <w:jc w:val="both"/>
              <w:rPr>
                <w:lang w:val="es-SV" w:bidi="es-ES"/>
              </w:rPr>
            </w:pPr>
            <w:r w:rsidRPr="005C47FA">
              <w:rPr>
                <w:lang w:val="es-SV" w:bidi="es-ES"/>
              </w:rPr>
              <w:t xml:space="preserve">En este ámbito se requiere de acciones relacionadas con la planificación, gestión y fortalecimiento de condiciones para la entrega de los servicios relacionados de VIH/sida en las instalaciones de salud y en el nivel local, para que produzcan impacto, sean eficientes e incorporen en la práctica, innovaciones para cerrar brechas en la cascada de atención en VIH/sida, tanto en lo relacionado con las intervenciones preventivas, de atención y tratamiento, como también de la organización de los servicios para facilitar el acceso a intervenciones seleccionadas en el nivel local y reducir la carga innecesaria que podría generar en el segundo y tercer nivel, la atención de pacientes estables que acuden por intervenciones no clínicas. </w:t>
            </w:r>
          </w:p>
          <w:p w14:paraId="374E613B" w14:textId="77777777" w:rsidR="005C47FA" w:rsidRPr="005C47FA" w:rsidRDefault="005C47FA" w:rsidP="005C47FA">
            <w:pPr>
              <w:autoSpaceDE w:val="0"/>
              <w:autoSpaceDN w:val="0"/>
              <w:adjustRightInd w:val="0"/>
              <w:spacing w:before="120" w:line="240" w:lineRule="auto"/>
              <w:jc w:val="both"/>
              <w:rPr>
                <w:lang w:val="es-SV" w:bidi="es-ES"/>
              </w:rPr>
            </w:pPr>
            <w:r w:rsidRPr="005C47FA">
              <w:rPr>
                <w:lang w:val="es-SV" w:bidi="es-ES"/>
              </w:rPr>
              <w:t>Esto conlleva también el fortalecimiento de la cadena de suministros médicos y medicamentos, laboratorio, infraestructura de carga viral y disponibilidad de datos sobre la epidemia del VIH/sida y sus efectos en los resultados de salud; estimaciones del tamaño de las poblaciones clave, las PVVS, la incidencia del VIH, la prevalencia del VIH, la carga viral y las tasas de mortalidad relacionadas con el VIH.</w:t>
            </w:r>
          </w:p>
          <w:p w14:paraId="54F4F17E" w14:textId="77777777" w:rsidR="005C47FA" w:rsidRPr="005C47FA" w:rsidRDefault="005C47FA" w:rsidP="005C47FA">
            <w:pPr>
              <w:autoSpaceDE w:val="0"/>
              <w:autoSpaceDN w:val="0"/>
              <w:adjustRightInd w:val="0"/>
              <w:spacing w:before="120" w:line="240" w:lineRule="auto"/>
              <w:jc w:val="both"/>
              <w:rPr>
                <w:lang w:val="es-SV" w:bidi="es-ES"/>
              </w:rPr>
            </w:pPr>
            <w:r w:rsidRPr="005C47FA">
              <w:rPr>
                <w:lang w:val="es-SV" w:bidi="es-ES"/>
              </w:rPr>
              <w:t>Actualmente están diseñadas acciones en el Plan Estratégico Nacional Multisectorial que corresponden a poblaciones clave;  acciones de prevención en población general (condones, ITS, CPV, PTMI, medios de comunicación masiva, maestros en el sistema escolar y profilaxis de TB), acciones de prevención en cuidados de salud (sangre segura, inyecciones médicas, PPE); servicios de cuidado y tratamiento: tratamiento antirretroviral, servicios de atención y costos de servicios para atención de infecciones oportunistas; acciones de entorno favorable y acciones de políticas, monitoreo y evaluación, administración e investigación. Fuente: Plan Estratégico Nacional Multisectorial 2016-2021</w:t>
            </w:r>
          </w:p>
          <w:p w14:paraId="53E15F8A" w14:textId="77777777" w:rsidR="005C47FA" w:rsidRPr="005C47FA" w:rsidRDefault="005C47FA" w:rsidP="005C47FA">
            <w:pPr>
              <w:autoSpaceDE w:val="0"/>
              <w:autoSpaceDN w:val="0"/>
              <w:adjustRightInd w:val="0"/>
              <w:spacing w:before="120" w:line="240" w:lineRule="auto"/>
              <w:jc w:val="both"/>
              <w:rPr>
                <w:lang w:val="es-SV" w:bidi="es-ES"/>
              </w:rPr>
            </w:pPr>
            <w:r w:rsidRPr="005C47FA">
              <w:rPr>
                <w:lang w:val="es-SV" w:bidi="es-ES"/>
              </w:rPr>
              <w:t>Dentro de las principales barreras se identifican:</w:t>
            </w:r>
          </w:p>
          <w:p w14:paraId="081B1923" w14:textId="77777777" w:rsidR="005C47FA" w:rsidRPr="005C47FA" w:rsidRDefault="005C47FA" w:rsidP="005C47FA">
            <w:pPr>
              <w:numPr>
                <w:ilvl w:val="0"/>
                <w:numId w:val="35"/>
              </w:numPr>
              <w:autoSpaceDE w:val="0"/>
              <w:autoSpaceDN w:val="0"/>
              <w:adjustRightInd w:val="0"/>
              <w:spacing w:before="120" w:line="240" w:lineRule="auto"/>
              <w:jc w:val="both"/>
              <w:rPr>
                <w:lang w:val="es-SV" w:bidi="es-ES"/>
              </w:rPr>
            </w:pPr>
            <w:r w:rsidRPr="005C47FA">
              <w:rPr>
                <w:lang w:val="es-SV" w:bidi="es-ES"/>
              </w:rPr>
              <w:t xml:space="preserve">Servicios de salud centralizados en 20 Hospitales. </w:t>
            </w:r>
          </w:p>
          <w:p w14:paraId="12A00BB0" w14:textId="77777777" w:rsidR="005C47FA" w:rsidRPr="005C47FA" w:rsidRDefault="005C47FA" w:rsidP="005C47FA">
            <w:pPr>
              <w:numPr>
                <w:ilvl w:val="0"/>
                <w:numId w:val="35"/>
              </w:numPr>
              <w:autoSpaceDE w:val="0"/>
              <w:autoSpaceDN w:val="0"/>
              <w:adjustRightInd w:val="0"/>
              <w:spacing w:before="120" w:line="240" w:lineRule="auto"/>
              <w:jc w:val="both"/>
              <w:rPr>
                <w:lang w:val="es-SV" w:bidi="es-ES"/>
              </w:rPr>
            </w:pPr>
            <w:r w:rsidRPr="005C47FA">
              <w:rPr>
                <w:lang w:val="es-SV" w:bidi="es-ES"/>
              </w:rPr>
              <w:t>No hay diferenciación de servicios de salud (horarios), CV y CD4 cada 6 meses.</w:t>
            </w:r>
          </w:p>
          <w:p w14:paraId="20ED2CB7" w14:textId="77777777" w:rsidR="005C47FA" w:rsidRPr="005C47FA" w:rsidRDefault="005C47FA" w:rsidP="005C47FA">
            <w:pPr>
              <w:numPr>
                <w:ilvl w:val="0"/>
                <w:numId w:val="35"/>
              </w:numPr>
              <w:autoSpaceDE w:val="0"/>
              <w:autoSpaceDN w:val="0"/>
              <w:adjustRightInd w:val="0"/>
              <w:spacing w:before="120" w:line="240" w:lineRule="auto"/>
              <w:jc w:val="both"/>
              <w:rPr>
                <w:lang w:val="es-SV" w:bidi="es-ES"/>
              </w:rPr>
            </w:pPr>
            <w:r w:rsidRPr="005C47FA">
              <w:rPr>
                <w:lang w:val="es-SV" w:bidi="es-ES"/>
              </w:rPr>
              <w:t>Inicio de TAR con menos de 500 CD4.</w:t>
            </w:r>
          </w:p>
          <w:p w14:paraId="45D930C9" w14:textId="77777777" w:rsidR="005C47FA" w:rsidRPr="005C47FA" w:rsidRDefault="005C47FA" w:rsidP="005C47FA">
            <w:pPr>
              <w:numPr>
                <w:ilvl w:val="0"/>
                <w:numId w:val="35"/>
              </w:numPr>
              <w:autoSpaceDE w:val="0"/>
              <w:autoSpaceDN w:val="0"/>
              <w:adjustRightInd w:val="0"/>
              <w:spacing w:before="120" w:line="240" w:lineRule="auto"/>
              <w:jc w:val="both"/>
              <w:rPr>
                <w:lang w:val="es-SV" w:bidi="es-ES"/>
              </w:rPr>
            </w:pPr>
            <w:r w:rsidRPr="005C47FA">
              <w:rPr>
                <w:lang w:val="es-SV" w:bidi="es-ES"/>
              </w:rPr>
              <w:t xml:space="preserve">La dispensación de ARV solamente está confinada a Hospitales. El ISSS tiene servicios de atención centralizados en 3 Hospitales. </w:t>
            </w:r>
          </w:p>
          <w:p w14:paraId="383173B9" w14:textId="77777777" w:rsidR="005C47FA" w:rsidRPr="005C47FA" w:rsidRDefault="005C47FA" w:rsidP="005C47FA">
            <w:pPr>
              <w:numPr>
                <w:ilvl w:val="0"/>
                <w:numId w:val="35"/>
              </w:numPr>
              <w:autoSpaceDE w:val="0"/>
              <w:autoSpaceDN w:val="0"/>
              <w:adjustRightInd w:val="0"/>
              <w:spacing w:before="120" w:line="240" w:lineRule="auto"/>
              <w:jc w:val="both"/>
              <w:rPr>
                <w:lang w:val="es-SV" w:bidi="es-ES"/>
              </w:rPr>
            </w:pPr>
            <w:r w:rsidRPr="005C47FA">
              <w:rPr>
                <w:lang w:val="es-SV" w:bidi="es-ES"/>
              </w:rPr>
              <w:t>No están homologados los esquemas de atención entre el ISSS y el MINSAL.</w:t>
            </w:r>
          </w:p>
          <w:p w14:paraId="5C315ED7" w14:textId="77777777" w:rsidR="005C47FA" w:rsidRPr="005C47FA" w:rsidRDefault="005C47FA" w:rsidP="005C47FA">
            <w:pPr>
              <w:numPr>
                <w:ilvl w:val="0"/>
                <w:numId w:val="35"/>
              </w:numPr>
              <w:autoSpaceDE w:val="0"/>
              <w:autoSpaceDN w:val="0"/>
              <w:adjustRightInd w:val="0"/>
              <w:spacing w:before="120" w:line="240" w:lineRule="auto"/>
              <w:jc w:val="both"/>
              <w:rPr>
                <w:lang w:val="es-SV" w:bidi="es-ES"/>
              </w:rPr>
            </w:pPr>
            <w:r w:rsidRPr="005C47FA">
              <w:rPr>
                <w:lang w:val="es-SV" w:bidi="es-ES"/>
              </w:rPr>
              <w:t xml:space="preserve">En el ISSS en el caso de PPE, la receta tiene que ser firmada por </w:t>
            </w:r>
            <w:proofErr w:type="spellStart"/>
            <w:r w:rsidRPr="005C47FA">
              <w:rPr>
                <w:lang w:val="es-SV" w:bidi="es-ES"/>
              </w:rPr>
              <w:t>infectólogo</w:t>
            </w:r>
            <w:proofErr w:type="spellEnd"/>
            <w:r w:rsidRPr="005C47FA">
              <w:rPr>
                <w:lang w:val="es-SV" w:bidi="es-ES"/>
              </w:rPr>
              <w:t>.</w:t>
            </w:r>
          </w:p>
          <w:p w14:paraId="6D1047C0" w14:textId="77777777" w:rsidR="005C47FA" w:rsidRPr="005C47FA" w:rsidRDefault="005C47FA" w:rsidP="005C47FA">
            <w:pPr>
              <w:autoSpaceDE w:val="0"/>
              <w:autoSpaceDN w:val="0"/>
              <w:adjustRightInd w:val="0"/>
              <w:spacing w:before="120" w:line="240" w:lineRule="auto"/>
              <w:jc w:val="both"/>
              <w:rPr>
                <w:lang w:val="es-SV" w:bidi="es-ES"/>
              </w:rPr>
            </w:pPr>
            <w:r w:rsidRPr="005C47FA">
              <w:rPr>
                <w:lang w:val="es-SV" w:bidi="es-ES"/>
              </w:rPr>
              <w:t>Por lo que se busca con el plan de acción de sostenibilidad:</w:t>
            </w:r>
          </w:p>
          <w:p w14:paraId="249D954D" w14:textId="77777777" w:rsidR="005C47FA" w:rsidRPr="005C47FA" w:rsidRDefault="005C47FA" w:rsidP="005C47FA">
            <w:pPr>
              <w:numPr>
                <w:ilvl w:val="0"/>
                <w:numId w:val="36"/>
              </w:numPr>
              <w:autoSpaceDE w:val="0"/>
              <w:autoSpaceDN w:val="0"/>
              <w:adjustRightInd w:val="0"/>
              <w:spacing w:before="120" w:line="240" w:lineRule="auto"/>
              <w:jc w:val="both"/>
              <w:rPr>
                <w:lang w:val="es-SV" w:bidi="es-ES"/>
              </w:rPr>
            </w:pPr>
            <w:r w:rsidRPr="005C47FA">
              <w:rPr>
                <w:lang w:val="es-SV" w:bidi="es-ES"/>
              </w:rPr>
              <w:t>Revisión de medio término del PENM 2022-2026 para la modificación o rediseño de acciones, para priorizar aquellas de mayor impacto en el control de la epidemia.</w:t>
            </w:r>
          </w:p>
          <w:p w14:paraId="4C756AE3" w14:textId="77777777" w:rsidR="005C47FA" w:rsidRPr="005C47FA" w:rsidRDefault="005C47FA" w:rsidP="005C47FA">
            <w:pPr>
              <w:numPr>
                <w:ilvl w:val="0"/>
                <w:numId w:val="36"/>
              </w:numPr>
              <w:autoSpaceDE w:val="0"/>
              <w:autoSpaceDN w:val="0"/>
              <w:adjustRightInd w:val="0"/>
              <w:spacing w:before="120" w:line="240" w:lineRule="auto"/>
              <w:jc w:val="both"/>
              <w:rPr>
                <w:lang w:val="es-SV" w:bidi="es-ES"/>
              </w:rPr>
            </w:pPr>
            <w:r w:rsidRPr="005C47FA">
              <w:rPr>
                <w:lang w:val="es-SV" w:bidi="es-ES"/>
              </w:rPr>
              <w:lastRenderedPageBreak/>
              <w:t>Inclusión en el nuevo PENM 2022-2026 acciones priorizadas de mayor impacto.</w:t>
            </w:r>
          </w:p>
          <w:p w14:paraId="4F925DFB" w14:textId="77777777" w:rsidR="005C47FA" w:rsidRPr="005C47FA" w:rsidRDefault="005C47FA" w:rsidP="005C47FA">
            <w:pPr>
              <w:numPr>
                <w:ilvl w:val="0"/>
                <w:numId w:val="36"/>
              </w:numPr>
              <w:autoSpaceDE w:val="0"/>
              <w:autoSpaceDN w:val="0"/>
              <w:adjustRightInd w:val="0"/>
              <w:spacing w:before="120" w:line="240" w:lineRule="auto"/>
              <w:jc w:val="both"/>
              <w:rPr>
                <w:lang w:val="es-SV" w:bidi="es-ES"/>
              </w:rPr>
            </w:pPr>
            <w:r w:rsidRPr="005C47FA">
              <w:rPr>
                <w:lang w:val="es-SV" w:bidi="es-ES"/>
              </w:rPr>
              <w:t xml:space="preserve">Desarrollo de una adenda al PENM para integrar completamente la estrategia de Test &amp; </w:t>
            </w:r>
            <w:proofErr w:type="spellStart"/>
            <w:r w:rsidRPr="005C47FA">
              <w:rPr>
                <w:lang w:val="es-SV" w:bidi="es-ES"/>
              </w:rPr>
              <w:t>Start</w:t>
            </w:r>
            <w:proofErr w:type="spellEnd"/>
            <w:r w:rsidRPr="005C47FA">
              <w:rPr>
                <w:lang w:val="es-SV" w:bidi="es-ES"/>
              </w:rPr>
              <w:t xml:space="preserve"> y priorizar acciones de mayor impacto.</w:t>
            </w:r>
          </w:p>
          <w:p w14:paraId="3D2C4604" w14:textId="77777777" w:rsidR="005C47FA" w:rsidRPr="005C47FA" w:rsidRDefault="005C47FA" w:rsidP="005C47FA">
            <w:pPr>
              <w:numPr>
                <w:ilvl w:val="0"/>
                <w:numId w:val="36"/>
              </w:numPr>
              <w:autoSpaceDE w:val="0"/>
              <w:autoSpaceDN w:val="0"/>
              <w:adjustRightInd w:val="0"/>
              <w:spacing w:before="120" w:line="240" w:lineRule="auto"/>
              <w:jc w:val="both"/>
              <w:rPr>
                <w:lang w:val="es-SV" w:bidi="es-ES"/>
              </w:rPr>
            </w:pPr>
            <w:r w:rsidRPr="005C47FA">
              <w:rPr>
                <w:lang w:val="es-SV" w:bidi="es-ES"/>
              </w:rPr>
              <w:t>Ampliación de la cobertura de atención de 20 a 30 Hospitales y la dispensación a UCSF especializadas que sean elegidas por sus capacidades.</w:t>
            </w:r>
          </w:p>
          <w:p w14:paraId="6686ED81" w14:textId="77777777" w:rsidR="005C47FA" w:rsidRPr="005C47FA" w:rsidRDefault="005C47FA" w:rsidP="005C47FA">
            <w:pPr>
              <w:numPr>
                <w:ilvl w:val="0"/>
                <w:numId w:val="36"/>
              </w:numPr>
              <w:autoSpaceDE w:val="0"/>
              <w:autoSpaceDN w:val="0"/>
              <w:adjustRightInd w:val="0"/>
              <w:spacing w:before="120" w:line="240" w:lineRule="auto"/>
              <w:jc w:val="both"/>
              <w:rPr>
                <w:lang w:val="es-SV" w:bidi="es-ES"/>
              </w:rPr>
            </w:pPr>
            <w:r w:rsidRPr="005C47FA">
              <w:rPr>
                <w:lang w:val="es-SV" w:bidi="es-ES"/>
              </w:rPr>
              <w:t xml:space="preserve">Modificar el Listado Institucional de Medicamentos Esenciales LIME para dispensación en diferentes niveles de atención y entrega de medicamentos de acuerdo con modelos diferenciados de atención y el involucramiento de las </w:t>
            </w:r>
            <w:proofErr w:type="spellStart"/>
            <w:r w:rsidRPr="005C47FA">
              <w:rPr>
                <w:lang w:val="es-SV" w:bidi="es-ES"/>
              </w:rPr>
              <w:t>ONG´s</w:t>
            </w:r>
            <w:proofErr w:type="spellEnd"/>
            <w:r w:rsidRPr="005C47FA">
              <w:rPr>
                <w:lang w:val="es-SV" w:bidi="es-ES"/>
              </w:rPr>
              <w:t>.</w:t>
            </w:r>
          </w:p>
          <w:p w14:paraId="615256D6" w14:textId="77777777" w:rsidR="005C47FA" w:rsidRPr="005C47FA" w:rsidRDefault="005C47FA" w:rsidP="005C47FA">
            <w:pPr>
              <w:numPr>
                <w:ilvl w:val="0"/>
                <w:numId w:val="36"/>
              </w:numPr>
              <w:autoSpaceDE w:val="0"/>
              <w:autoSpaceDN w:val="0"/>
              <w:adjustRightInd w:val="0"/>
              <w:spacing w:after="0" w:line="240" w:lineRule="auto"/>
              <w:jc w:val="both"/>
              <w:rPr>
                <w:lang w:val="es-SV" w:bidi="es-ES"/>
              </w:rPr>
            </w:pPr>
            <w:r w:rsidRPr="005C47FA">
              <w:rPr>
                <w:lang w:val="es-SV" w:bidi="es-ES"/>
              </w:rPr>
              <w:t>Monitoreo de la resistencia a los ARV para evaluar el fracaso del tratamiento y guiar la terapia antirretroviral efectiva.</w:t>
            </w:r>
          </w:p>
          <w:p w14:paraId="2EDA3BF1" w14:textId="77777777" w:rsidR="005C47FA" w:rsidRPr="005C47FA" w:rsidRDefault="005C47FA" w:rsidP="005C47FA">
            <w:pPr>
              <w:spacing w:before="120"/>
              <w:jc w:val="both"/>
              <w:rPr>
                <w:b/>
                <w:bCs/>
                <w:lang w:val="es-NI"/>
              </w:rPr>
            </w:pPr>
            <w:r w:rsidRPr="005C47FA">
              <w:rPr>
                <w:b/>
                <w:bCs/>
                <w:lang w:val="es-NI"/>
              </w:rPr>
              <w:t xml:space="preserve">Sistemas de salud y comunitarios </w:t>
            </w:r>
          </w:p>
          <w:p w14:paraId="053A4B1F" w14:textId="77777777" w:rsidR="005C47FA" w:rsidRPr="005C47FA" w:rsidRDefault="005C47FA" w:rsidP="005C47FA">
            <w:pPr>
              <w:spacing w:before="120"/>
              <w:jc w:val="both"/>
              <w:rPr>
                <w:lang w:val="es-NI"/>
              </w:rPr>
            </w:pPr>
            <w:r w:rsidRPr="005C47FA">
              <w:rPr>
                <w:lang w:val="es-NI"/>
              </w:rPr>
              <w:t>Actualmente existe un solo modelo de atención para Personas con VIH, pero la OMS propone diferenciar la atención a pacientes estables y priorizar en zonas de alta carga de VIH.</w:t>
            </w:r>
          </w:p>
          <w:p w14:paraId="28608B14" w14:textId="77777777" w:rsidR="005C47FA" w:rsidRPr="005C47FA" w:rsidRDefault="005C47FA" w:rsidP="005C47FA">
            <w:pPr>
              <w:spacing w:before="120"/>
              <w:jc w:val="both"/>
              <w:rPr>
                <w:lang w:val="es-NI"/>
              </w:rPr>
            </w:pPr>
            <w:r w:rsidRPr="005C47FA">
              <w:rPr>
                <w:lang w:val="es-NI"/>
              </w:rPr>
              <w:t>El sistema de información indica las zonas de alta carga de enfermedad. Existen esfuerzos piloto como la Clínica de Atención Integral de Santa Ana, que han comenzado a dispensar ARV en la localidad (de forma no oficial) a pacientes estables.</w:t>
            </w:r>
          </w:p>
          <w:p w14:paraId="1AC43531" w14:textId="77777777" w:rsidR="005C47FA" w:rsidRPr="005C47FA" w:rsidRDefault="005C47FA" w:rsidP="005C47FA">
            <w:pPr>
              <w:spacing w:before="120"/>
              <w:jc w:val="both"/>
              <w:rPr>
                <w:lang w:val="es-NI"/>
              </w:rPr>
            </w:pPr>
            <w:r w:rsidRPr="005C47FA">
              <w:rPr>
                <w:lang w:val="es-NI"/>
              </w:rPr>
              <w:t>Se identifican la siguiente situación actual:</w:t>
            </w:r>
          </w:p>
          <w:p w14:paraId="743951BE" w14:textId="77777777" w:rsidR="005C47FA" w:rsidRPr="005C47FA" w:rsidRDefault="005C47FA" w:rsidP="005C47FA">
            <w:pPr>
              <w:spacing w:before="120"/>
              <w:jc w:val="both"/>
              <w:rPr>
                <w:lang w:val="es-NI"/>
              </w:rPr>
            </w:pPr>
            <w:r w:rsidRPr="005C47FA">
              <w:rPr>
                <w:lang w:val="es-NI"/>
              </w:rPr>
              <w:t>El MINSAL adquiere medicamentos antirretrovirales bajo el mecanismo del Fondo Estratégico de OPS,  los insumos y reactivos de laboratorio se compran a través del proceso de compra del MINSAL, bajo las directrices de la LACAP.</w:t>
            </w:r>
          </w:p>
          <w:p w14:paraId="5601E806" w14:textId="77777777" w:rsidR="005C47FA" w:rsidRPr="005C47FA" w:rsidRDefault="005C47FA" w:rsidP="005C47FA">
            <w:pPr>
              <w:spacing w:before="120"/>
              <w:jc w:val="both"/>
              <w:rPr>
                <w:lang w:val="es-NI"/>
              </w:rPr>
            </w:pPr>
            <w:r w:rsidRPr="005C47FA">
              <w:rPr>
                <w:lang w:val="es-NI"/>
              </w:rPr>
              <w:t>Por lo que se busca con el plan de acción de sostenibilidad lo siguiente:</w:t>
            </w:r>
          </w:p>
          <w:p w14:paraId="222F0DB7" w14:textId="77777777" w:rsidR="005C47FA" w:rsidRPr="005C47FA" w:rsidRDefault="005C47FA" w:rsidP="005C47FA">
            <w:pPr>
              <w:numPr>
                <w:ilvl w:val="0"/>
                <w:numId w:val="37"/>
              </w:numPr>
              <w:spacing w:before="120"/>
              <w:jc w:val="both"/>
              <w:rPr>
                <w:lang w:val="es-NI"/>
              </w:rPr>
            </w:pPr>
            <w:r w:rsidRPr="005C47FA">
              <w:rPr>
                <w:lang w:val="es-NI"/>
              </w:rPr>
              <w:t>Hacer un análisis de los costos reducidos con la adopción de modelos diferenciados de atención.</w:t>
            </w:r>
          </w:p>
          <w:p w14:paraId="022DEFAA" w14:textId="77777777" w:rsidR="005C47FA" w:rsidRPr="005C47FA" w:rsidRDefault="005C47FA" w:rsidP="005C47FA">
            <w:pPr>
              <w:numPr>
                <w:ilvl w:val="0"/>
                <w:numId w:val="37"/>
              </w:numPr>
              <w:spacing w:before="120"/>
              <w:jc w:val="both"/>
              <w:rPr>
                <w:lang w:val="es-NI"/>
              </w:rPr>
            </w:pPr>
            <w:r w:rsidRPr="005C47FA">
              <w:rPr>
                <w:lang w:val="es-NI"/>
              </w:rPr>
              <w:t>Implementación de modelos diferenciados de atención en pacientes estables y definir sus costos.</w:t>
            </w:r>
          </w:p>
          <w:p w14:paraId="374FF97E" w14:textId="77777777" w:rsidR="005C47FA" w:rsidRPr="005C47FA" w:rsidRDefault="005C47FA" w:rsidP="005C47FA">
            <w:pPr>
              <w:numPr>
                <w:ilvl w:val="0"/>
                <w:numId w:val="37"/>
              </w:numPr>
              <w:spacing w:before="120"/>
              <w:jc w:val="both"/>
              <w:rPr>
                <w:lang w:val="es-NI"/>
              </w:rPr>
            </w:pPr>
            <w:r w:rsidRPr="005C47FA">
              <w:rPr>
                <w:lang w:val="es-NI"/>
              </w:rPr>
              <w:t>Diseñar modelos diferenciados de atención dirigidos a zonas de altas cargas de VIH y grupos etarios.</w:t>
            </w:r>
          </w:p>
          <w:p w14:paraId="12231B1D" w14:textId="77777777" w:rsidR="005C47FA" w:rsidRPr="005C47FA" w:rsidRDefault="005C47FA" w:rsidP="005C47FA">
            <w:pPr>
              <w:numPr>
                <w:ilvl w:val="0"/>
                <w:numId w:val="37"/>
              </w:numPr>
              <w:spacing w:before="120"/>
              <w:jc w:val="both"/>
              <w:rPr>
                <w:lang w:val="es-NI"/>
              </w:rPr>
            </w:pPr>
            <w:r w:rsidRPr="005C47FA">
              <w:rPr>
                <w:lang w:val="es-NI"/>
              </w:rPr>
              <w:t>Adopción de nuevas tecnologías sanitarias de costo reducido y eficiencia comprobada que generan un impacto positivo en el control de costos y en los resultados de la epidemia.</w:t>
            </w:r>
          </w:p>
          <w:p w14:paraId="67D3E4D3" w14:textId="77777777" w:rsidR="005C47FA" w:rsidRPr="005C47FA" w:rsidRDefault="005C47FA" w:rsidP="005C47FA">
            <w:pPr>
              <w:numPr>
                <w:ilvl w:val="0"/>
                <w:numId w:val="37"/>
              </w:numPr>
              <w:spacing w:before="120"/>
              <w:jc w:val="both"/>
              <w:rPr>
                <w:lang w:val="es-NI"/>
              </w:rPr>
            </w:pPr>
            <w:r w:rsidRPr="005C47FA">
              <w:rPr>
                <w:lang w:val="es-NI"/>
              </w:rPr>
              <w:t>Mantener el Dolutegravir en el esquema de tratamiento de personas con VIH, dada su efectividad y menos efectos adversos.</w:t>
            </w:r>
          </w:p>
          <w:p w14:paraId="46FE62D2" w14:textId="77777777" w:rsidR="005C47FA" w:rsidRPr="005C47FA" w:rsidRDefault="005C47FA" w:rsidP="005C47FA">
            <w:pPr>
              <w:numPr>
                <w:ilvl w:val="0"/>
                <w:numId w:val="37"/>
              </w:numPr>
              <w:spacing w:before="120"/>
              <w:jc w:val="both"/>
              <w:rPr>
                <w:lang w:val="es-NI"/>
              </w:rPr>
            </w:pPr>
            <w:r w:rsidRPr="005C47FA">
              <w:rPr>
                <w:lang w:val="es-NI"/>
              </w:rPr>
              <w:t>Reducción del estigma y discriminación hacia poblaciones clave mediante el fortalecimiento del marco protector de políticas y su implementación, con el fin de eliminar barreras para que estas poblaciones busquen y accedan a servicios oportunos y efectivos de prevención y atención en VIH.</w:t>
            </w:r>
          </w:p>
          <w:p w14:paraId="2821E8E8" w14:textId="77777777" w:rsidR="005C47FA" w:rsidRPr="005C47FA" w:rsidRDefault="005C47FA" w:rsidP="005C47FA">
            <w:pPr>
              <w:spacing w:before="120"/>
              <w:jc w:val="both"/>
              <w:rPr>
                <w:b/>
                <w:lang w:val="es-NI"/>
              </w:rPr>
            </w:pPr>
            <w:r w:rsidRPr="005C47FA">
              <w:rPr>
                <w:b/>
                <w:lang w:val="es-NI"/>
              </w:rPr>
              <w:t>La Gobernanza</w:t>
            </w:r>
          </w:p>
          <w:p w14:paraId="37F0E539" w14:textId="77777777" w:rsidR="005C47FA" w:rsidRPr="005C47FA" w:rsidRDefault="005C47FA" w:rsidP="005C47FA">
            <w:pPr>
              <w:spacing w:before="120"/>
              <w:jc w:val="both"/>
              <w:rPr>
                <w:lang w:val="es-NI"/>
              </w:rPr>
            </w:pPr>
            <w:r w:rsidRPr="005C47FA">
              <w:rPr>
                <w:lang w:val="es-NI"/>
              </w:rPr>
              <w:t>La situación actual es:</w:t>
            </w:r>
          </w:p>
          <w:p w14:paraId="2F96867D" w14:textId="77777777" w:rsidR="005C47FA" w:rsidRPr="005C47FA" w:rsidRDefault="005C47FA" w:rsidP="005C47FA">
            <w:pPr>
              <w:numPr>
                <w:ilvl w:val="0"/>
                <w:numId w:val="33"/>
              </w:numPr>
              <w:spacing w:before="120"/>
              <w:contextualSpacing/>
              <w:jc w:val="both"/>
              <w:rPr>
                <w:lang w:val="es-NI"/>
              </w:rPr>
            </w:pPr>
            <w:r w:rsidRPr="005C47FA">
              <w:rPr>
                <w:lang w:val="es-NI"/>
              </w:rPr>
              <w:t xml:space="preserve">Actualmente existe la Comisión Nacional de VIH y sus subcomisiones para la conducción del control y prevención de la epidemia, dicha comisión la preside el Ministro de Salud. Por otro lado, existe el Mecanismo Coordinador de País (MCP-ES) quien da seguimiento a los proyectos del Fondo Mundial. Este mecanismo es un espacio de participación multisectorial y de toma de decisiones encaminadas a la gestión de propuestas ante el FM, monitoreo de la ejecución de las mismas, así como el desempeño programático y financiero. </w:t>
            </w:r>
          </w:p>
          <w:p w14:paraId="3CB22787" w14:textId="77777777" w:rsidR="005C47FA" w:rsidRPr="005C47FA" w:rsidRDefault="005C47FA" w:rsidP="005C47FA">
            <w:pPr>
              <w:spacing w:before="120"/>
              <w:jc w:val="both"/>
              <w:rPr>
                <w:lang w:val="es-NI"/>
              </w:rPr>
            </w:pPr>
            <w:r w:rsidRPr="005C47FA">
              <w:rPr>
                <w:lang w:val="es-NI"/>
              </w:rPr>
              <w:t>Por lo que se busca con el plan de acción de sostenibilidad:</w:t>
            </w:r>
          </w:p>
          <w:p w14:paraId="19A32FC6" w14:textId="77777777" w:rsidR="005C47FA" w:rsidRPr="005C47FA" w:rsidRDefault="005C47FA" w:rsidP="005C47FA">
            <w:pPr>
              <w:numPr>
                <w:ilvl w:val="0"/>
                <w:numId w:val="34"/>
              </w:numPr>
              <w:spacing w:before="120"/>
              <w:contextualSpacing/>
              <w:jc w:val="both"/>
              <w:rPr>
                <w:rFonts w:cs="Arial"/>
                <w:lang w:bidi="es-ES"/>
              </w:rPr>
            </w:pPr>
            <w:r w:rsidRPr="005C47FA">
              <w:rPr>
                <w:rFonts w:cs="Arial"/>
                <w:lang w:bidi="es-ES"/>
              </w:rPr>
              <w:t>Fortalecer el vínculo entre la instancia política (CONAVIH) y la instancia gestora a fin de sumar esfuerzos en la respuesta nacional y la toma de decisiones consensuadas para las intervenciones a desarrollar.</w:t>
            </w:r>
          </w:p>
        </w:tc>
      </w:tr>
    </w:tbl>
    <w:p w14:paraId="73A6A0D3" w14:textId="77777777" w:rsidR="005C47FA" w:rsidRPr="005C47FA" w:rsidRDefault="005C47FA" w:rsidP="005C47FA">
      <w:pPr>
        <w:ind w:left="360"/>
        <w:contextualSpacing/>
        <w:rPr>
          <w:lang w:val="es-SV"/>
        </w:rPr>
      </w:pPr>
    </w:p>
    <w:p w14:paraId="5A74AF6B" w14:textId="77777777" w:rsidR="005C47FA" w:rsidRPr="005C47FA" w:rsidRDefault="005C47FA" w:rsidP="005C47FA">
      <w:pPr>
        <w:numPr>
          <w:ilvl w:val="0"/>
          <w:numId w:val="22"/>
        </w:numPr>
        <w:spacing w:after="0"/>
        <w:contextualSpacing/>
        <w:jc w:val="both"/>
      </w:pPr>
      <w:r w:rsidRPr="005C47FA">
        <w:rPr>
          <w:lang w:bidi="es-ES"/>
        </w:rPr>
        <w:t xml:space="preserve">Si ha redactado y puesto en marcha un plan de trabajo transicional en el ciclo de asignación actual, aporte un </w:t>
      </w:r>
      <w:r w:rsidRPr="005C47FA">
        <w:rPr>
          <w:b/>
          <w:lang w:bidi="es-ES"/>
        </w:rPr>
        <w:t xml:space="preserve">informe actualizado </w:t>
      </w:r>
      <w:r w:rsidRPr="005C47FA">
        <w:rPr>
          <w:lang w:bidi="es-ES"/>
        </w:rPr>
        <w:t>sobre los logros que se han alcanzado.</w:t>
      </w:r>
    </w:p>
    <w:p w14:paraId="497A83F2" w14:textId="77777777" w:rsidR="005C47FA" w:rsidRPr="005C47FA" w:rsidRDefault="005C47FA" w:rsidP="005C47FA">
      <w:pPr>
        <w:spacing w:after="0"/>
        <w:rPr>
          <w:rFonts w:cs="Arial"/>
          <w:lang w:bidi="es-ES"/>
        </w:rPr>
        <w:sectPr w:rsidR="005C47FA" w:rsidRPr="005C47FA" w:rsidSect="00F5709E">
          <w:pgSz w:w="11906" w:h="16838" w:code="9"/>
          <w:pgMar w:top="720" w:right="720" w:bottom="720" w:left="720" w:header="720" w:footer="288" w:gutter="0"/>
          <w:cols w:space="720"/>
          <w:titlePg/>
          <w:docGrid w:linePitch="360"/>
        </w:sectPr>
      </w:pPr>
    </w:p>
    <w:p w14:paraId="7C24C037" w14:textId="77777777" w:rsidR="005C47FA" w:rsidRPr="005C47FA" w:rsidRDefault="005C47FA" w:rsidP="005C47FA">
      <w:pPr>
        <w:spacing w:after="0"/>
        <w:rPr>
          <w:rFonts w:cs="Arial"/>
          <w:lang w:bidi="es-ES"/>
        </w:rPr>
      </w:pPr>
    </w:p>
    <w:p w14:paraId="28EEEE00" w14:textId="77777777" w:rsidR="005C47FA" w:rsidRPr="005C47FA" w:rsidRDefault="005C47FA" w:rsidP="005C47FA">
      <w:pPr>
        <w:spacing w:after="0" w:line="240" w:lineRule="auto"/>
        <w:rPr>
          <w:b/>
          <w:bCs/>
          <w:lang w:val="es-MX"/>
        </w:rPr>
      </w:pPr>
      <w:r w:rsidRPr="005C47FA">
        <w:rPr>
          <w:b/>
          <w:bCs/>
          <w:lang w:val="es-MX"/>
        </w:rPr>
        <w:t>Hoja de ruta sostenibilidad</w:t>
      </w:r>
    </w:p>
    <w:p w14:paraId="712D3EC1" w14:textId="77777777" w:rsidR="005C47FA" w:rsidRPr="005C47FA" w:rsidRDefault="005C47FA" w:rsidP="005C47FA">
      <w:pPr>
        <w:rPr>
          <w:lang w:val="es-MX"/>
        </w:rPr>
      </w:pPr>
      <w:r w:rsidRPr="005C47FA">
        <w:rPr>
          <w:lang w:val="es-MX"/>
        </w:rPr>
        <w:t>La Hoja de ruta para la sostenibilidad incluye algunos riesgos de alta gravedad, y propone acciones de mitigación. Se propone implementar las acciones siguientes en los próximos años, las acciones descritas en las tablas a continuación han sido integradas al PENM  2022-2026.</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7"/>
        <w:gridCol w:w="1792"/>
        <w:gridCol w:w="1531"/>
        <w:gridCol w:w="1735"/>
        <w:gridCol w:w="1738"/>
        <w:gridCol w:w="1212"/>
        <w:gridCol w:w="1732"/>
        <w:gridCol w:w="990"/>
        <w:gridCol w:w="1969"/>
      </w:tblGrid>
      <w:tr w:rsidR="005C47FA" w:rsidRPr="005C47FA" w14:paraId="3B33F4D6" w14:textId="77777777" w:rsidTr="00D47417">
        <w:trPr>
          <w:trHeight w:val="515"/>
          <w:tblHeader/>
        </w:trPr>
        <w:tc>
          <w:tcPr>
            <w:tcW w:w="769" w:type="pct"/>
            <w:shd w:val="clear" w:color="auto" w:fill="F0A0A5" w:themeFill="accent4" w:themeFillTint="66"/>
            <w:vAlign w:val="center"/>
          </w:tcPr>
          <w:p w14:paraId="6FCD5A43" w14:textId="77777777" w:rsidR="005C47FA" w:rsidRPr="005C47FA" w:rsidRDefault="005C47FA" w:rsidP="005C47FA">
            <w:pPr>
              <w:spacing w:after="60" w:line="240" w:lineRule="auto"/>
              <w:jc w:val="center"/>
              <w:rPr>
                <w:rFonts w:asciiTheme="majorHAnsi" w:eastAsia="Times New Roman" w:hAnsiTheme="majorHAnsi" w:cstheme="majorHAnsi"/>
                <w:b/>
                <w:bCs/>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Líneas de acción de la estrategia</w:t>
            </w:r>
          </w:p>
        </w:tc>
        <w:tc>
          <w:tcPr>
            <w:tcW w:w="597" w:type="pct"/>
            <w:shd w:val="clear" w:color="auto" w:fill="F0A0A5" w:themeFill="accent4" w:themeFillTint="66"/>
            <w:vAlign w:val="center"/>
          </w:tcPr>
          <w:p w14:paraId="340CA8C3" w14:textId="77777777" w:rsidR="005C47FA" w:rsidRPr="005C47FA" w:rsidRDefault="005C47FA" w:rsidP="005C47FA">
            <w:pPr>
              <w:spacing w:after="6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Situación actual</w:t>
            </w:r>
          </w:p>
        </w:tc>
        <w:tc>
          <w:tcPr>
            <w:tcW w:w="510" w:type="pct"/>
            <w:shd w:val="clear" w:color="auto" w:fill="F0A0A5" w:themeFill="accent4" w:themeFillTint="66"/>
            <w:vAlign w:val="center"/>
          </w:tcPr>
          <w:p w14:paraId="64B31462" w14:textId="77777777" w:rsidR="005C47FA" w:rsidRPr="005C47FA" w:rsidRDefault="005C47FA" w:rsidP="005C47FA">
            <w:pPr>
              <w:spacing w:after="6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Qué se ha hecho</w:t>
            </w:r>
          </w:p>
        </w:tc>
        <w:tc>
          <w:tcPr>
            <w:tcW w:w="578" w:type="pct"/>
            <w:shd w:val="clear" w:color="auto" w:fill="F0A0A5" w:themeFill="accent4" w:themeFillTint="66"/>
            <w:vAlign w:val="center"/>
          </w:tcPr>
          <w:p w14:paraId="4521E1BF" w14:textId="77777777" w:rsidR="005C47FA" w:rsidRPr="005C47FA" w:rsidRDefault="005C47FA" w:rsidP="005C47FA">
            <w:pPr>
              <w:spacing w:after="6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Acciones a implementar (en los próximos 4 años)</w:t>
            </w:r>
          </w:p>
        </w:tc>
        <w:tc>
          <w:tcPr>
            <w:tcW w:w="579" w:type="pct"/>
            <w:shd w:val="clear" w:color="auto" w:fill="F0A0A5" w:themeFill="accent4" w:themeFillTint="66"/>
            <w:vAlign w:val="center"/>
          </w:tcPr>
          <w:p w14:paraId="3FDE36AD" w14:textId="77777777" w:rsidR="005C47FA" w:rsidRPr="005C47FA" w:rsidRDefault="005C47FA" w:rsidP="005C47FA">
            <w:pPr>
              <w:spacing w:after="60" w:line="240" w:lineRule="auto"/>
              <w:jc w:val="center"/>
              <w:rPr>
                <w:rFonts w:asciiTheme="majorHAnsi" w:eastAsia="Times New Roman" w:hAnsiTheme="majorHAnsi" w:cstheme="majorHAnsi"/>
                <w:b/>
                <w:bCs/>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Oportunidades</w:t>
            </w:r>
          </w:p>
          <w:p w14:paraId="4AE45FF7" w14:textId="77777777" w:rsidR="005C47FA" w:rsidRPr="005C47FA" w:rsidRDefault="005C47FA" w:rsidP="005C47FA">
            <w:pPr>
              <w:autoSpaceDE w:val="0"/>
              <w:autoSpaceDN w:val="0"/>
              <w:spacing w:after="6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/desafíos</w:t>
            </w:r>
          </w:p>
        </w:tc>
        <w:tc>
          <w:tcPr>
            <w:tcW w:w="404" w:type="pct"/>
            <w:shd w:val="clear" w:color="auto" w:fill="F0A0A5" w:themeFill="accent4" w:themeFillTint="66"/>
            <w:vAlign w:val="center"/>
          </w:tcPr>
          <w:p w14:paraId="36426DC2" w14:textId="77777777" w:rsidR="005C47FA" w:rsidRPr="005C47FA" w:rsidRDefault="005C47FA" w:rsidP="005C47FA">
            <w:pPr>
              <w:spacing w:after="6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Costo de intervención</w:t>
            </w:r>
          </w:p>
        </w:tc>
        <w:tc>
          <w:tcPr>
            <w:tcW w:w="577" w:type="pct"/>
            <w:shd w:val="clear" w:color="auto" w:fill="F0A0A5" w:themeFill="accent4" w:themeFillTint="66"/>
            <w:vAlign w:val="center"/>
          </w:tcPr>
          <w:p w14:paraId="2D797BF3" w14:textId="77777777" w:rsidR="005C47FA" w:rsidRPr="005C47FA" w:rsidRDefault="005C47FA" w:rsidP="005C47FA">
            <w:pPr>
              <w:spacing w:after="6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Responsables de actividades</w:t>
            </w:r>
          </w:p>
        </w:tc>
        <w:tc>
          <w:tcPr>
            <w:tcW w:w="330" w:type="pct"/>
            <w:shd w:val="clear" w:color="auto" w:fill="F0A0A5" w:themeFill="accent4" w:themeFillTint="66"/>
            <w:vAlign w:val="center"/>
          </w:tcPr>
          <w:p w14:paraId="2894F644" w14:textId="77777777" w:rsidR="005C47FA" w:rsidRPr="005C47FA" w:rsidRDefault="005C47FA" w:rsidP="005C47FA">
            <w:pPr>
              <w:spacing w:after="6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Brecha  financiera</w:t>
            </w:r>
          </w:p>
        </w:tc>
        <w:tc>
          <w:tcPr>
            <w:tcW w:w="656" w:type="pct"/>
            <w:shd w:val="clear" w:color="auto" w:fill="F0A0A5" w:themeFill="accent4" w:themeFillTint="66"/>
            <w:vAlign w:val="center"/>
          </w:tcPr>
          <w:p w14:paraId="75B85223" w14:textId="77777777" w:rsidR="005C47FA" w:rsidRPr="005C47FA" w:rsidRDefault="005C47FA" w:rsidP="005C47FA">
            <w:pPr>
              <w:spacing w:after="60" w:line="240" w:lineRule="auto"/>
              <w:jc w:val="center"/>
              <w:rPr>
                <w:rFonts w:asciiTheme="majorHAnsi" w:eastAsia="Times New Roman" w:hAnsiTheme="majorHAnsi" w:cstheme="majorHAnsi"/>
                <w:color w:val="000000"/>
                <w:sz w:val="16"/>
                <w:szCs w:val="16"/>
                <w:highlight w:val="yellow"/>
                <w:lang w:val="es-NI" w:eastAsia="es-SV"/>
              </w:rPr>
            </w:pPr>
            <w:r w:rsidRPr="005C47FA">
              <w:rPr>
                <w:rFonts w:asciiTheme="majorHAnsi" w:eastAsia="Times New Roman" w:hAnsiTheme="majorHAnsi" w:cstheme="majorHAnsi"/>
                <w:b/>
                <w:bCs/>
                <w:color w:val="000000"/>
                <w:sz w:val="16"/>
                <w:szCs w:val="16"/>
                <w:lang w:val="es-NI" w:eastAsia="es-SV"/>
              </w:rPr>
              <w:t>Fuente de financiamiento</w:t>
            </w:r>
          </w:p>
        </w:tc>
      </w:tr>
      <w:tr w:rsidR="005C47FA" w:rsidRPr="005C47FA" w14:paraId="08E61190" w14:textId="77777777" w:rsidTr="00D47417">
        <w:trPr>
          <w:trHeight w:val="359"/>
        </w:trPr>
        <w:tc>
          <w:tcPr>
            <w:tcW w:w="5000" w:type="pct"/>
            <w:gridSpan w:val="9"/>
            <w:shd w:val="clear" w:color="auto" w:fill="F0A0A5" w:themeFill="accent4" w:themeFillTint="66"/>
            <w:vAlign w:val="center"/>
          </w:tcPr>
          <w:p w14:paraId="534493C7" w14:textId="77777777" w:rsidR="005C47FA" w:rsidRPr="005C47FA" w:rsidRDefault="005C47FA" w:rsidP="005C47FA">
            <w:pPr>
              <w:spacing w:after="6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Ámbito económico - financiero</w:t>
            </w:r>
          </w:p>
        </w:tc>
      </w:tr>
      <w:tr w:rsidR="005C47FA" w:rsidRPr="005C47FA" w14:paraId="10BCA283" w14:textId="77777777" w:rsidTr="00D47417">
        <w:trPr>
          <w:trHeight w:val="515"/>
        </w:trPr>
        <w:tc>
          <w:tcPr>
            <w:tcW w:w="769" w:type="pct"/>
            <w:shd w:val="clear" w:color="auto" w:fill="auto"/>
          </w:tcPr>
          <w:p w14:paraId="7D3C73BC" w14:textId="77777777" w:rsidR="005C47FA" w:rsidRPr="005C47FA" w:rsidRDefault="005C47FA" w:rsidP="005C47FA">
            <w:pPr>
              <w:numPr>
                <w:ilvl w:val="0"/>
                <w:numId w:val="47"/>
              </w:numPr>
              <w:spacing w:after="60" w:line="240" w:lineRule="auto"/>
              <w:rPr>
                <w:rFonts w:asciiTheme="majorHAnsi" w:eastAsia="Times New Roman" w:hAnsiTheme="majorHAnsi" w:cstheme="majorHAnsi"/>
                <w:b/>
                <w:bCs/>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Movilización de recursos mediante el incremento del presupuesto de fondos públicos para VIH que permita aumentar  la proporción de gastos cubiertos con fondos nacionales, cubrir necesidades actuales y el aumento de cobertura requeridos</w:t>
            </w:r>
          </w:p>
        </w:tc>
        <w:tc>
          <w:tcPr>
            <w:tcW w:w="597" w:type="pct"/>
            <w:shd w:val="clear" w:color="auto" w:fill="auto"/>
          </w:tcPr>
          <w:p w14:paraId="1330FCDE" w14:textId="77777777" w:rsidR="005C47FA" w:rsidRPr="005C47FA" w:rsidRDefault="005C47FA" w:rsidP="005C47FA">
            <w:pPr>
              <w:numPr>
                <w:ilvl w:val="1"/>
                <w:numId w:val="47"/>
              </w:num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La inversión actual es de $ 44.9 millones (MEGAS-2019) y la inversión requerida para el 2019 es de $ 72,1 millones según la estimación del PENM 2016-2021.</w:t>
            </w:r>
          </w:p>
        </w:tc>
        <w:tc>
          <w:tcPr>
            <w:tcW w:w="510" w:type="pct"/>
          </w:tcPr>
          <w:p w14:paraId="59619701"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1.1 Se aprobó ley de eliminación de IVA para la adquisición de ARV (Decreto Legislativo No. 396, publicado en diario oficial tomo No. 424 del 16 de septiembre del 2019.</w:t>
            </w:r>
          </w:p>
        </w:tc>
        <w:tc>
          <w:tcPr>
            <w:tcW w:w="578" w:type="pct"/>
          </w:tcPr>
          <w:p w14:paraId="0FEAF0B6"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1.1 Incremento de un 1% anual en el presupuesto para la respuesta al VIH.</w:t>
            </w:r>
          </w:p>
          <w:p w14:paraId="43212672"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1.2 Fortalecer el análisis de las necesidades proyectadas para cubrir las brechas financieras de la respuesta nacional al VIH.</w:t>
            </w:r>
          </w:p>
          <w:p w14:paraId="69CCC352"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1.3 Promover la elaboración de presupuesto de VIH basado en resultados.</w:t>
            </w:r>
          </w:p>
          <w:p w14:paraId="6F6E0DCF"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1.4 Abogacía para promover el cambio de sistema a presupuesto por resultados de parte del MH, aplicar subsidios cruzados ISSS, reforma a la Ley de VIH que centraliza las atribuciones en el MINSAL.</w:t>
            </w:r>
          </w:p>
        </w:tc>
        <w:tc>
          <w:tcPr>
            <w:tcW w:w="579" w:type="pct"/>
            <w:shd w:val="clear" w:color="auto" w:fill="auto"/>
          </w:tcPr>
          <w:p w14:paraId="6C14A30D" w14:textId="77777777" w:rsidR="005C47FA" w:rsidRPr="005C47FA" w:rsidRDefault="005C47FA" w:rsidP="005C47FA">
            <w:pPr>
              <w:numPr>
                <w:ilvl w:val="1"/>
                <w:numId w:val="79"/>
              </w:numPr>
              <w:autoSpaceDE w:val="0"/>
              <w:autoSpaceDN w:val="0"/>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Priorización del VIH en la agenda nacional y regional (SICA)</w:t>
            </w:r>
          </w:p>
          <w:p w14:paraId="6EC01671" w14:textId="77777777" w:rsidR="005C47FA" w:rsidRPr="005C47FA" w:rsidRDefault="005C47FA" w:rsidP="005C47FA">
            <w:pPr>
              <w:numPr>
                <w:ilvl w:val="1"/>
                <w:numId w:val="79"/>
              </w:numPr>
              <w:autoSpaceDE w:val="0"/>
              <w:autoSpaceDN w:val="0"/>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MINSAL asigna recursos al Programa de VIH anualmente.  </w:t>
            </w:r>
          </w:p>
        </w:tc>
        <w:tc>
          <w:tcPr>
            <w:tcW w:w="404" w:type="pct"/>
            <w:shd w:val="clear" w:color="auto" w:fill="auto"/>
          </w:tcPr>
          <w:p w14:paraId="5A29DC78"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$5,000.00</w:t>
            </w:r>
          </w:p>
        </w:tc>
        <w:tc>
          <w:tcPr>
            <w:tcW w:w="577" w:type="pct"/>
          </w:tcPr>
          <w:p w14:paraId="12FBC555"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MINSAL, ISSS, Ministerio de Hacienda, Dirección General de Presupuesto, Asamblea Legislativa, Organización de Personas con VIH.</w:t>
            </w:r>
          </w:p>
        </w:tc>
        <w:tc>
          <w:tcPr>
            <w:tcW w:w="330" w:type="pct"/>
          </w:tcPr>
          <w:p w14:paraId="5FCE0A45"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$5,000.00</w:t>
            </w:r>
          </w:p>
        </w:tc>
        <w:tc>
          <w:tcPr>
            <w:tcW w:w="656" w:type="pct"/>
          </w:tcPr>
          <w:p w14:paraId="7E6CE256" w14:textId="77777777" w:rsidR="005C47FA" w:rsidRPr="005C47FA" w:rsidRDefault="005C47FA" w:rsidP="005C47FA">
            <w:pPr>
              <w:spacing w:after="60" w:line="240" w:lineRule="auto"/>
              <w:ind w:left="360"/>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Cooperantes</w:t>
            </w:r>
          </w:p>
          <w:p w14:paraId="32340550" w14:textId="77777777" w:rsidR="005C47FA" w:rsidRPr="005C47FA" w:rsidRDefault="005C47FA" w:rsidP="005C47FA">
            <w:pPr>
              <w:spacing w:after="60" w:line="240" w:lineRule="auto"/>
              <w:ind w:left="360"/>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 Sector privado </w:t>
            </w:r>
          </w:p>
        </w:tc>
      </w:tr>
      <w:tr w:rsidR="005C47FA" w:rsidRPr="005C47FA" w14:paraId="5BD073B5" w14:textId="77777777" w:rsidTr="00D47417">
        <w:trPr>
          <w:trHeight w:val="2445"/>
        </w:trPr>
        <w:tc>
          <w:tcPr>
            <w:tcW w:w="769" w:type="pct"/>
            <w:shd w:val="clear" w:color="auto" w:fill="auto"/>
          </w:tcPr>
          <w:p w14:paraId="2FB323E7" w14:textId="77777777" w:rsidR="005C47FA" w:rsidRPr="005C47FA" w:rsidRDefault="005C47FA" w:rsidP="005C47FA">
            <w:pPr>
              <w:numPr>
                <w:ilvl w:val="0"/>
                <w:numId w:val="79"/>
              </w:numPr>
              <w:spacing w:after="60" w:line="240" w:lineRule="auto"/>
              <w:rPr>
                <w:rFonts w:asciiTheme="majorHAnsi" w:eastAsia="Times New Roman" w:hAnsiTheme="majorHAnsi" w:cstheme="majorHAnsi"/>
                <w:b/>
                <w:bCs/>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lastRenderedPageBreak/>
              <w:t>Redireccionar recursos de contribuciones existentes (Ejemplo FOSALUD)</w:t>
            </w:r>
          </w:p>
        </w:tc>
        <w:tc>
          <w:tcPr>
            <w:tcW w:w="597" w:type="pct"/>
            <w:shd w:val="clear" w:color="auto" w:fill="auto"/>
          </w:tcPr>
          <w:p w14:paraId="0675241F" w14:textId="77777777" w:rsidR="005C47FA" w:rsidRPr="005C47FA" w:rsidRDefault="005C47FA" w:rsidP="005C47FA">
            <w:pPr>
              <w:numPr>
                <w:ilvl w:val="1"/>
                <w:numId w:val="79"/>
              </w:num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El desempeño económico del país presenta tasas de crecimientos muy bajas que permitan pensar la factibilidad de redireccionar recursos de contribuciones existentes, sin que ello genere variaciones en las condiciones de pobreza de la población.</w:t>
            </w:r>
          </w:p>
        </w:tc>
        <w:tc>
          <w:tcPr>
            <w:tcW w:w="510" w:type="pct"/>
          </w:tcPr>
          <w:p w14:paraId="56F76C83"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2.1 se han identificado f</w:t>
            </w:r>
            <w:r w:rsidRPr="005C47FA">
              <w:rPr>
                <w:rFonts w:asciiTheme="majorHAnsi" w:eastAsia="Times New Roman" w:hAnsiTheme="majorHAnsi" w:cstheme="majorHAnsi"/>
                <w:sz w:val="16"/>
                <w:szCs w:val="16"/>
                <w:lang w:val="es-NI" w:eastAsia="es-SV"/>
              </w:rPr>
              <w:t xml:space="preserve">uente de redirección de recursos </w:t>
            </w:r>
          </w:p>
        </w:tc>
        <w:tc>
          <w:tcPr>
            <w:tcW w:w="578" w:type="pct"/>
          </w:tcPr>
          <w:p w14:paraId="6D0AC0B8"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Cabildeo político para redireccionar recursos para VIH de contribuciones existentes con MINSAL, Ministerio de Hacienda, y Asamblea Legislativa y mostrar las ventajas de redireccionar impuestos para mejorar la vida de las personas con VIH.</w:t>
            </w:r>
          </w:p>
          <w:p w14:paraId="50903898"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Hacer un mapeo de posibles fuentes de redirección de recursos de contribuciones especiales existentes.</w:t>
            </w:r>
          </w:p>
        </w:tc>
        <w:tc>
          <w:tcPr>
            <w:tcW w:w="579" w:type="pct"/>
            <w:shd w:val="clear" w:color="auto" w:fill="auto"/>
          </w:tcPr>
          <w:p w14:paraId="47D812D5" w14:textId="77777777" w:rsidR="005C47FA" w:rsidRPr="005C47FA" w:rsidRDefault="005C47FA" w:rsidP="005C47FA">
            <w:pPr>
              <w:autoSpaceDE w:val="0"/>
              <w:autoSpaceDN w:val="0"/>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La proximidad que la cooperación para VIH cierre su contribución al país puede impulsar un proceso de ver el impacto económico que puede presentar el no cubrir las brechas financieras para el VIH.</w:t>
            </w:r>
          </w:p>
        </w:tc>
        <w:tc>
          <w:tcPr>
            <w:tcW w:w="404" w:type="pct"/>
            <w:shd w:val="clear" w:color="auto" w:fill="auto"/>
          </w:tcPr>
          <w:p w14:paraId="475759A2"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$10,000.00</w:t>
            </w:r>
          </w:p>
        </w:tc>
        <w:tc>
          <w:tcPr>
            <w:tcW w:w="577" w:type="pct"/>
          </w:tcPr>
          <w:p w14:paraId="7D167709"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MINSAL, ISSS, SM, BM, FOSALUD, Programa Nacional de VIH e ITS, Asamblea Legislativa, Ministerio de Hacienda,  Organizaciones de Sociedad Civil y Organizaciones del Sector Privado.</w:t>
            </w:r>
          </w:p>
        </w:tc>
        <w:tc>
          <w:tcPr>
            <w:tcW w:w="330" w:type="pct"/>
          </w:tcPr>
          <w:p w14:paraId="61E196A5"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$10,000.00</w:t>
            </w:r>
          </w:p>
        </w:tc>
        <w:tc>
          <w:tcPr>
            <w:tcW w:w="656" w:type="pct"/>
          </w:tcPr>
          <w:p w14:paraId="265D13E1" w14:textId="77777777" w:rsidR="005C47FA" w:rsidRPr="005C47FA" w:rsidRDefault="005C47FA" w:rsidP="005C47FA">
            <w:pPr>
              <w:numPr>
                <w:ilvl w:val="0"/>
                <w:numId w:val="48"/>
              </w:num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Fondos domésticos  y cooperantes</w:t>
            </w:r>
          </w:p>
        </w:tc>
      </w:tr>
      <w:tr w:rsidR="005C47FA" w:rsidRPr="005C47FA" w14:paraId="69901A6D" w14:textId="77777777" w:rsidTr="00D47417">
        <w:trPr>
          <w:trHeight w:val="443"/>
        </w:trPr>
        <w:tc>
          <w:tcPr>
            <w:tcW w:w="769" w:type="pct"/>
            <w:shd w:val="clear" w:color="auto" w:fill="auto"/>
          </w:tcPr>
          <w:p w14:paraId="66F3BFD7" w14:textId="77777777" w:rsidR="005C47FA" w:rsidRPr="005C47FA" w:rsidRDefault="005C47FA" w:rsidP="005C47FA">
            <w:pPr>
              <w:numPr>
                <w:ilvl w:val="0"/>
                <w:numId w:val="79"/>
              </w:numPr>
              <w:spacing w:after="60" w:line="240" w:lineRule="auto"/>
              <w:rPr>
                <w:rFonts w:asciiTheme="majorHAnsi" w:eastAsia="Times New Roman" w:hAnsiTheme="majorHAnsi" w:cstheme="majorHAnsi"/>
                <w:b/>
                <w:bCs/>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Movilización de recursos mediante la canalización de fondos públicos provenientes de gobiernos Locales/Municipales para  la respuesta al VIH y su asignación a intervenciones costo-efectivas</w:t>
            </w:r>
          </w:p>
        </w:tc>
        <w:tc>
          <w:tcPr>
            <w:tcW w:w="597" w:type="pct"/>
            <w:shd w:val="clear" w:color="auto" w:fill="auto"/>
          </w:tcPr>
          <w:p w14:paraId="30139A2F" w14:textId="77777777" w:rsidR="005C47FA" w:rsidRPr="005C47FA" w:rsidRDefault="005C47FA" w:rsidP="005C47FA">
            <w:pPr>
              <w:numPr>
                <w:ilvl w:val="1"/>
                <w:numId w:val="79"/>
              </w:num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Existe limitada información sobre el financiamiento y gasto para VIH entre el nivel local y el gobierno central (Ejecutivo).</w:t>
            </w:r>
          </w:p>
          <w:p w14:paraId="7B0ED94F" w14:textId="77777777" w:rsidR="005C47FA" w:rsidRPr="005C47FA" w:rsidRDefault="005C47FA" w:rsidP="005C47FA">
            <w:pPr>
              <w:numPr>
                <w:ilvl w:val="1"/>
                <w:numId w:val="79"/>
              </w:num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Se desconoce la situación de trabajo con VIH que las alcaldías están realizando.</w:t>
            </w:r>
          </w:p>
        </w:tc>
        <w:tc>
          <w:tcPr>
            <w:tcW w:w="510" w:type="pct"/>
          </w:tcPr>
          <w:p w14:paraId="03B39C8C"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3.1  se han mapeado iniciativas existentes con recursos de municipalidades, como el Proyecto TB y Grandes ciudades.</w:t>
            </w:r>
          </w:p>
        </w:tc>
        <w:tc>
          <w:tcPr>
            <w:tcW w:w="578" w:type="pct"/>
          </w:tcPr>
          <w:p w14:paraId="1C894941"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-abogacía para que el financiamiento del VIH sea parte de las prioridades del plan de desarrollo del gobierno para el período 2019-2024, con prioridad en alcaldías de mayor prevalencia de VIH. ---Promover políticas de  responsabilidad social corporativa para contribuir a las intervenciones en VIH.</w:t>
            </w:r>
          </w:p>
        </w:tc>
        <w:tc>
          <w:tcPr>
            <w:tcW w:w="579" w:type="pct"/>
            <w:shd w:val="clear" w:color="auto" w:fill="auto"/>
          </w:tcPr>
          <w:p w14:paraId="59CC0466" w14:textId="77777777" w:rsidR="005C47FA" w:rsidRPr="005C47FA" w:rsidRDefault="005C47FA" w:rsidP="005C47FA">
            <w:pPr>
              <w:autoSpaceDE w:val="0"/>
              <w:autoSpaceDN w:val="0"/>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-Las capacidades generadas a partir del proceso de construcción, seguimiento y monitoreo de un plan de desarrollo incorporó a diversos actores como sociedad civil, gobiernos municipales, sector privado, socios cooperantes, entre otros.</w:t>
            </w:r>
          </w:p>
        </w:tc>
        <w:tc>
          <w:tcPr>
            <w:tcW w:w="404" w:type="pct"/>
            <w:shd w:val="clear" w:color="auto" w:fill="auto"/>
          </w:tcPr>
          <w:p w14:paraId="02D1A955"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$5,000.00</w:t>
            </w:r>
          </w:p>
        </w:tc>
        <w:tc>
          <w:tcPr>
            <w:tcW w:w="577" w:type="pct"/>
          </w:tcPr>
          <w:p w14:paraId="4059C10D"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MINSAL, ISSS, FOSALUD, Programa Nacional de VIH e ITS, Asamblea Legislativa, ISDEM, COMURES, Organizaciones de Sociedad Civil y Organizaciones del Sector Privado.</w:t>
            </w:r>
          </w:p>
        </w:tc>
        <w:tc>
          <w:tcPr>
            <w:tcW w:w="330" w:type="pct"/>
          </w:tcPr>
          <w:p w14:paraId="4E4FD8C8"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$5,000.00</w:t>
            </w:r>
          </w:p>
        </w:tc>
        <w:tc>
          <w:tcPr>
            <w:tcW w:w="656" w:type="pct"/>
          </w:tcPr>
          <w:p w14:paraId="683C3EF4" w14:textId="77777777" w:rsidR="005C47FA" w:rsidRPr="005C47FA" w:rsidRDefault="005C47FA" w:rsidP="005C47FA">
            <w:pPr>
              <w:numPr>
                <w:ilvl w:val="1"/>
                <w:numId w:val="49"/>
              </w:num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Fondos domésticos</w:t>
            </w:r>
          </w:p>
          <w:p w14:paraId="6A480FB9"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Fondos de cooperación externa</w:t>
            </w:r>
          </w:p>
        </w:tc>
      </w:tr>
    </w:tbl>
    <w:p w14:paraId="5852A8DA" w14:textId="77777777" w:rsidR="005C47FA" w:rsidRPr="005C47FA" w:rsidRDefault="005C47FA" w:rsidP="005C47FA">
      <w:pPr>
        <w:rPr>
          <w:rFonts w:asciiTheme="majorHAnsi" w:eastAsia="Times New Roman" w:hAnsiTheme="majorHAnsi" w:cstheme="majorHAnsi"/>
          <w:color w:val="000000"/>
          <w:sz w:val="16"/>
          <w:szCs w:val="16"/>
          <w:lang w:val="es-NI" w:eastAsia="es-SV"/>
        </w:rPr>
      </w:pPr>
    </w:p>
    <w:p w14:paraId="7624AA8E" w14:textId="77777777" w:rsidR="005C47FA" w:rsidRPr="005C47FA" w:rsidRDefault="005C47FA" w:rsidP="005C47FA">
      <w:pPr>
        <w:rPr>
          <w:rFonts w:asciiTheme="majorHAnsi" w:eastAsia="Times New Roman" w:hAnsiTheme="majorHAnsi" w:cstheme="majorHAnsi"/>
          <w:color w:val="000000"/>
          <w:sz w:val="16"/>
          <w:szCs w:val="16"/>
          <w:lang w:val="es-NI" w:eastAsia="es-SV"/>
        </w:rPr>
      </w:pPr>
    </w:p>
    <w:p w14:paraId="77AFF0FC" w14:textId="77777777" w:rsidR="005C47FA" w:rsidRPr="005C47FA" w:rsidRDefault="005C47FA" w:rsidP="005C47FA">
      <w:pPr>
        <w:spacing w:after="160" w:line="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br w:type="page"/>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1"/>
        <w:gridCol w:w="1677"/>
        <w:gridCol w:w="1761"/>
        <w:gridCol w:w="1969"/>
        <w:gridCol w:w="1726"/>
        <w:gridCol w:w="1351"/>
        <w:gridCol w:w="1498"/>
        <w:gridCol w:w="1351"/>
        <w:gridCol w:w="1492"/>
      </w:tblGrid>
      <w:tr w:rsidR="005C47FA" w:rsidRPr="005C47FA" w14:paraId="49129E02" w14:textId="77777777" w:rsidTr="00D47417">
        <w:trPr>
          <w:trHeight w:val="220"/>
          <w:tblHeader/>
        </w:trPr>
        <w:tc>
          <w:tcPr>
            <w:tcW w:w="727" w:type="pct"/>
            <w:shd w:val="clear" w:color="auto" w:fill="FFDCA6" w:themeFill="accent6" w:themeFillTint="66"/>
            <w:vAlign w:val="center"/>
          </w:tcPr>
          <w:p w14:paraId="33BCE6DD" w14:textId="77777777" w:rsidR="005C47FA" w:rsidRPr="005C47FA" w:rsidRDefault="005C47FA" w:rsidP="005C47FA">
            <w:pPr>
              <w:spacing w:after="60" w:line="240" w:lineRule="auto"/>
              <w:jc w:val="center"/>
              <w:rPr>
                <w:rFonts w:asciiTheme="majorHAnsi" w:eastAsia="Times New Roman" w:hAnsiTheme="majorHAnsi" w:cstheme="majorHAnsi"/>
                <w:b/>
                <w:bCs/>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lastRenderedPageBreak/>
              <w:t>Líneas de acción de la estrategia</w:t>
            </w:r>
          </w:p>
        </w:tc>
        <w:tc>
          <w:tcPr>
            <w:tcW w:w="559" w:type="pct"/>
            <w:shd w:val="clear" w:color="auto" w:fill="FFDCA6" w:themeFill="accent6" w:themeFillTint="66"/>
            <w:vAlign w:val="center"/>
          </w:tcPr>
          <w:p w14:paraId="70F174BD" w14:textId="77777777" w:rsidR="005C47FA" w:rsidRPr="005C47FA" w:rsidRDefault="005C47FA" w:rsidP="005C47FA">
            <w:pPr>
              <w:spacing w:after="6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Situación actual</w:t>
            </w:r>
          </w:p>
        </w:tc>
        <w:tc>
          <w:tcPr>
            <w:tcW w:w="587" w:type="pct"/>
            <w:shd w:val="clear" w:color="auto" w:fill="FFDCA6" w:themeFill="accent6" w:themeFillTint="66"/>
            <w:vAlign w:val="center"/>
          </w:tcPr>
          <w:p w14:paraId="7A18694C" w14:textId="77777777" w:rsidR="005C47FA" w:rsidRPr="005C47FA" w:rsidRDefault="005C47FA" w:rsidP="005C47FA">
            <w:pPr>
              <w:spacing w:after="6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Qué se ha hecho</w:t>
            </w:r>
          </w:p>
        </w:tc>
        <w:tc>
          <w:tcPr>
            <w:tcW w:w="656" w:type="pct"/>
            <w:shd w:val="clear" w:color="auto" w:fill="FFDCA6" w:themeFill="accent6" w:themeFillTint="66"/>
            <w:vAlign w:val="center"/>
          </w:tcPr>
          <w:p w14:paraId="158C8585" w14:textId="77777777" w:rsidR="005C47FA" w:rsidRPr="005C47FA" w:rsidRDefault="005C47FA" w:rsidP="005C47FA">
            <w:pPr>
              <w:spacing w:after="6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Acciones a implementar (en los próximos 4 años)</w:t>
            </w:r>
          </w:p>
        </w:tc>
        <w:tc>
          <w:tcPr>
            <w:tcW w:w="575" w:type="pct"/>
            <w:shd w:val="clear" w:color="auto" w:fill="FFDCA6" w:themeFill="accent6" w:themeFillTint="66"/>
            <w:vAlign w:val="center"/>
          </w:tcPr>
          <w:p w14:paraId="4AEAEB00" w14:textId="77777777" w:rsidR="005C47FA" w:rsidRPr="005C47FA" w:rsidRDefault="005C47FA" w:rsidP="005C47FA">
            <w:pPr>
              <w:spacing w:after="60" w:line="240" w:lineRule="auto"/>
              <w:jc w:val="center"/>
              <w:rPr>
                <w:rFonts w:asciiTheme="majorHAnsi" w:eastAsia="Times New Roman" w:hAnsiTheme="majorHAnsi" w:cstheme="majorHAnsi"/>
                <w:b/>
                <w:bCs/>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Oportunidades</w:t>
            </w:r>
          </w:p>
          <w:p w14:paraId="314634DE" w14:textId="77777777" w:rsidR="005C47FA" w:rsidRPr="005C47FA" w:rsidRDefault="005C47FA" w:rsidP="005C47FA">
            <w:pPr>
              <w:autoSpaceDE w:val="0"/>
              <w:autoSpaceDN w:val="0"/>
              <w:spacing w:after="6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/desafíos</w:t>
            </w:r>
          </w:p>
        </w:tc>
        <w:tc>
          <w:tcPr>
            <w:tcW w:w="450" w:type="pct"/>
            <w:shd w:val="clear" w:color="auto" w:fill="FFDCA6" w:themeFill="accent6" w:themeFillTint="66"/>
            <w:vAlign w:val="center"/>
          </w:tcPr>
          <w:p w14:paraId="6D6708A1" w14:textId="77777777" w:rsidR="005C47FA" w:rsidRPr="005C47FA" w:rsidRDefault="005C47FA" w:rsidP="005C47FA">
            <w:pPr>
              <w:spacing w:after="6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Costo de intervención</w:t>
            </w:r>
          </w:p>
        </w:tc>
        <w:tc>
          <w:tcPr>
            <w:tcW w:w="499" w:type="pct"/>
            <w:shd w:val="clear" w:color="auto" w:fill="FFDCA6" w:themeFill="accent6" w:themeFillTint="66"/>
            <w:vAlign w:val="center"/>
          </w:tcPr>
          <w:p w14:paraId="24C2FC7B" w14:textId="77777777" w:rsidR="005C47FA" w:rsidRPr="005C47FA" w:rsidRDefault="005C47FA" w:rsidP="005C47FA">
            <w:pPr>
              <w:spacing w:after="6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Responsables de actividades</w:t>
            </w:r>
          </w:p>
        </w:tc>
        <w:tc>
          <w:tcPr>
            <w:tcW w:w="450" w:type="pct"/>
            <w:shd w:val="clear" w:color="auto" w:fill="FFDCA6" w:themeFill="accent6" w:themeFillTint="66"/>
            <w:vAlign w:val="center"/>
          </w:tcPr>
          <w:p w14:paraId="675CB50D" w14:textId="77777777" w:rsidR="005C47FA" w:rsidRPr="005C47FA" w:rsidRDefault="005C47FA" w:rsidP="005C47FA">
            <w:pPr>
              <w:spacing w:after="6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Brecha  financiera</w:t>
            </w:r>
          </w:p>
        </w:tc>
        <w:tc>
          <w:tcPr>
            <w:tcW w:w="497" w:type="pct"/>
            <w:shd w:val="clear" w:color="auto" w:fill="FFDCA6" w:themeFill="accent6" w:themeFillTint="66"/>
            <w:vAlign w:val="center"/>
          </w:tcPr>
          <w:p w14:paraId="6A9AA0AB" w14:textId="77777777" w:rsidR="005C47FA" w:rsidRPr="005C47FA" w:rsidRDefault="005C47FA" w:rsidP="005C47FA">
            <w:pPr>
              <w:spacing w:after="6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Fuente de financiamiento</w:t>
            </w:r>
          </w:p>
        </w:tc>
      </w:tr>
      <w:tr w:rsidR="005C47FA" w:rsidRPr="005C47FA" w14:paraId="607E631E" w14:textId="77777777" w:rsidTr="00D47417">
        <w:trPr>
          <w:trHeight w:val="168"/>
        </w:trPr>
        <w:tc>
          <w:tcPr>
            <w:tcW w:w="5000" w:type="pct"/>
            <w:gridSpan w:val="9"/>
            <w:shd w:val="clear" w:color="auto" w:fill="FFDCA6" w:themeFill="accent6" w:themeFillTint="66"/>
            <w:vAlign w:val="center"/>
          </w:tcPr>
          <w:p w14:paraId="6A447D0E" w14:textId="77777777" w:rsidR="005C47FA" w:rsidRPr="005C47FA" w:rsidRDefault="005C47FA" w:rsidP="005C47FA">
            <w:pPr>
              <w:spacing w:after="60" w:line="240" w:lineRule="auto"/>
              <w:jc w:val="center"/>
              <w:rPr>
                <w:rFonts w:asciiTheme="majorHAnsi" w:eastAsia="Times New Roman" w:hAnsiTheme="majorHAnsi" w:cstheme="majorHAnsi"/>
                <w:b/>
                <w:bCs/>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Ámbito técnico-programático</w:t>
            </w:r>
          </w:p>
        </w:tc>
      </w:tr>
      <w:tr w:rsidR="005C47FA" w:rsidRPr="005C47FA" w14:paraId="574159B8" w14:textId="77777777" w:rsidTr="00D47417">
        <w:trPr>
          <w:trHeight w:val="1134"/>
        </w:trPr>
        <w:tc>
          <w:tcPr>
            <w:tcW w:w="727" w:type="pct"/>
            <w:shd w:val="clear" w:color="auto" w:fill="auto"/>
          </w:tcPr>
          <w:p w14:paraId="6BAD585A" w14:textId="77777777" w:rsidR="005C47FA" w:rsidRPr="005C47FA" w:rsidRDefault="005C47FA" w:rsidP="005C47FA">
            <w:pPr>
              <w:numPr>
                <w:ilvl w:val="0"/>
                <w:numId w:val="79"/>
              </w:numPr>
              <w:spacing w:after="60" w:line="240" w:lineRule="auto"/>
              <w:contextualSpacing/>
              <w:rPr>
                <w:rFonts w:asciiTheme="majorHAnsi" w:eastAsia="Times New Roman" w:hAnsiTheme="majorHAnsi" w:cstheme="majorHAnsi"/>
                <w:b/>
                <w:bCs/>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Reducción de costos mediante el rediseño de programas para la disminución de actividades de baja prioridad que no provocan impacto en el control de  la epidemia, la reducción en el número de nuevas infecciones por VIH y la eliminación del sida,  y movilizarlos a intervenciones costo-efectivas</w:t>
            </w:r>
          </w:p>
        </w:tc>
        <w:tc>
          <w:tcPr>
            <w:tcW w:w="559" w:type="pct"/>
            <w:shd w:val="clear" w:color="auto" w:fill="auto"/>
          </w:tcPr>
          <w:p w14:paraId="74236875" w14:textId="77777777" w:rsidR="005C47FA" w:rsidRPr="005C47FA" w:rsidRDefault="005C47FA" w:rsidP="005C47FA">
            <w:pPr>
              <w:spacing w:after="60" w:line="240" w:lineRule="auto"/>
              <w:jc w:val="both"/>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4.1 Actualmente están diseñadas acciones en el Plan Estratégico Nacional Multisectorial que corresponden a poblaciones clave;  acciones de prevención en población general (condones, ITS, CPV, PTMI, medios de comunicación masiva, maestros en el sistema escolar y profilaxis de TB), acciones de prevención en cuidados en salud (sangre segura, inyecciones médicas, PPE); servicios de cuidado y tratamiento: tratamiento antirretroviral, servicios de atención y costos de servicios para atención de infecciones oportunistas; acciones de entorno favorable y acciones de políticas, monitoreo y evaluación, administración e Investigación. </w:t>
            </w:r>
          </w:p>
        </w:tc>
        <w:tc>
          <w:tcPr>
            <w:tcW w:w="587" w:type="pct"/>
          </w:tcPr>
          <w:p w14:paraId="0D6B42C6"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4.1 Se han llevado a cabo varias evaluaciones y estudios:</w:t>
            </w:r>
          </w:p>
          <w:p w14:paraId="66ED598E"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 una evaluación internacional de las estrategias de tamizado de VIH en El Salvador mayo 2019, </w:t>
            </w:r>
          </w:p>
          <w:p w14:paraId="3A917C32"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 Evaluación en países focalizados en El Salvador APMG Health, marzo 2020 </w:t>
            </w:r>
          </w:p>
          <w:p w14:paraId="7A565B4F" w14:textId="79CE02E0"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 Análisis de portafolio de El </w:t>
            </w:r>
            <w:r w:rsidR="0083282E" w:rsidRPr="005C47FA">
              <w:rPr>
                <w:rFonts w:asciiTheme="majorHAnsi" w:eastAsia="Times New Roman" w:hAnsiTheme="majorHAnsi" w:cstheme="majorHAnsi"/>
                <w:color w:val="000000"/>
                <w:sz w:val="16"/>
                <w:szCs w:val="16"/>
                <w:lang w:val="es-NI" w:eastAsia="es-SV"/>
              </w:rPr>
              <w:t>Salvador Fondo</w:t>
            </w:r>
            <w:r w:rsidRPr="005C47FA">
              <w:rPr>
                <w:rFonts w:asciiTheme="majorHAnsi" w:eastAsia="Times New Roman" w:hAnsiTheme="majorHAnsi" w:cstheme="majorHAnsi"/>
                <w:color w:val="000000"/>
                <w:sz w:val="16"/>
                <w:szCs w:val="16"/>
                <w:lang w:val="es-NI" w:eastAsia="es-SV"/>
              </w:rPr>
              <w:t xml:space="preserve"> Mundial, octubre 2020</w:t>
            </w:r>
          </w:p>
          <w:p w14:paraId="5DF9DB09"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Consulta, revisión estrategia ONUSIDA.</w:t>
            </w:r>
          </w:p>
          <w:p w14:paraId="5554D37E"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Se ha elaborado el borrador del Plan Estratégico Nacional 2022-2026 con acciones priorizadas de mayor impacto.</w:t>
            </w:r>
          </w:p>
        </w:tc>
        <w:tc>
          <w:tcPr>
            <w:tcW w:w="656" w:type="pct"/>
          </w:tcPr>
          <w:p w14:paraId="32425FD7"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-Hacer un análisis de cada intervención y el impacto causado en su desarrollo, de forma coordinada con múltiples actores.</w:t>
            </w:r>
          </w:p>
          <w:p w14:paraId="3763977E"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-Finalizar la elaboración del nuevo PENM 2022-2026 con acciones priorizadas de mayor impacto.</w:t>
            </w:r>
          </w:p>
        </w:tc>
        <w:tc>
          <w:tcPr>
            <w:tcW w:w="575" w:type="pct"/>
            <w:shd w:val="clear" w:color="auto" w:fill="auto"/>
          </w:tcPr>
          <w:p w14:paraId="02B79531" w14:textId="77777777" w:rsidR="005C47FA" w:rsidRPr="005C47FA" w:rsidRDefault="005C47FA" w:rsidP="005C47FA">
            <w:pPr>
              <w:autoSpaceDE w:val="0"/>
              <w:autoSpaceDN w:val="0"/>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-Identificar aquellas acciones de mayor impacto que contribuyan directamente a reducir la epidemia para poder implementarlas.</w:t>
            </w:r>
          </w:p>
        </w:tc>
        <w:tc>
          <w:tcPr>
            <w:tcW w:w="450" w:type="pct"/>
            <w:shd w:val="clear" w:color="auto" w:fill="auto"/>
          </w:tcPr>
          <w:p w14:paraId="57E3392A"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$309 millones (el país tiene previsto cubrir 55%)</w:t>
            </w:r>
          </w:p>
          <w:p w14:paraId="4314DB39"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p>
        </w:tc>
        <w:tc>
          <w:tcPr>
            <w:tcW w:w="499" w:type="pct"/>
          </w:tcPr>
          <w:p w14:paraId="122AF7D2"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Subcomisión Nacional de </w:t>
            </w:r>
            <w:proofErr w:type="spellStart"/>
            <w:r w:rsidRPr="005C47FA">
              <w:rPr>
                <w:rFonts w:asciiTheme="majorHAnsi" w:eastAsia="Times New Roman" w:hAnsiTheme="majorHAnsi" w:cstheme="majorHAnsi"/>
                <w:color w:val="000000"/>
                <w:sz w:val="16"/>
                <w:szCs w:val="16"/>
                <w:lang w:val="es-NI" w:eastAsia="es-SV"/>
              </w:rPr>
              <w:t>MyE</w:t>
            </w:r>
            <w:proofErr w:type="spellEnd"/>
            <w:r w:rsidRPr="005C47FA">
              <w:rPr>
                <w:rFonts w:asciiTheme="majorHAnsi" w:eastAsia="Times New Roman" w:hAnsiTheme="majorHAnsi" w:cstheme="majorHAnsi"/>
                <w:color w:val="000000"/>
                <w:sz w:val="16"/>
                <w:szCs w:val="16"/>
                <w:lang w:val="es-NI" w:eastAsia="es-SV"/>
              </w:rPr>
              <w:t xml:space="preserve"> de CONAVIH, Programa de VIH, Sociedad Civil, Agencias de Cooperación.</w:t>
            </w:r>
          </w:p>
        </w:tc>
        <w:tc>
          <w:tcPr>
            <w:tcW w:w="450" w:type="pct"/>
          </w:tcPr>
          <w:p w14:paraId="1571EC2A" w14:textId="77777777" w:rsidR="005C47FA" w:rsidRPr="005C47FA" w:rsidRDefault="005C47FA" w:rsidP="005C47FA">
            <w:pPr>
              <w:spacing w:after="60" w:line="240" w:lineRule="auto"/>
              <w:rPr>
                <w:rFonts w:asciiTheme="majorHAnsi" w:hAnsiTheme="majorHAnsi" w:cstheme="majorHAnsi"/>
                <w:sz w:val="16"/>
                <w:szCs w:val="16"/>
                <w:lang w:val="es-NI"/>
              </w:rPr>
            </w:pPr>
            <w:r w:rsidRPr="005C47FA">
              <w:rPr>
                <w:rFonts w:asciiTheme="majorHAnsi" w:eastAsia="Times New Roman" w:hAnsiTheme="majorHAnsi" w:cstheme="majorHAnsi"/>
                <w:color w:val="000000"/>
                <w:sz w:val="16"/>
                <w:szCs w:val="16"/>
                <w:lang w:val="es-NI" w:eastAsia="es-SV"/>
              </w:rPr>
              <w:t>$</w:t>
            </w:r>
            <w:r w:rsidRPr="005C47FA">
              <w:rPr>
                <w:rFonts w:asciiTheme="majorHAnsi" w:hAnsiTheme="majorHAnsi" w:cstheme="majorHAnsi"/>
                <w:sz w:val="16"/>
                <w:szCs w:val="16"/>
                <w:lang w:val="es-NI"/>
              </w:rPr>
              <w:t xml:space="preserve"> 104,219,871</w:t>
            </w:r>
          </w:p>
          <w:p w14:paraId="4E7DB590"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hAnsiTheme="majorHAnsi" w:cstheme="majorHAnsi"/>
                <w:sz w:val="16"/>
                <w:szCs w:val="16"/>
                <w:lang w:val="es-NI"/>
              </w:rPr>
              <w:t>(33.7%)</w:t>
            </w:r>
          </w:p>
        </w:tc>
        <w:tc>
          <w:tcPr>
            <w:tcW w:w="497" w:type="pct"/>
          </w:tcPr>
          <w:p w14:paraId="47AB38E4"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4.1 Fondos domésticos (55%)</w:t>
            </w:r>
          </w:p>
          <w:p w14:paraId="0EB26C08" w14:textId="77777777" w:rsidR="005C47FA" w:rsidRPr="005C47FA" w:rsidRDefault="005C47FA" w:rsidP="005C47FA">
            <w:pPr>
              <w:numPr>
                <w:ilvl w:val="1"/>
                <w:numId w:val="79"/>
              </w:num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subvención  (5.2%)</w:t>
            </w:r>
          </w:p>
          <w:p w14:paraId="6DE72347" w14:textId="77777777" w:rsidR="005C47FA" w:rsidRPr="005C47FA" w:rsidRDefault="005C47FA" w:rsidP="005C47FA">
            <w:pPr>
              <w:numPr>
                <w:ilvl w:val="1"/>
                <w:numId w:val="79"/>
              </w:num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Cooperantes (6.1%)</w:t>
            </w:r>
          </w:p>
        </w:tc>
      </w:tr>
      <w:tr w:rsidR="005C47FA" w:rsidRPr="005C47FA" w14:paraId="1567C3E7" w14:textId="77777777" w:rsidTr="00D47417">
        <w:trPr>
          <w:trHeight w:val="497"/>
        </w:trPr>
        <w:tc>
          <w:tcPr>
            <w:tcW w:w="727" w:type="pct"/>
            <w:shd w:val="clear" w:color="auto" w:fill="auto"/>
          </w:tcPr>
          <w:p w14:paraId="011BDCA9" w14:textId="77777777" w:rsidR="005C47FA" w:rsidRPr="005C47FA" w:rsidRDefault="005C47FA" w:rsidP="005C47FA">
            <w:pPr>
              <w:numPr>
                <w:ilvl w:val="0"/>
                <w:numId w:val="79"/>
              </w:numPr>
              <w:spacing w:after="60" w:line="240" w:lineRule="auto"/>
              <w:rPr>
                <w:rFonts w:asciiTheme="majorHAnsi" w:eastAsia="Times New Roman" w:hAnsiTheme="majorHAnsi" w:cstheme="majorHAnsi"/>
                <w:b/>
                <w:bCs/>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 xml:space="preserve">Aumento de la eficiencia y efectividad,  mediante el rediseño de acciones para fortalecer y ampliar cobertura de las intervenciones del continuo de la </w:t>
            </w:r>
            <w:r w:rsidRPr="005C47FA">
              <w:rPr>
                <w:rFonts w:asciiTheme="majorHAnsi" w:eastAsia="Times New Roman" w:hAnsiTheme="majorHAnsi" w:cstheme="majorHAnsi"/>
                <w:b/>
                <w:bCs/>
                <w:color w:val="000000"/>
                <w:sz w:val="16"/>
                <w:szCs w:val="16"/>
                <w:lang w:val="es-NI" w:eastAsia="es-SV"/>
              </w:rPr>
              <w:lastRenderedPageBreak/>
              <w:t>atención que tienen un impacto positivo en el control de la epidemia,  reduciendo la probabilidad de transmisión y evitando nuevas  infecciones por VIH</w:t>
            </w:r>
          </w:p>
        </w:tc>
        <w:tc>
          <w:tcPr>
            <w:tcW w:w="559" w:type="pct"/>
            <w:shd w:val="clear" w:color="auto" w:fill="auto"/>
          </w:tcPr>
          <w:p w14:paraId="24ECF9B1"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lastRenderedPageBreak/>
              <w:t xml:space="preserve">5.1 Servicios de salud centralizados en 20 Hospitales.  </w:t>
            </w:r>
          </w:p>
          <w:p w14:paraId="3233BAEB"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5.2 No hay diferenciación de servicios de salud (horarios), CV y CD4 cada 6 meses.</w:t>
            </w:r>
          </w:p>
          <w:p w14:paraId="05969085"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lastRenderedPageBreak/>
              <w:t>5.3 Inicio de TAR independiente del conteo CD4.</w:t>
            </w:r>
          </w:p>
          <w:p w14:paraId="7C32F08D"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5.4 La dispensación de ARV solamente está confinada a 20 Hospitales del MINSAL.</w:t>
            </w:r>
          </w:p>
          <w:p w14:paraId="49435C8D"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5.5 El ISSS tiene servicios de atención centralizados en 3 Hospitales. </w:t>
            </w:r>
          </w:p>
          <w:p w14:paraId="3842711A"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5.6 No están homologados los esquemas de atención entre el ISSS y el MINSAL.</w:t>
            </w:r>
          </w:p>
          <w:p w14:paraId="67F9D127"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5.7 En el ISSS en el caso de Profilaxis Post Exposición, la receta tiene que ser firmada por </w:t>
            </w:r>
            <w:proofErr w:type="spellStart"/>
            <w:r w:rsidRPr="005C47FA">
              <w:rPr>
                <w:rFonts w:asciiTheme="majorHAnsi" w:eastAsia="Times New Roman" w:hAnsiTheme="majorHAnsi" w:cstheme="majorHAnsi"/>
                <w:color w:val="000000"/>
                <w:sz w:val="16"/>
                <w:szCs w:val="16"/>
                <w:lang w:val="es-NI" w:eastAsia="es-SV"/>
              </w:rPr>
              <w:t>infectólogo</w:t>
            </w:r>
            <w:proofErr w:type="spellEnd"/>
            <w:r w:rsidRPr="005C47FA">
              <w:rPr>
                <w:rFonts w:asciiTheme="majorHAnsi" w:eastAsia="Times New Roman" w:hAnsiTheme="majorHAnsi" w:cstheme="majorHAnsi"/>
                <w:color w:val="000000"/>
                <w:sz w:val="16"/>
                <w:szCs w:val="16"/>
                <w:lang w:val="es-NI" w:eastAsia="es-SV"/>
              </w:rPr>
              <w:t>.</w:t>
            </w:r>
          </w:p>
        </w:tc>
        <w:tc>
          <w:tcPr>
            <w:tcW w:w="587" w:type="pct"/>
          </w:tcPr>
          <w:p w14:paraId="75D9B5C8"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lastRenderedPageBreak/>
              <w:t>5.1 Fortalecimiento de las clínicas TAR en los 20 hospitales del MINSAL y se ha iniciado el proceso de fortalecimiento en el ISSS.</w:t>
            </w:r>
          </w:p>
          <w:p w14:paraId="3C1FBA15"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5.2 Modificación del Listado Institucional </w:t>
            </w:r>
            <w:r w:rsidRPr="005C47FA">
              <w:rPr>
                <w:rFonts w:asciiTheme="majorHAnsi" w:eastAsia="Times New Roman" w:hAnsiTheme="majorHAnsi" w:cstheme="majorHAnsi"/>
                <w:color w:val="000000"/>
                <w:sz w:val="16"/>
                <w:szCs w:val="16"/>
                <w:lang w:val="es-NI" w:eastAsia="es-SV"/>
              </w:rPr>
              <w:lastRenderedPageBreak/>
              <w:t xml:space="preserve">de Medicamentos Esenciales LIME para dispensación en diferentes niveles de atención y entrega de medicamentos de acuerdo a modelos diferenciados de atención y el involucramiento de las </w:t>
            </w:r>
            <w:proofErr w:type="spellStart"/>
            <w:r w:rsidRPr="005C47FA">
              <w:rPr>
                <w:rFonts w:asciiTheme="majorHAnsi" w:eastAsia="Times New Roman" w:hAnsiTheme="majorHAnsi" w:cstheme="majorHAnsi"/>
                <w:color w:val="000000"/>
                <w:sz w:val="16"/>
                <w:szCs w:val="16"/>
                <w:lang w:val="es-NI" w:eastAsia="es-SV"/>
              </w:rPr>
              <w:t>ONG´s</w:t>
            </w:r>
            <w:proofErr w:type="spellEnd"/>
            <w:r w:rsidRPr="005C47FA">
              <w:rPr>
                <w:rFonts w:asciiTheme="majorHAnsi" w:eastAsia="Times New Roman" w:hAnsiTheme="majorHAnsi" w:cstheme="majorHAnsi"/>
                <w:color w:val="000000"/>
                <w:sz w:val="16"/>
                <w:szCs w:val="16"/>
                <w:lang w:val="es-NI" w:eastAsia="es-SV"/>
              </w:rPr>
              <w:t>.</w:t>
            </w:r>
          </w:p>
          <w:p w14:paraId="28329E5B"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5.3 Fortalecimiento académico a médicos del ISSS que pueden ser potenciales tratantes de atención al VIH.</w:t>
            </w:r>
          </w:p>
          <w:p w14:paraId="38F1E406"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5.4 Entrega domiciliar de ARV respaldado en el lineamiento técnico de entrega domiciliar de medicamento con receta repetitiva en la red de hospitales aprobado en octubre 2020.</w:t>
            </w:r>
          </w:p>
          <w:p w14:paraId="32C5814A"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p>
        </w:tc>
        <w:tc>
          <w:tcPr>
            <w:tcW w:w="656" w:type="pct"/>
          </w:tcPr>
          <w:p w14:paraId="5DFDB5D1"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lastRenderedPageBreak/>
              <w:t xml:space="preserve">-Ampliación de la cobertura de atención de 20 a 31 Hospitales y la dispensación a </w:t>
            </w:r>
          </w:p>
          <w:p w14:paraId="69350D22"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UCSF especializadas que sean elegidas por sus capacidades.</w:t>
            </w:r>
          </w:p>
          <w:p w14:paraId="3345B502"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p>
          <w:p w14:paraId="143DD789"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lastRenderedPageBreak/>
              <w:t>-Descentralizar la atención médica a 10 Hospitales Nacionales del MINSAL y a 6 Unidades Médicas y Policlínico del ISSS</w:t>
            </w:r>
          </w:p>
        </w:tc>
        <w:tc>
          <w:tcPr>
            <w:tcW w:w="575" w:type="pct"/>
            <w:shd w:val="clear" w:color="auto" w:fill="auto"/>
          </w:tcPr>
          <w:p w14:paraId="23825307" w14:textId="77777777" w:rsidR="005C47FA" w:rsidRPr="005C47FA" w:rsidRDefault="005C47FA" w:rsidP="005C47FA">
            <w:pPr>
              <w:autoSpaceDE w:val="0"/>
              <w:autoSpaceDN w:val="0"/>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lastRenderedPageBreak/>
              <w:t>Ampliar las coberturas de atención a personas con VIH.</w:t>
            </w:r>
          </w:p>
        </w:tc>
        <w:tc>
          <w:tcPr>
            <w:tcW w:w="450" w:type="pct"/>
            <w:shd w:val="clear" w:color="auto" w:fill="auto"/>
          </w:tcPr>
          <w:p w14:paraId="59B7E61E"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Asistencia técnica por un monto de $20,000.00</w:t>
            </w:r>
          </w:p>
          <w:p w14:paraId="7F03FE09"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Para definir  costeo especifico de infraestructura-equipamiento-</w:t>
            </w:r>
            <w:r w:rsidRPr="005C47FA">
              <w:rPr>
                <w:rFonts w:asciiTheme="majorHAnsi" w:eastAsia="Times New Roman" w:hAnsiTheme="majorHAnsi" w:cstheme="majorHAnsi"/>
                <w:color w:val="000000"/>
                <w:sz w:val="16"/>
                <w:szCs w:val="16"/>
                <w:lang w:val="es-NI" w:eastAsia="es-SV"/>
              </w:rPr>
              <w:lastRenderedPageBreak/>
              <w:t>RRHH-Medicamentos e insumos.</w:t>
            </w:r>
          </w:p>
        </w:tc>
        <w:tc>
          <w:tcPr>
            <w:tcW w:w="499" w:type="pct"/>
          </w:tcPr>
          <w:p w14:paraId="5735AA1C"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lastRenderedPageBreak/>
              <w:t>Programa de VIH, ISSS</w:t>
            </w:r>
          </w:p>
          <w:p w14:paraId="40CBE457"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Dirección de Hospitales del MINSAL</w:t>
            </w:r>
          </w:p>
          <w:p w14:paraId="6903B438"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Dirección de Primer Nivel de </w:t>
            </w:r>
            <w:r w:rsidRPr="005C47FA">
              <w:rPr>
                <w:rFonts w:asciiTheme="majorHAnsi" w:eastAsia="Times New Roman" w:hAnsiTheme="majorHAnsi" w:cstheme="majorHAnsi"/>
                <w:color w:val="000000"/>
                <w:sz w:val="16"/>
                <w:szCs w:val="16"/>
                <w:lang w:val="es-NI" w:eastAsia="es-SV"/>
              </w:rPr>
              <w:lastRenderedPageBreak/>
              <w:t>Atención del MINSAL</w:t>
            </w:r>
          </w:p>
          <w:p w14:paraId="4E25C7A5"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p>
        </w:tc>
        <w:tc>
          <w:tcPr>
            <w:tcW w:w="450" w:type="pct"/>
          </w:tcPr>
          <w:p w14:paraId="1A68F616"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lastRenderedPageBreak/>
              <w:t>$20,000.00</w:t>
            </w:r>
          </w:p>
        </w:tc>
        <w:tc>
          <w:tcPr>
            <w:tcW w:w="497" w:type="pct"/>
          </w:tcPr>
          <w:p w14:paraId="47B5681C" w14:textId="77777777" w:rsidR="005C47FA" w:rsidRPr="005C47FA" w:rsidRDefault="005C47FA" w:rsidP="005C47FA">
            <w:pPr>
              <w:spacing w:after="60" w:line="240" w:lineRule="auto"/>
              <w:ind w:left="360"/>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Fondos de cooperantes</w:t>
            </w:r>
          </w:p>
        </w:tc>
      </w:tr>
      <w:tr w:rsidR="005C47FA" w:rsidRPr="005C47FA" w14:paraId="62B8F558" w14:textId="77777777" w:rsidTr="00D47417">
        <w:trPr>
          <w:trHeight w:val="487"/>
        </w:trPr>
        <w:tc>
          <w:tcPr>
            <w:tcW w:w="727" w:type="pct"/>
            <w:shd w:val="clear" w:color="auto" w:fill="auto"/>
          </w:tcPr>
          <w:p w14:paraId="48D34491" w14:textId="77777777" w:rsidR="005C47FA" w:rsidRPr="005C47FA" w:rsidRDefault="005C47FA" w:rsidP="005C47FA">
            <w:pPr>
              <w:numPr>
                <w:ilvl w:val="0"/>
                <w:numId w:val="79"/>
              </w:numPr>
              <w:spacing w:after="60" w:line="240" w:lineRule="auto"/>
              <w:rPr>
                <w:rFonts w:asciiTheme="majorHAnsi" w:eastAsia="Times New Roman" w:hAnsiTheme="majorHAnsi" w:cstheme="majorHAnsi"/>
                <w:b/>
                <w:bCs/>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Aumento de la eficiencia y efectividad,  mediante el rediseño de acciones para fortalecer y ampliar cobertura de las intervenciones del continuo de la atención que tienen un impacto positivo en el control de la epidemia,  reduciendo la probabilidad de transmisión y evitando nuevas  infecciones por VIH</w:t>
            </w:r>
          </w:p>
        </w:tc>
        <w:tc>
          <w:tcPr>
            <w:tcW w:w="559" w:type="pct"/>
            <w:shd w:val="clear" w:color="auto" w:fill="auto"/>
          </w:tcPr>
          <w:p w14:paraId="6BFA4BBC"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6.1 Actualmente existe un solo modelo de atención para Personas con VIH, pero OMS propone diferenciar la atención lo que implica definir la estructura orgánica dentro del MINSAL que conducirá el proceso.</w:t>
            </w:r>
          </w:p>
        </w:tc>
        <w:tc>
          <w:tcPr>
            <w:tcW w:w="587" w:type="pct"/>
          </w:tcPr>
          <w:p w14:paraId="7C385C10" w14:textId="77777777" w:rsidR="005C47FA" w:rsidRPr="005C47FA" w:rsidRDefault="005C47FA" w:rsidP="005C47FA">
            <w:pPr>
              <w:numPr>
                <w:ilvl w:val="1"/>
                <w:numId w:val="27"/>
              </w:numPr>
              <w:spacing w:after="60" w:line="240" w:lineRule="auto"/>
              <w:ind w:left="360"/>
              <w:contextualSpacing/>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se ha iniciado la implementación de modelos diferenciados de atención en pacientes estables y definir sus costos, a partir de la entrega </w:t>
            </w:r>
            <w:proofErr w:type="spellStart"/>
            <w:r w:rsidRPr="005C47FA">
              <w:rPr>
                <w:rFonts w:asciiTheme="majorHAnsi" w:eastAsia="Times New Roman" w:hAnsiTheme="majorHAnsi" w:cstheme="majorHAnsi"/>
                <w:color w:val="000000"/>
                <w:sz w:val="16"/>
                <w:szCs w:val="16"/>
                <w:lang w:val="es-NI" w:eastAsia="es-SV"/>
              </w:rPr>
              <w:t>multimes</w:t>
            </w:r>
            <w:proofErr w:type="spellEnd"/>
            <w:r w:rsidRPr="005C47FA">
              <w:rPr>
                <w:rFonts w:asciiTheme="majorHAnsi" w:eastAsia="Times New Roman" w:hAnsiTheme="majorHAnsi" w:cstheme="majorHAnsi"/>
                <w:color w:val="000000"/>
                <w:sz w:val="16"/>
                <w:szCs w:val="16"/>
                <w:lang w:val="es-NI" w:eastAsia="es-SV"/>
              </w:rPr>
              <w:t xml:space="preserve"> a nivel domiciliar.</w:t>
            </w:r>
          </w:p>
        </w:tc>
        <w:tc>
          <w:tcPr>
            <w:tcW w:w="656" w:type="pct"/>
          </w:tcPr>
          <w:p w14:paraId="1930B9E4"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-Descentralizar la entrega ARV al primer y 2do nivel de atención.</w:t>
            </w:r>
          </w:p>
          <w:p w14:paraId="7D581ED7"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-Ampliar la entrega </w:t>
            </w:r>
            <w:proofErr w:type="spellStart"/>
            <w:r w:rsidRPr="005C47FA">
              <w:rPr>
                <w:rFonts w:asciiTheme="majorHAnsi" w:eastAsia="Times New Roman" w:hAnsiTheme="majorHAnsi" w:cstheme="majorHAnsi"/>
                <w:color w:val="000000"/>
                <w:sz w:val="16"/>
                <w:szCs w:val="16"/>
                <w:lang w:val="es-NI" w:eastAsia="es-SV"/>
              </w:rPr>
              <w:t>multimes</w:t>
            </w:r>
            <w:proofErr w:type="spellEnd"/>
            <w:r w:rsidRPr="005C47FA">
              <w:rPr>
                <w:rFonts w:asciiTheme="majorHAnsi" w:eastAsia="Times New Roman" w:hAnsiTheme="majorHAnsi" w:cstheme="majorHAnsi"/>
                <w:color w:val="000000"/>
                <w:sz w:val="16"/>
                <w:szCs w:val="16"/>
                <w:lang w:val="es-NI" w:eastAsia="es-SV"/>
              </w:rPr>
              <w:t xml:space="preserve"> de 2 meses a 3 meses.</w:t>
            </w:r>
          </w:p>
        </w:tc>
        <w:tc>
          <w:tcPr>
            <w:tcW w:w="575" w:type="pct"/>
            <w:shd w:val="clear" w:color="auto" w:fill="auto"/>
          </w:tcPr>
          <w:p w14:paraId="38A41518" w14:textId="77777777" w:rsidR="005C47FA" w:rsidRPr="005C47FA" w:rsidRDefault="005C47FA" w:rsidP="005C47FA">
            <w:pPr>
              <w:autoSpaceDE w:val="0"/>
              <w:autoSpaceDN w:val="0"/>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Ampliar las coberturas de atención a personas con VIH.</w:t>
            </w:r>
          </w:p>
        </w:tc>
        <w:tc>
          <w:tcPr>
            <w:tcW w:w="450" w:type="pct"/>
            <w:shd w:val="clear" w:color="auto" w:fill="auto"/>
          </w:tcPr>
          <w:p w14:paraId="09C9FE48"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$500,000 aproximado.</w:t>
            </w:r>
          </w:p>
        </w:tc>
        <w:tc>
          <w:tcPr>
            <w:tcW w:w="499" w:type="pct"/>
          </w:tcPr>
          <w:p w14:paraId="252CCB5A" w14:textId="77777777" w:rsidR="005C47FA" w:rsidRPr="005C47FA" w:rsidRDefault="005C47FA" w:rsidP="005C47FA">
            <w:pPr>
              <w:autoSpaceDE w:val="0"/>
              <w:autoSpaceDN w:val="0"/>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Unidad de Programa ITS y VIH, Sociedad Civil agencias de cooperación e ISSS.</w:t>
            </w:r>
          </w:p>
        </w:tc>
        <w:tc>
          <w:tcPr>
            <w:tcW w:w="450" w:type="pct"/>
          </w:tcPr>
          <w:p w14:paraId="42820234"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$300,000 aprox.</w:t>
            </w:r>
          </w:p>
        </w:tc>
        <w:tc>
          <w:tcPr>
            <w:tcW w:w="497" w:type="pct"/>
          </w:tcPr>
          <w:p w14:paraId="109B5BD0"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Fondos domésticos </w:t>
            </w:r>
          </w:p>
          <w:p w14:paraId="331DE2A6"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p>
          <w:p w14:paraId="1C8CDAF7" w14:textId="77777777" w:rsidR="005C47FA" w:rsidRPr="005C47FA" w:rsidRDefault="005C47FA" w:rsidP="005C47FA">
            <w:pPr>
              <w:spacing w:after="6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Cooperantes</w:t>
            </w:r>
          </w:p>
        </w:tc>
      </w:tr>
    </w:tbl>
    <w:p w14:paraId="6CA912F9" w14:textId="77777777" w:rsidR="005C47FA" w:rsidRPr="005C47FA" w:rsidRDefault="005C47FA" w:rsidP="005C47FA">
      <w:pPr>
        <w:spacing w:after="0" w:line="240" w:lineRule="auto"/>
        <w:rPr>
          <w:rFonts w:asciiTheme="majorHAnsi" w:hAnsiTheme="majorHAnsi" w:cstheme="majorHAnsi"/>
          <w:sz w:val="16"/>
          <w:szCs w:val="16"/>
          <w:lang w:val="es-NI"/>
        </w:rPr>
      </w:pPr>
      <w:r w:rsidRPr="005C47FA">
        <w:rPr>
          <w:rFonts w:asciiTheme="majorHAnsi" w:hAnsiTheme="majorHAnsi" w:cstheme="majorHAnsi"/>
          <w:sz w:val="16"/>
          <w:szCs w:val="16"/>
          <w:lang w:val="es-N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2080"/>
        <w:gridCol w:w="1496"/>
        <w:gridCol w:w="1607"/>
        <w:gridCol w:w="1914"/>
        <w:gridCol w:w="1290"/>
        <w:gridCol w:w="1591"/>
        <w:gridCol w:w="1053"/>
        <w:gridCol w:w="2074"/>
      </w:tblGrid>
      <w:tr w:rsidR="005C47FA" w:rsidRPr="005C47FA" w14:paraId="2A83FAC9" w14:textId="77777777" w:rsidTr="00D47417">
        <w:trPr>
          <w:trHeight w:val="771"/>
          <w:tblHeader/>
        </w:trPr>
        <w:tc>
          <w:tcPr>
            <w:tcW w:w="742" w:type="pct"/>
            <w:shd w:val="clear" w:color="auto" w:fill="C0C0C2" w:themeFill="accent3" w:themeFillTint="66"/>
            <w:vAlign w:val="center"/>
          </w:tcPr>
          <w:p w14:paraId="2D49CAC7" w14:textId="77777777" w:rsidR="005C47FA" w:rsidRPr="005C47FA" w:rsidRDefault="005C47FA" w:rsidP="005C47FA">
            <w:pPr>
              <w:spacing w:after="0" w:line="240" w:lineRule="auto"/>
              <w:jc w:val="center"/>
              <w:rPr>
                <w:rFonts w:asciiTheme="majorHAnsi" w:eastAsia="Times New Roman" w:hAnsiTheme="majorHAnsi" w:cstheme="majorHAnsi"/>
                <w:b/>
                <w:bCs/>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lastRenderedPageBreak/>
              <w:t>Líneas de acción de la estrategia</w:t>
            </w:r>
          </w:p>
        </w:tc>
        <w:tc>
          <w:tcPr>
            <w:tcW w:w="676" w:type="pct"/>
            <w:shd w:val="clear" w:color="auto" w:fill="C0C0C2" w:themeFill="accent3" w:themeFillTint="66"/>
            <w:vAlign w:val="center"/>
          </w:tcPr>
          <w:p w14:paraId="02F4F290" w14:textId="77777777" w:rsidR="005C47FA" w:rsidRPr="005C47FA" w:rsidRDefault="005C47FA" w:rsidP="005C47FA">
            <w:pPr>
              <w:spacing w:after="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Situación actual</w:t>
            </w:r>
          </w:p>
        </w:tc>
        <w:tc>
          <w:tcPr>
            <w:tcW w:w="486" w:type="pct"/>
            <w:shd w:val="clear" w:color="auto" w:fill="C0C0C2" w:themeFill="accent3" w:themeFillTint="66"/>
            <w:vAlign w:val="center"/>
          </w:tcPr>
          <w:p w14:paraId="0A0A2F9E" w14:textId="77777777" w:rsidR="005C47FA" w:rsidRPr="005C47FA" w:rsidRDefault="005C47FA" w:rsidP="005C47FA">
            <w:pPr>
              <w:spacing w:after="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Qué se ha hecho</w:t>
            </w:r>
          </w:p>
        </w:tc>
        <w:tc>
          <w:tcPr>
            <w:tcW w:w="522" w:type="pct"/>
            <w:shd w:val="clear" w:color="auto" w:fill="C0C0C2" w:themeFill="accent3" w:themeFillTint="66"/>
            <w:vAlign w:val="center"/>
          </w:tcPr>
          <w:p w14:paraId="43D187CF" w14:textId="77777777" w:rsidR="005C47FA" w:rsidRPr="005C47FA" w:rsidRDefault="005C47FA" w:rsidP="005C47FA">
            <w:pPr>
              <w:spacing w:after="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Acciones a implementar (en los próximos 4 años)</w:t>
            </w:r>
          </w:p>
        </w:tc>
        <w:tc>
          <w:tcPr>
            <w:tcW w:w="622" w:type="pct"/>
            <w:shd w:val="clear" w:color="auto" w:fill="C0C0C2" w:themeFill="accent3" w:themeFillTint="66"/>
            <w:vAlign w:val="center"/>
          </w:tcPr>
          <w:p w14:paraId="5853DEA3" w14:textId="77777777" w:rsidR="005C47FA" w:rsidRPr="005C47FA" w:rsidRDefault="005C47FA" w:rsidP="005C47FA">
            <w:pPr>
              <w:jc w:val="center"/>
              <w:rPr>
                <w:rFonts w:asciiTheme="majorHAnsi" w:eastAsia="Times New Roman" w:hAnsiTheme="majorHAnsi" w:cstheme="majorHAnsi"/>
                <w:b/>
                <w:bCs/>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Oportunidades</w:t>
            </w:r>
          </w:p>
          <w:p w14:paraId="24910AF4" w14:textId="77777777" w:rsidR="005C47FA" w:rsidRPr="005C47FA" w:rsidRDefault="005C47FA" w:rsidP="005C47FA">
            <w:pPr>
              <w:autoSpaceDE w:val="0"/>
              <w:autoSpaceDN w:val="0"/>
              <w:spacing w:after="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/desafíos</w:t>
            </w:r>
          </w:p>
        </w:tc>
        <w:tc>
          <w:tcPr>
            <w:tcW w:w="419" w:type="pct"/>
            <w:shd w:val="clear" w:color="auto" w:fill="C0C0C2" w:themeFill="accent3" w:themeFillTint="66"/>
            <w:vAlign w:val="center"/>
          </w:tcPr>
          <w:p w14:paraId="6B5DF028" w14:textId="77777777" w:rsidR="005C47FA" w:rsidRPr="005C47FA" w:rsidRDefault="005C47FA" w:rsidP="005C47FA">
            <w:pPr>
              <w:spacing w:after="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Costo de intervención</w:t>
            </w:r>
          </w:p>
        </w:tc>
        <w:tc>
          <w:tcPr>
            <w:tcW w:w="517" w:type="pct"/>
            <w:shd w:val="clear" w:color="auto" w:fill="C0C0C2" w:themeFill="accent3" w:themeFillTint="66"/>
            <w:vAlign w:val="center"/>
          </w:tcPr>
          <w:p w14:paraId="0DD30D3E" w14:textId="77777777" w:rsidR="005C47FA" w:rsidRPr="005C47FA" w:rsidRDefault="005C47FA" w:rsidP="005C47FA">
            <w:pPr>
              <w:spacing w:after="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Responsables de actividades</w:t>
            </w:r>
          </w:p>
        </w:tc>
        <w:tc>
          <w:tcPr>
            <w:tcW w:w="342" w:type="pct"/>
            <w:shd w:val="clear" w:color="auto" w:fill="C0C0C2" w:themeFill="accent3" w:themeFillTint="66"/>
            <w:vAlign w:val="center"/>
          </w:tcPr>
          <w:p w14:paraId="74AFCDC6" w14:textId="77777777" w:rsidR="005C47FA" w:rsidRPr="005C47FA" w:rsidRDefault="005C47FA" w:rsidP="005C47FA">
            <w:pPr>
              <w:spacing w:after="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Brecha  financiera</w:t>
            </w:r>
          </w:p>
        </w:tc>
        <w:tc>
          <w:tcPr>
            <w:tcW w:w="674" w:type="pct"/>
            <w:shd w:val="clear" w:color="auto" w:fill="C0C0C2" w:themeFill="accent3" w:themeFillTint="66"/>
            <w:vAlign w:val="center"/>
          </w:tcPr>
          <w:p w14:paraId="1776255C" w14:textId="77777777" w:rsidR="005C47FA" w:rsidRPr="005C47FA" w:rsidRDefault="005C47FA" w:rsidP="005C47FA">
            <w:pPr>
              <w:spacing w:after="0" w:line="240" w:lineRule="auto"/>
              <w:jc w:val="cente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Fuente de financiamiento</w:t>
            </w:r>
          </w:p>
        </w:tc>
      </w:tr>
      <w:tr w:rsidR="005C47FA" w:rsidRPr="005C47FA" w14:paraId="31F649A8" w14:textId="77777777" w:rsidTr="00D47417">
        <w:trPr>
          <w:trHeight w:hRule="exact" w:val="357"/>
        </w:trPr>
        <w:tc>
          <w:tcPr>
            <w:tcW w:w="5000" w:type="pct"/>
            <w:gridSpan w:val="9"/>
            <w:shd w:val="clear" w:color="auto" w:fill="C0C0C2" w:themeFill="accent3" w:themeFillTint="66"/>
            <w:vAlign w:val="center"/>
          </w:tcPr>
          <w:p w14:paraId="2438CBFC" w14:textId="77777777" w:rsidR="005C47FA" w:rsidRPr="005C47FA" w:rsidRDefault="005C47FA" w:rsidP="005C47FA">
            <w:pPr>
              <w:spacing w:after="0" w:line="240" w:lineRule="auto"/>
              <w:jc w:val="center"/>
              <w:rPr>
                <w:rFonts w:asciiTheme="majorHAnsi" w:eastAsia="Times New Roman" w:hAnsiTheme="majorHAnsi" w:cstheme="majorHAnsi"/>
                <w:b/>
                <w:bCs/>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Ámbito político-normativo</w:t>
            </w:r>
          </w:p>
        </w:tc>
      </w:tr>
      <w:tr w:rsidR="005C47FA" w:rsidRPr="005C47FA" w14:paraId="43AD45CE" w14:textId="77777777" w:rsidTr="00D47417">
        <w:trPr>
          <w:trHeight w:val="2445"/>
        </w:trPr>
        <w:tc>
          <w:tcPr>
            <w:tcW w:w="742" w:type="pct"/>
            <w:shd w:val="clear" w:color="auto" w:fill="auto"/>
          </w:tcPr>
          <w:p w14:paraId="507473F8" w14:textId="77777777" w:rsidR="005C47FA" w:rsidRPr="005C47FA" w:rsidRDefault="005C47FA" w:rsidP="005C47FA">
            <w:pPr>
              <w:numPr>
                <w:ilvl w:val="0"/>
                <w:numId w:val="79"/>
              </w:numPr>
              <w:spacing w:after="0" w:line="240" w:lineRule="auto"/>
              <w:contextualSpacing/>
              <w:rPr>
                <w:rFonts w:asciiTheme="majorHAnsi" w:eastAsia="Times New Roman" w:hAnsiTheme="majorHAnsi" w:cstheme="majorHAnsi"/>
                <w:b/>
                <w:bCs/>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Reducción del estigma y discriminación hacia poblaciones clave mediante el fortalecimiento del marco protector de políticas y su implementación, con el fin de eliminar barreras para que las poblaciones clave busquen y accedan a servicios oportunos y efectivos de prevención y atención en VIH</w:t>
            </w:r>
          </w:p>
        </w:tc>
        <w:tc>
          <w:tcPr>
            <w:tcW w:w="676" w:type="pct"/>
            <w:shd w:val="clear" w:color="auto" w:fill="auto"/>
          </w:tcPr>
          <w:p w14:paraId="1E91C4F1" w14:textId="77777777" w:rsidR="005C47FA" w:rsidRPr="005C47FA" w:rsidRDefault="005C47FA" w:rsidP="005C47FA">
            <w:pPr>
              <w:spacing w:after="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7.1 Alto grado de estigma y discriminación dirigida a población clave</w:t>
            </w:r>
          </w:p>
        </w:tc>
        <w:tc>
          <w:tcPr>
            <w:tcW w:w="486" w:type="pct"/>
          </w:tcPr>
          <w:p w14:paraId="593D0ED7" w14:textId="77777777" w:rsidR="005C47FA" w:rsidRPr="005C47FA" w:rsidRDefault="005C47FA" w:rsidP="005C47FA">
            <w:pPr>
              <w:spacing w:after="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7.1 aprobación de normativas, lineamientos de atención para poblaciones clave como: Los Lineamientos LGBTI del MINSAL, Guía de Atención de Personas con VIH, Decreto Ejecutivo 56, entre otros.</w:t>
            </w:r>
          </w:p>
          <w:p w14:paraId="166F3E47" w14:textId="77777777" w:rsidR="005C47FA" w:rsidRPr="005C47FA" w:rsidRDefault="005C47FA" w:rsidP="005C47FA">
            <w:pPr>
              <w:spacing w:after="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7.2 se diseñó curso virtual en Derechos Humanos para personas LGBTI y VIH y se están impartiendo con el liderazgo de la PDDH y socios estratégicos. Actualmente se han capacitado alrededor de 50 profesiones se espera alcanzar la meta de 300 profesionales a nivel de tomadores de decisiones.</w:t>
            </w:r>
          </w:p>
        </w:tc>
        <w:tc>
          <w:tcPr>
            <w:tcW w:w="522" w:type="pct"/>
          </w:tcPr>
          <w:p w14:paraId="44B4DA0C" w14:textId="77777777" w:rsidR="005C47FA" w:rsidRPr="005C47FA" w:rsidRDefault="005C47FA" w:rsidP="005C47FA">
            <w:pPr>
              <w:spacing w:after="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-Medición anual del Índice de Estigma y Discriminación.</w:t>
            </w:r>
          </w:p>
          <w:p w14:paraId="691DD74C" w14:textId="77777777" w:rsidR="005C47FA" w:rsidRPr="005C47FA" w:rsidRDefault="005C47FA" w:rsidP="005C47FA">
            <w:pPr>
              <w:spacing w:after="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-Capacitación derechos humanos de población LGBTI a funcionarios públicos tomadores de decisiones de instituciones del sistema nacional de salud, Fiscalía, PDDHH, Procuraduría General de la República (PGR), Sector académico.</w:t>
            </w:r>
          </w:p>
          <w:p w14:paraId="38D96FC0" w14:textId="77777777" w:rsidR="005C47FA" w:rsidRPr="005C47FA" w:rsidRDefault="005C47FA" w:rsidP="005C47FA">
            <w:pPr>
              <w:spacing w:after="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-Desarrollar un equipo de facilitadores del Ministerio de Salud en abordaje de estigma y discriminación, basado en la experiencia de estrategia VICITS</w:t>
            </w:r>
          </w:p>
          <w:p w14:paraId="08A0FD3C" w14:textId="77777777" w:rsidR="005C47FA" w:rsidRPr="005C47FA" w:rsidRDefault="005C47FA" w:rsidP="005C47FA">
            <w:pPr>
              <w:spacing w:after="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Aplicación de mecanismos para que el usuario exprese trato estigmatizante en las CAI.</w:t>
            </w:r>
          </w:p>
          <w:p w14:paraId="231F8A2A" w14:textId="77777777" w:rsidR="005C47FA" w:rsidRPr="005C47FA" w:rsidRDefault="005C47FA" w:rsidP="005C47FA">
            <w:pPr>
              <w:spacing w:after="0" w:line="240" w:lineRule="auto"/>
              <w:rPr>
                <w:rFonts w:asciiTheme="majorHAnsi" w:eastAsia="Times New Roman" w:hAnsiTheme="majorHAnsi" w:cstheme="majorHAnsi"/>
                <w:color w:val="000000"/>
                <w:sz w:val="16"/>
                <w:szCs w:val="16"/>
                <w:lang w:val="es-NI" w:eastAsia="es-SV"/>
              </w:rPr>
            </w:pPr>
          </w:p>
        </w:tc>
        <w:tc>
          <w:tcPr>
            <w:tcW w:w="622" w:type="pct"/>
            <w:shd w:val="clear" w:color="auto" w:fill="auto"/>
          </w:tcPr>
          <w:p w14:paraId="0C043CE9" w14:textId="77777777" w:rsidR="005C47FA" w:rsidRPr="005C47FA" w:rsidRDefault="005C47FA" w:rsidP="005C47FA">
            <w:pPr>
              <w:autoSpaceDE w:val="0"/>
              <w:autoSpaceDN w:val="0"/>
              <w:spacing w:after="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-Aplicación de las normativas existentes por el personal de salud y servidores públicos.</w:t>
            </w:r>
          </w:p>
          <w:p w14:paraId="19A16D58" w14:textId="77777777" w:rsidR="005C47FA" w:rsidRPr="005C47FA" w:rsidRDefault="005C47FA" w:rsidP="005C47FA">
            <w:pPr>
              <w:autoSpaceDE w:val="0"/>
              <w:autoSpaceDN w:val="0"/>
              <w:spacing w:after="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-Índice de Estigma y Discriminación del personal público por encima del 90%.</w:t>
            </w:r>
          </w:p>
        </w:tc>
        <w:tc>
          <w:tcPr>
            <w:tcW w:w="419" w:type="pct"/>
            <w:shd w:val="clear" w:color="auto" w:fill="auto"/>
          </w:tcPr>
          <w:p w14:paraId="60EC935F" w14:textId="77777777" w:rsidR="005C47FA" w:rsidRPr="005C47FA" w:rsidRDefault="005C47FA" w:rsidP="005C47FA">
            <w:pPr>
              <w:spacing w:after="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$40,000</w:t>
            </w:r>
          </w:p>
        </w:tc>
        <w:tc>
          <w:tcPr>
            <w:tcW w:w="517" w:type="pct"/>
          </w:tcPr>
          <w:p w14:paraId="6EDE8B82" w14:textId="77777777" w:rsidR="005C47FA" w:rsidRPr="005C47FA" w:rsidRDefault="005C47FA" w:rsidP="005C47FA">
            <w:pPr>
              <w:spacing w:after="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PDDH, SIS, REDCA, ONG´S, organismos internacionales.</w:t>
            </w:r>
          </w:p>
        </w:tc>
        <w:tc>
          <w:tcPr>
            <w:tcW w:w="342" w:type="pct"/>
            <w:shd w:val="clear" w:color="auto" w:fill="auto"/>
          </w:tcPr>
          <w:p w14:paraId="6A9AFEEC" w14:textId="77777777" w:rsidR="005C47FA" w:rsidRPr="005C47FA" w:rsidRDefault="005C47FA" w:rsidP="005C47FA">
            <w:pPr>
              <w:spacing w:after="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$40,000</w:t>
            </w:r>
          </w:p>
        </w:tc>
        <w:tc>
          <w:tcPr>
            <w:tcW w:w="674" w:type="pct"/>
            <w:shd w:val="clear" w:color="auto" w:fill="auto"/>
          </w:tcPr>
          <w:p w14:paraId="573297F2" w14:textId="77777777" w:rsidR="005C47FA" w:rsidRPr="005C47FA" w:rsidRDefault="005C47FA" w:rsidP="005C47FA">
            <w:pPr>
              <w:numPr>
                <w:ilvl w:val="0"/>
                <w:numId w:val="50"/>
              </w:numPr>
              <w:spacing w:after="0" w:line="240" w:lineRule="auto"/>
              <w:contextualSpacing/>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Fondos domésticos-fondos PEPFAR-USAID</w:t>
            </w:r>
          </w:p>
          <w:p w14:paraId="4AFC148D" w14:textId="77777777" w:rsidR="005C47FA" w:rsidRPr="005C47FA" w:rsidRDefault="005C47FA" w:rsidP="005C47FA">
            <w:pPr>
              <w:numPr>
                <w:ilvl w:val="0"/>
                <w:numId w:val="50"/>
              </w:numPr>
              <w:spacing w:after="0" w:line="240" w:lineRule="auto"/>
              <w:contextualSpacing/>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Subvención </w:t>
            </w:r>
          </w:p>
        </w:tc>
      </w:tr>
      <w:tr w:rsidR="005C47FA" w:rsidRPr="005C47FA" w14:paraId="574F9427" w14:textId="77777777" w:rsidTr="00D47417">
        <w:trPr>
          <w:trHeight w:val="798"/>
        </w:trPr>
        <w:tc>
          <w:tcPr>
            <w:tcW w:w="742" w:type="pct"/>
            <w:shd w:val="clear" w:color="auto" w:fill="auto"/>
          </w:tcPr>
          <w:p w14:paraId="695BCED8" w14:textId="77777777" w:rsidR="005C47FA" w:rsidRPr="005C47FA" w:rsidRDefault="005C47FA" w:rsidP="005C47FA">
            <w:pPr>
              <w:numPr>
                <w:ilvl w:val="0"/>
                <w:numId w:val="79"/>
              </w:numPr>
              <w:spacing w:after="0" w:line="240" w:lineRule="auto"/>
              <w:contextualSpacing/>
              <w:rPr>
                <w:rFonts w:asciiTheme="majorHAnsi" w:eastAsia="Times New Roman" w:hAnsiTheme="majorHAnsi" w:cstheme="majorHAnsi"/>
                <w:b/>
                <w:bCs/>
                <w:color w:val="000000"/>
                <w:sz w:val="16"/>
                <w:szCs w:val="16"/>
                <w:lang w:val="es-NI" w:eastAsia="es-SV"/>
              </w:rPr>
            </w:pPr>
            <w:r w:rsidRPr="005C47FA">
              <w:rPr>
                <w:rFonts w:asciiTheme="majorHAnsi" w:eastAsia="Times New Roman" w:hAnsiTheme="majorHAnsi" w:cstheme="majorHAnsi"/>
                <w:b/>
                <w:bCs/>
                <w:color w:val="000000"/>
                <w:sz w:val="16"/>
                <w:szCs w:val="16"/>
                <w:lang w:val="es-NI" w:eastAsia="es-SV"/>
              </w:rPr>
              <w:t xml:space="preserve">Fortalecimiento de marco de políticas y procesos relacionados con la conducción y gestión para la movilización, asignación y ejecución presupuestaria oportunas; alineación de metas con presupuesto; puesta en práctica de </w:t>
            </w:r>
            <w:r w:rsidRPr="005C47FA">
              <w:rPr>
                <w:rFonts w:asciiTheme="majorHAnsi" w:eastAsia="Times New Roman" w:hAnsiTheme="majorHAnsi" w:cstheme="majorHAnsi"/>
                <w:b/>
                <w:bCs/>
                <w:color w:val="000000"/>
                <w:sz w:val="16"/>
                <w:szCs w:val="16"/>
                <w:lang w:val="es-NI" w:eastAsia="es-SV"/>
              </w:rPr>
              <w:lastRenderedPageBreak/>
              <w:t>herramientas para la reasignación presupuestaria basada en datos; entrega oportuna de datos financieros y de gasto, así como el desempeño y calidad de los programas</w:t>
            </w:r>
          </w:p>
        </w:tc>
        <w:tc>
          <w:tcPr>
            <w:tcW w:w="676" w:type="pct"/>
            <w:shd w:val="clear" w:color="auto" w:fill="auto"/>
          </w:tcPr>
          <w:p w14:paraId="021B1A9A" w14:textId="77777777" w:rsidR="005C47FA" w:rsidRPr="005C47FA" w:rsidRDefault="005C47FA" w:rsidP="005C47FA">
            <w:pPr>
              <w:numPr>
                <w:ilvl w:val="1"/>
                <w:numId w:val="79"/>
              </w:numPr>
              <w:spacing w:after="0" w:line="240" w:lineRule="auto"/>
              <w:contextualSpacing/>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lastRenderedPageBreak/>
              <w:t xml:space="preserve">Actualmente existe la Comisión Nacional de VIH y sus subcomisiones para la conducción de la epidemia, sin embargo, la CONAVIH estaba bajo el mandato del Programa de VIH, lo que significa que no tiene autonomía en la </w:t>
            </w:r>
            <w:r w:rsidRPr="005C47FA">
              <w:rPr>
                <w:rFonts w:asciiTheme="majorHAnsi" w:eastAsia="Times New Roman" w:hAnsiTheme="majorHAnsi" w:cstheme="majorHAnsi"/>
                <w:color w:val="000000"/>
                <w:sz w:val="16"/>
                <w:szCs w:val="16"/>
                <w:lang w:val="es-NI" w:eastAsia="es-SV"/>
              </w:rPr>
              <w:lastRenderedPageBreak/>
              <w:t>toma de decisiones. Por otro lado, existe el Mecanismos Coordinador de país MCP-ES quien da seguimiento a los proyectos del Fondo Mundial.</w:t>
            </w:r>
          </w:p>
          <w:p w14:paraId="64D82929" w14:textId="77777777" w:rsidR="005C47FA" w:rsidRPr="005C47FA" w:rsidRDefault="005C47FA" w:rsidP="005C47FA">
            <w:pPr>
              <w:numPr>
                <w:ilvl w:val="1"/>
                <w:numId w:val="79"/>
              </w:numPr>
              <w:spacing w:after="0" w:line="240" w:lineRule="auto"/>
              <w:contextualSpacing/>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Actualmente existe un limitado espacio de toma de decisiones encaminadas a la verificación de asignaciones presupuestarias, ejecución de fondos, puesta en práctica de herramientas innovadoras, así como el desempeño y calidad de los programas</w:t>
            </w:r>
          </w:p>
        </w:tc>
        <w:tc>
          <w:tcPr>
            <w:tcW w:w="486" w:type="pct"/>
          </w:tcPr>
          <w:p w14:paraId="53AFF1F9" w14:textId="77777777" w:rsidR="005C47FA" w:rsidRPr="005C47FA" w:rsidRDefault="005C47FA" w:rsidP="005C47FA">
            <w:pP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lastRenderedPageBreak/>
              <w:t xml:space="preserve">8.1 En agosto 2020 se reestructuro el MINSAL y en el nuevo organigrama la Comisión Nacional de VIH y sus subcomisiones </w:t>
            </w:r>
            <w:r w:rsidRPr="005C47FA">
              <w:rPr>
                <w:rFonts w:asciiTheme="majorHAnsi" w:eastAsia="Times New Roman" w:hAnsiTheme="majorHAnsi" w:cstheme="majorHAnsi"/>
                <w:color w:val="000000"/>
                <w:sz w:val="16"/>
                <w:szCs w:val="16"/>
                <w:lang w:val="es-NI" w:eastAsia="es-SV"/>
              </w:rPr>
              <w:lastRenderedPageBreak/>
              <w:t>para la conducción de la epidemia, depende directamente del Ministro de Salud.</w:t>
            </w:r>
          </w:p>
        </w:tc>
        <w:tc>
          <w:tcPr>
            <w:tcW w:w="522" w:type="pct"/>
          </w:tcPr>
          <w:p w14:paraId="1FE2B367" w14:textId="77777777" w:rsidR="005C47FA" w:rsidRPr="005C47FA" w:rsidRDefault="005C47FA" w:rsidP="005C47FA">
            <w:pP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lastRenderedPageBreak/>
              <w:t>- Conformar la Comisión Nacional de Sostenibilidad de la Respuesta al VIH para el seguimiento del plan de acción de sostenibilidad.</w:t>
            </w:r>
          </w:p>
          <w:p w14:paraId="57093701" w14:textId="77777777" w:rsidR="005C47FA" w:rsidRPr="005C47FA" w:rsidRDefault="005C47FA" w:rsidP="005C47FA">
            <w:pPr>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-continuar la medición del Índice </w:t>
            </w:r>
            <w:r w:rsidRPr="005C47FA">
              <w:rPr>
                <w:rFonts w:asciiTheme="majorHAnsi" w:eastAsia="Times New Roman" w:hAnsiTheme="majorHAnsi" w:cstheme="majorHAnsi"/>
                <w:color w:val="000000"/>
                <w:sz w:val="16"/>
                <w:szCs w:val="16"/>
                <w:lang w:val="es-NI" w:eastAsia="es-SV"/>
              </w:rPr>
              <w:lastRenderedPageBreak/>
              <w:t>de Sostenibilidad (SID) y elaborar plan de acción para cierre de brecha.</w:t>
            </w:r>
          </w:p>
        </w:tc>
        <w:tc>
          <w:tcPr>
            <w:tcW w:w="622" w:type="pct"/>
            <w:shd w:val="clear" w:color="auto" w:fill="auto"/>
          </w:tcPr>
          <w:p w14:paraId="1790113C" w14:textId="77777777" w:rsidR="005C47FA" w:rsidRPr="005C47FA" w:rsidRDefault="005C47FA" w:rsidP="005C47FA">
            <w:pPr>
              <w:autoSpaceDE w:val="0"/>
              <w:autoSpaceDN w:val="0"/>
              <w:spacing w:after="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lastRenderedPageBreak/>
              <w:t>Existen instituciones y organizaciones interesadas en hacer el fortalecimiento de la gestión de VIH, conformar o crear comisiones especiales para tales fines.</w:t>
            </w:r>
          </w:p>
        </w:tc>
        <w:tc>
          <w:tcPr>
            <w:tcW w:w="419" w:type="pct"/>
            <w:shd w:val="clear" w:color="auto" w:fill="auto"/>
          </w:tcPr>
          <w:p w14:paraId="0CF1E58B" w14:textId="77777777" w:rsidR="005C47FA" w:rsidRPr="005C47FA" w:rsidRDefault="005C47FA" w:rsidP="005C47FA">
            <w:pPr>
              <w:spacing w:after="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$10,000</w:t>
            </w:r>
          </w:p>
        </w:tc>
        <w:tc>
          <w:tcPr>
            <w:tcW w:w="517" w:type="pct"/>
          </w:tcPr>
          <w:p w14:paraId="36FFC88F" w14:textId="77777777" w:rsidR="005C47FA" w:rsidRPr="005C47FA" w:rsidRDefault="005C47FA" w:rsidP="005C47FA">
            <w:pPr>
              <w:spacing w:after="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Unidad del Programa ITS y VIH, Sociedad Civil agencias de cooperación, Ministerio de Hacienda, Ministerio de Trabajo, Empresa Privada, entre otros.</w:t>
            </w:r>
          </w:p>
        </w:tc>
        <w:tc>
          <w:tcPr>
            <w:tcW w:w="342" w:type="pct"/>
          </w:tcPr>
          <w:p w14:paraId="0DBDDF3C" w14:textId="77777777" w:rsidR="005C47FA" w:rsidRPr="005C47FA" w:rsidRDefault="005C47FA" w:rsidP="005C47FA">
            <w:pPr>
              <w:spacing w:after="0" w:line="240" w:lineRule="auto"/>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$10,000</w:t>
            </w:r>
          </w:p>
        </w:tc>
        <w:tc>
          <w:tcPr>
            <w:tcW w:w="674" w:type="pct"/>
          </w:tcPr>
          <w:p w14:paraId="4829A6A3" w14:textId="77777777" w:rsidR="005C47FA" w:rsidRPr="005C47FA" w:rsidRDefault="005C47FA" w:rsidP="005C47FA">
            <w:pPr>
              <w:numPr>
                <w:ilvl w:val="0"/>
                <w:numId w:val="51"/>
              </w:numPr>
              <w:spacing w:after="0" w:line="240" w:lineRule="auto"/>
              <w:contextualSpacing/>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Fondos domésticos</w:t>
            </w:r>
          </w:p>
          <w:p w14:paraId="00EA8AA5" w14:textId="77777777" w:rsidR="005C47FA" w:rsidRPr="005C47FA" w:rsidRDefault="005C47FA" w:rsidP="005C47FA">
            <w:pPr>
              <w:numPr>
                <w:ilvl w:val="0"/>
                <w:numId w:val="51"/>
              </w:numPr>
              <w:spacing w:after="0" w:line="240" w:lineRule="auto"/>
              <w:contextualSpacing/>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Subvención</w:t>
            </w:r>
          </w:p>
          <w:p w14:paraId="40D57DBC" w14:textId="77777777" w:rsidR="005C47FA" w:rsidRPr="005C47FA" w:rsidRDefault="005C47FA" w:rsidP="005C47FA">
            <w:pPr>
              <w:numPr>
                <w:ilvl w:val="0"/>
                <w:numId w:val="51"/>
              </w:numPr>
              <w:spacing w:after="0" w:line="240" w:lineRule="auto"/>
              <w:contextualSpacing/>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 xml:space="preserve">ROP 2022-PEPFAR </w:t>
            </w:r>
          </w:p>
          <w:p w14:paraId="59456C10" w14:textId="77777777" w:rsidR="005C47FA" w:rsidRPr="005C47FA" w:rsidRDefault="005C47FA" w:rsidP="005C47FA">
            <w:pPr>
              <w:numPr>
                <w:ilvl w:val="0"/>
                <w:numId w:val="51"/>
              </w:numPr>
              <w:spacing w:after="0" w:line="240" w:lineRule="auto"/>
              <w:contextualSpacing/>
              <w:rPr>
                <w:rFonts w:asciiTheme="majorHAnsi" w:eastAsia="Times New Roman" w:hAnsiTheme="majorHAnsi" w:cstheme="majorHAnsi"/>
                <w:color w:val="000000"/>
                <w:sz w:val="16"/>
                <w:szCs w:val="16"/>
                <w:lang w:val="es-NI" w:eastAsia="es-SV"/>
              </w:rPr>
            </w:pPr>
            <w:r w:rsidRPr="005C47FA">
              <w:rPr>
                <w:rFonts w:asciiTheme="majorHAnsi" w:eastAsia="Times New Roman" w:hAnsiTheme="majorHAnsi" w:cstheme="majorHAnsi"/>
                <w:color w:val="000000"/>
                <w:sz w:val="16"/>
                <w:szCs w:val="16"/>
                <w:lang w:val="es-NI" w:eastAsia="es-SV"/>
              </w:rPr>
              <w:t>ONUSIDA</w:t>
            </w:r>
          </w:p>
        </w:tc>
      </w:tr>
    </w:tbl>
    <w:p w14:paraId="1E0E7CD3" w14:textId="77777777" w:rsidR="005C47FA" w:rsidRPr="00DA1093" w:rsidRDefault="005C47FA" w:rsidP="00CB4224">
      <w:pPr>
        <w:spacing w:after="0"/>
        <w:rPr>
          <w:rFonts w:asciiTheme="majorHAnsi" w:hAnsiTheme="majorHAnsi" w:cstheme="majorHAnsi"/>
          <w:sz w:val="16"/>
          <w:szCs w:val="16"/>
          <w:lang w:bidi="es-ES"/>
        </w:rPr>
      </w:pPr>
    </w:p>
    <w:p w14:paraId="5E1D5FD4" w14:textId="77777777" w:rsidR="005C47FA" w:rsidRPr="00DA1093" w:rsidRDefault="005C47FA" w:rsidP="00CB4224">
      <w:pPr>
        <w:spacing w:after="0"/>
        <w:rPr>
          <w:rFonts w:asciiTheme="majorHAnsi" w:hAnsiTheme="majorHAnsi" w:cstheme="majorHAnsi"/>
          <w:sz w:val="16"/>
          <w:szCs w:val="16"/>
          <w:lang w:bidi="es-ES"/>
        </w:rPr>
      </w:pPr>
    </w:p>
    <w:p w14:paraId="13C6A9A8" w14:textId="77777777" w:rsidR="005C47FA" w:rsidRPr="00DA1093" w:rsidRDefault="005C47FA" w:rsidP="00CB4224">
      <w:pPr>
        <w:spacing w:after="0"/>
        <w:rPr>
          <w:rFonts w:asciiTheme="majorHAnsi" w:hAnsiTheme="majorHAnsi" w:cstheme="majorHAnsi"/>
          <w:sz w:val="16"/>
          <w:szCs w:val="16"/>
          <w:lang w:bidi="es-ES"/>
        </w:rPr>
      </w:pPr>
    </w:p>
    <w:p w14:paraId="63A83271" w14:textId="77777777" w:rsidR="005C47FA" w:rsidRPr="00DA1093" w:rsidRDefault="005C47FA" w:rsidP="00CB4224">
      <w:pPr>
        <w:spacing w:after="0"/>
        <w:rPr>
          <w:rFonts w:asciiTheme="majorHAnsi" w:hAnsiTheme="majorHAnsi" w:cstheme="majorHAnsi"/>
          <w:sz w:val="16"/>
          <w:szCs w:val="16"/>
          <w:lang w:bidi="es-ES"/>
        </w:rPr>
      </w:pPr>
    </w:p>
    <w:p w14:paraId="1FCE6B45" w14:textId="77777777" w:rsidR="005C47FA" w:rsidRPr="00DA1093" w:rsidRDefault="005C47FA" w:rsidP="00CB4224">
      <w:pPr>
        <w:spacing w:after="0"/>
        <w:rPr>
          <w:rFonts w:asciiTheme="majorHAnsi" w:hAnsiTheme="majorHAnsi" w:cstheme="majorHAnsi"/>
          <w:sz w:val="16"/>
          <w:szCs w:val="16"/>
          <w:lang w:bidi="es-ES"/>
        </w:rPr>
      </w:pPr>
    </w:p>
    <w:p w14:paraId="159696EC" w14:textId="77777777" w:rsidR="005C47FA" w:rsidRPr="00DA1093" w:rsidRDefault="005C47FA" w:rsidP="00CB4224">
      <w:pPr>
        <w:spacing w:after="0"/>
        <w:rPr>
          <w:rFonts w:asciiTheme="majorHAnsi" w:hAnsiTheme="majorHAnsi" w:cstheme="majorHAnsi"/>
          <w:sz w:val="16"/>
          <w:szCs w:val="16"/>
          <w:lang w:bidi="es-ES"/>
        </w:rPr>
      </w:pPr>
    </w:p>
    <w:p w14:paraId="2B6EF53C" w14:textId="77777777" w:rsidR="005C47FA" w:rsidRPr="00DA1093" w:rsidRDefault="005C47FA" w:rsidP="00CB4224">
      <w:pPr>
        <w:spacing w:after="0"/>
        <w:rPr>
          <w:rFonts w:asciiTheme="majorHAnsi" w:hAnsiTheme="majorHAnsi" w:cstheme="majorHAnsi"/>
          <w:sz w:val="16"/>
          <w:szCs w:val="16"/>
          <w:lang w:bidi="es-ES"/>
        </w:rPr>
      </w:pPr>
    </w:p>
    <w:p w14:paraId="7D62D4E3" w14:textId="77777777" w:rsidR="005C47FA" w:rsidRPr="00DA1093" w:rsidRDefault="005C47FA" w:rsidP="00CB4224">
      <w:pPr>
        <w:spacing w:after="0"/>
        <w:rPr>
          <w:rFonts w:asciiTheme="majorHAnsi" w:hAnsiTheme="majorHAnsi" w:cstheme="majorHAnsi"/>
          <w:sz w:val="16"/>
          <w:szCs w:val="16"/>
          <w:lang w:bidi="es-ES"/>
        </w:rPr>
      </w:pPr>
    </w:p>
    <w:p w14:paraId="0A6B1FD2" w14:textId="77777777" w:rsidR="005C47FA" w:rsidRPr="00DA1093" w:rsidRDefault="005C47FA" w:rsidP="00CB4224">
      <w:pPr>
        <w:spacing w:after="0"/>
        <w:rPr>
          <w:rFonts w:asciiTheme="majorHAnsi" w:hAnsiTheme="majorHAnsi" w:cstheme="majorHAnsi"/>
          <w:sz w:val="16"/>
          <w:szCs w:val="16"/>
          <w:lang w:bidi="es-ES"/>
        </w:rPr>
      </w:pPr>
    </w:p>
    <w:p w14:paraId="6E39FF80" w14:textId="77777777" w:rsidR="005C47FA" w:rsidRPr="00DA1093" w:rsidRDefault="005C47FA" w:rsidP="00CB4224">
      <w:pPr>
        <w:spacing w:after="0"/>
        <w:rPr>
          <w:rFonts w:asciiTheme="majorHAnsi" w:hAnsiTheme="majorHAnsi" w:cstheme="majorHAnsi"/>
          <w:sz w:val="16"/>
          <w:szCs w:val="16"/>
          <w:lang w:bidi="es-ES"/>
        </w:rPr>
      </w:pPr>
    </w:p>
    <w:p w14:paraId="59B26122" w14:textId="77777777" w:rsidR="005C47FA" w:rsidRPr="00DA1093" w:rsidRDefault="005C47FA" w:rsidP="00CB4224">
      <w:pPr>
        <w:spacing w:after="0"/>
        <w:rPr>
          <w:rFonts w:asciiTheme="majorHAnsi" w:hAnsiTheme="majorHAnsi" w:cstheme="majorHAnsi"/>
          <w:sz w:val="16"/>
          <w:szCs w:val="16"/>
          <w:lang w:bidi="es-ES"/>
        </w:rPr>
      </w:pPr>
    </w:p>
    <w:p w14:paraId="1C9429E9" w14:textId="77777777" w:rsidR="005C47FA" w:rsidRPr="00DA1093" w:rsidRDefault="005C47FA" w:rsidP="00CB4224">
      <w:pPr>
        <w:spacing w:after="0"/>
        <w:rPr>
          <w:rFonts w:asciiTheme="majorHAnsi" w:hAnsiTheme="majorHAnsi" w:cstheme="majorHAnsi"/>
          <w:sz w:val="16"/>
          <w:szCs w:val="16"/>
          <w:lang w:bidi="es-ES"/>
        </w:rPr>
      </w:pPr>
    </w:p>
    <w:p w14:paraId="7656EED6" w14:textId="77777777" w:rsidR="005C47FA" w:rsidRPr="00DA1093" w:rsidRDefault="005C47FA" w:rsidP="00CB4224">
      <w:pPr>
        <w:spacing w:after="0"/>
        <w:rPr>
          <w:rFonts w:asciiTheme="majorHAnsi" w:hAnsiTheme="majorHAnsi" w:cstheme="majorHAnsi"/>
          <w:sz w:val="16"/>
          <w:szCs w:val="16"/>
          <w:lang w:bidi="es-ES"/>
        </w:rPr>
      </w:pPr>
    </w:p>
    <w:p w14:paraId="642E74B4" w14:textId="7B188298" w:rsidR="005C47FA" w:rsidRDefault="005C47FA" w:rsidP="00CB4224">
      <w:pPr>
        <w:spacing w:after="0"/>
        <w:rPr>
          <w:rFonts w:cs="Arial"/>
          <w:lang w:bidi="es-ES"/>
        </w:rPr>
        <w:sectPr w:rsidR="005C47FA" w:rsidSect="00CB4224">
          <w:pgSz w:w="16838" w:h="11906" w:orient="landscape" w:code="9"/>
          <w:pgMar w:top="720" w:right="720" w:bottom="720" w:left="720" w:header="720" w:footer="289" w:gutter="0"/>
          <w:cols w:space="720"/>
          <w:titlePg/>
          <w:docGrid w:linePitch="360"/>
        </w:sectPr>
      </w:pPr>
    </w:p>
    <w:p w14:paraId="05E80D74" w14:textId="3B69D4AF" w:rsidR="004619FD" w:rsidRPr="00841157" w:rsidRDefault="004619FD" w:rsidP="004619FD">
      <w:pPr>
        <w:pStyle w:val="Heading1"/>
        <w:numPr>
          <w:ilvl w:val="0"/>
          <w:numId w:val="0"/>
        </w:numPr>
        <w:pBdr>
          <w:top w:val="single" w:sz="4" w:space="0"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before="0" w:after="0"/>
        <w:ind w:left="567" w:hanging="567"/>
        <w:rPr>
          <w:b/>
        </w:rPr>
      </w:pPr>
      <w:r w:rsidRPr="00B271DB">
        <w:rPr>
          <w:b/>
          <w:lang w:bidi="es-ES"/>
        </w:rPr>
        <w:lastRenderedPageBreak/>
        <w:t>Anexo 1: Lista de comprobación de documentos</w:t>
      </w:r>
    </w:p>
    <w:p w14:paraId="3258BF2F" w14:textId="77777777" w:rsidR="004619FD" w:rsidRPr="00841157" w:rsidRDefault="004619FD" w:rsidP="004619FD">
      <w:pPr>
        <w:pStyle w:val="ListParagraph"/>
        <w:spacing w:line="360" w:lineRule="auto"/>
        <w:ind w:left="0"/>
        <w:rPr>
          <w:rFonts w:cs="Arial"/>
        </w:rPr>
      </w:pPr>
    </w:p>
    <w:p w14:paraId="1B05CBD7" w14:textId="7D8D1824" w:rsidR="0087373E" w:rsidRPr="00841157" w:rsidRDefault="004619FD" w:rsidP="004619FD">
      <w:pPr>
        <w:pStyle w:val="ListParagraph"/>
        <w:spacing w:line="360" w:lineRule="auto"/>
        <w:ind w:left="0"/>
        <w:rPr>
          <w:rFonts w:cs="Arial"/>
        </w:rPr>
      </w:pPr>
      <w:r w:rsidRPr="00B271DB">
        <w:rPr>
          <w:rFonts w:cs="Arial"/>
          <w:lang w:bidi="es-ES"/>
        </w:rPr>
        <w:t>Utilice la lista que aparece a continuación para confirmar que su expediente de solicitud está completo:</w:t>
      </w:r>
    </w:p>
    <w:tbl>
      <w:tblPr>
        <w:tblStyle w:val="TableGrid20"/>
        <w:tblpPr w:leftFromText="180" w:rightFromText="180" w:vertAnchor="text" w:tblpY="1"/>
        <w:tblOverlap w:val="never"/>
        <w:tblW w:w="102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9688"/>
      </w:tblGrid>
      <w:tr w:rsidR="006810B2" w:rsidRPr="00A56294" w14:paraId="2A2CC4CD" w14:textId="77777777" w:rsidTr="006810B2">
        <w:trPr>
          <w:trHeight w:val="567"/>
        </w:trPr>
        <w:tc>
          <w:tcPr>
            <w:tcW w:w="567" w:type="dxa"/>
            <w:shd w:val="clear" w:color="auto" w:fill="auto"/>
            <w:vAlign w:val="center"/>
          </w:tcPr>
          <w:p w14:paraId="14EF1921" w14:textId="77777777" w:rsidR="006810B2" w:rsidRPr="00DB0BE5" w:rsidRDefault="00381E40" w:rsidP="00DB0BE5">
            <w:pPr>
              <w:rPr>
                <w:rFonts w:asciiTheme="minorHAnsi" w:hAnsiTheme="minorHAnsi" w:cstheme="minorHAnsi"/>
              </w:rPr>
            </w:pPr>
            <w:sdt>
              <w:sdtPr>
                <w:rPr>
                  <w:rFonts w:asciiTheme="minorHAnsi" w:hAnsiTheme="minorHAnsi" w:cstheme="minorHAnsi"/>
                </w:rPr>
                <w:id w:val="-180662496"/>
                <w14:checkbox>
                  <w14:checked w14:val="0"/>
                  <w14:checkedState w14:val="2612" w14:font="MS Gothic"/>
                  <w14:uncheckedState w14:val="2610" w14:font="MS Gothic"/>
                </w14:checkbox>
              </w:sdtPr>
              <w:sdtContent>
                <w:r w:rsidR="006810B2" w:rsidRPr="00DB0BE5">
                  <w:rPr>
                    <w:rFonts w:ascii="Segoe UI Symbol" w:eastAsia="MS Gothic" w:hAnsi="Segoe UI Symbol" w:cs="Segoe UI Symbol"/>
                    <w:lang w:bidi="es-ES"/>
                  </w:rPr>
                  <w:t>☐</w:t>
                </w:r>
              </w:sdtContent>
            </w:sdt>
          </w:p>
        </w:tc>
        <w:tc>
          <w:tcPr>
            <w:tcW w:w="9688" w:type="dxa"/>
            <w:vAlign w:val="center"/>
          </w:tcPr>
          <w:p w14:paraId="33A3B392" w14:textId="77777777" w:rsidR="006810B2" w:rsidRPr="00841157" w:rsidRDefault="006810B2" w:rsidP="006810B2">
            <w:pPr>
              <w:rPr>
                <w:rFonts w:ascii="Arial" w:hAnsi="Arial"/>
                <w:sz w:val="22"/>
                <w:szCs w:val="22"/>
              </w:rPr>
            </w:pPr>
            <w:r w:rsidRPr="00B74DAA">
              <w:rPr>
                <w:rFonts w:ascii="Arial" w:eastAsia="Arial" w:hAnsi="Arial" w:cstheme="minorBidi"/>
                <w:lang w:bidi="es-ES"/>
              </w:rPr>
              <w:t>Formulario de solicitud de financiamiento</w:t>
            </w:r>
          </w:p>
        </w:tc>
      </w:tr>
      <w:tr w:rsidR="006810B2" w:rsidRPr="00A56294" w14:paraId="799804E6" w14:textId="77777777" w:rsidTr="006810B2">
        <w:trPr>
          <w:trHeight w:val="567"/>
        </w:trPr>
        <w:tc>
          <w:tcPr>
            <w:tcW w:w="567" w:type="dxa"/>
            <w:shd w:val="clear" w:color="auto" w:fill="auto"/>
            <w:vAlign w:val="center"/>
          </w:tcPr>
          <w:p w14:paraId="1286C15F" w14:textId="77777777" w:rsidR="006810B2" w:rsidRPr="00DB0BE5" w:rsidRDefault="00381E40" w:rsidP="00DB0BE5">
            <w:pPr>
              <w:rPr>
                <w:rFonts w:asciiTheme="minorHAnsi" w:hAnsiTheme="minorHAnsi" w:cstheme="minorHAnsi"/>
              </w:rPr>
            </w:pPr>
            <w:sdt>
              <w:sdtPr>
                <w:rPr>
                  <w:rFonts w:asciiTheme="minorHAnsi" w:hAnsiTheme="minorHAnsi" w:cstheme="minorHAnsi"/>
                </w:rPr>
                <w:id w:val="-797372883"/>
                <w14:checkbox>
                  <w14:checked w14:val="0"/>
                  <w14:checkedState w14:val="2612" w14:font="MS Gothic"/>
                  <w14:uncheckedState w14:val="2610" w14:font="MS Gothic"/>
                </w14:checkbox>
              </w:sdtPr>
              <w:sdtContent>
                <w:r w:rsidR="006810B2" w:rsidRPr="00DB0BE5">
                  <w:rPr>
                    <w:rFonts w:ascii="Segoe UI Symbol" w:eastAsia="Segoe UI Symbol" w:hAnsi="Segoe UI Symbol" w:cs="Segoe UI Symbol"/>
                    <w:lang w:bidi="es-ES"/>
                  </w:rPr>
                  <w:t>☐</w:t>
                </w:r>
              </w:sdtContent>
            </w:sdt>
          </w:p>
        </w:tc>
        <w:tc>
          <w:tcPr>
            <w:tcW w:w="9688" w:type="dxa"/>
            <w:vAlign w:val="center"/>
          </w:tcPr>
          <w:p w14:paraId="56B50545" w14:textId="53D7F6B2" w:rsidR="006810B2" w:rsidRPr="00841157" w:rsidRDefault="006810B2" w:rsidP="006810B2">
            <w:pPr>
              <w:rPr>
                <w:rFonts w:ascii="Arial" w:hAnsi="Arial"/>
                <w:b/>
                <w:sz w:val="22"/>
                <w:szCs w:val="22"/>
              </w:rPr>
            </w:pPr>
            <w:r w:rsidRPr="00B74DAA">
              <w:rPr>
                <w:rFonts w:ascii="Arial" w:eastAsia="Arial" w:hAnsi="Arial" w:cstheme="minorBidi"/>
                <w:lang w:bidi="es-ES"/>
              </w:rPr>
              <w:t xml:space="preserve">Tabla(s) de </w:t>
            </w:r>
            <w:r w:rsidR="00F877E4">
              <w:rPr>
                <w:rFonts w:ascii="Arial" w:eastAsia="Arial" w:hAnsi="Arial" w:cstheme="minorBidi"/>
                <w:lang w:bidi="es-ES"/>
              </w:rPr>
              <w:t>brechas</w:t>
            </w:r>
            <w:r w:rsidR="00F877E4" w:rsidRPr="00B74DAA">
              <w:rPr>
                <w:rFonts w:ascii="Arial" w:eastAsia="Arial" w:hAnsi="Arial" w:cstheme="minorBidi"/>
                <w:lang w:bidi="es-ES"/>
              </w:rPr>
              <w:t xml:space="preserve"> </w:t>
            </w:r>
            <w:r w:rsidRPr="00B74DAA">
              <w:rPr>
                <w:rFonts w:ascii="Arial" w:eastAsia="Arial" w:hAnsi="Arial" w:cstheme="minorBidi"/>
                <w:lang w:bidi="es-ES"/>
              </w:rPr>
              <w:t>programáticas</w:t>
            </w:r>
          </w:p>
        </w:tc>
      </w:tr>
      <w:tr w:rsidR="006810B2" w:rsidRPr="00A56294" w14:paraId="6DCCCCFB" w14:textId="77777777" w:rsidTr="006810B2">
        <w:trPr>
          <w:trHeight w:val="567"/>
        </w:trPr>
        <w:tc>
          <w:tcPr>
            <w:tcW w:w="567" w:type="dxa"/>
            <w:shd w:val="clear" w:color="auto" w:fill="auto"/>
            <w:vAlign w:val="center"/>
          </w:tcPr>
          <w:p w14:paraId="5800EDC7" w14:textId="77777777" w:rsidR="006810B2" w:rsidRPr="00DB0BE5" w:rsidRDefault="00381E40" w:rsidP="00DB0BE5">
            <w:pPr>
              <w:rPr>
                <w:rFonts w:asciiTheme="minorHAnsi" w:hAnsiTheme="minorHAnsi" w:cstheme="minorHAnsi"/>
              </w:rPr>
            </w:pPr>
            <w:sdt>
              <w:sdtPr>
                <w:rPr>
                  <w:rFonts w:asciiTheme="minorHAnsi" w:hAnsiTheme="minorHAnsi" w:cstheme="minorHAnsi"/>
                </w:rPr>
                <w:id w:val="254638760"/>
                <w14:checkbox>
                  <w14:checked w14:val="0"/>
                  <w14:checkedState w14:val="2612" w14:font="MS Gothic"/>
                  <w14:uncheckedState w14:val="2610" w14:font="MS Gothic"/>
                </w14:checkbox>
              </w:sdtPr>
              <w:sdtContent>
                <w:r w:rsidR="006810B2" w:rsidRPr="00DB0BE5">
                  <w:rPr>
                    <w:rFonts w:ascii="Segoe UI Symbol" w:eastAsia="Segoe UI Symbol" w:hAnsi="Segoe UI Symbol" w:cs="Segoe UI Symbol"/>
                    <w:lang w:bidi="es-ES"/>
                  </w:rPr>
                  <w:t>☐</w:t>
                </w:r>
              </w:sdtContent>
            </w:sdt>
          </w:p>
        </w:tc>
        <w:tc>
          <w:tcPr>
            <w:tcW w:w="9688" w:type="dxa"/>
            <w:vAlign w:val="center"/>
          </w:tcPr>
          <w:p w14:paraId="36AEDFCF" w14:textId="77777777" w:rsidR="006810B2" w:rsidRPr="00841157" w:rsidRDefault="006810B2" w:rsidP="006810B2">
            <w:pPr>
              <w:rPr>
                <w:rFonts w:ascii="Arial" w:hAnsi="Arial"/>
                <w:b/>
                <w:sz w:val="22"/>
                <w:szCs w:val="22"/>
              </w:rPr>
            </w:pPr>
            <w:r w:rsidRPr="00B74DAA">
              <w:rPr>
                <w:rFonts w:ascii="Arial" w:eastAsia="Arial" w:hAnsi="Arial" w:cstheme="minorBidi"/>
                <w:lang w:bidi="es-ES"/>
              </w:rPr>
              <w:t>Tabla(s) de panorama de financiamiento</w:t>
            </w:r>
          </w:p>
        </w:tc>
      </w:tr>
      <w:tr w:rsidR="006810B2" w:rsidRPr="0098274C" w14:paraId="33424CB1" w14:textId="77777777" w:rsidTr="006810B2">
        <w:trPr>
          <w:trHeight w:val="567"/>
        </w:trPr>
        <w:tc>
          <w:tcPr>
            <w:tcW w:w="567" w:type="dxa"/>
            <w:shd w:val="clear" w:color="auto" w:fill="auto"/>
            <w:vAlign w:val="center"/>
          </w:tcPr>
          <w:p w14:paraId="64E0AFA5" w14:textId="77777777" w:rsidR="006810B2" w:rsidRPr="00DB0BE5" w:rsidRDefault="00381E40" w:rsidP="00DB0BE5">
            <w:pPr>
              <w:rPr>
                <w:rFonts w:asciiTheme="minorHAnsi" w:hAnsiTheme="minorHAnsi" w:cstheme="minorHAnsi"/>
              </w:rPr>
            </w:pPr>
            <w:sdt>
              <w:sdtPr>
                <w:rPr>
                  <w:rFonts w:asciiTheme="minorHAnsi" w:hAnsiTheme="minorHAnsi" w:cstheme="minorHAnsi"/>
                </w:rPr>
                <w:id w:val="189352396"/>
                <w14:checkbox>
                  <w14:checked w14:val="0"/>
                  <w14:checkedState w14:val="2612" w14:font="MS Gothic"/>
                  <w14:uncheckedState w14:val="2610" w14:font="MS Gothic"/>
                </w14:checkbox>
              </w:sdtPr>
              <w:sdtContent>
                <w:r w:rsidR="006810B2" w:rsidRPr="00DB0BE5">
                  <w:rPr>
                    <w:rFonts w:ascii="Segoe UI Symbol" w:eastAsia="Segoe UI Symbol" w:hAnsi="Segoe UI Symbol" w:cs="Segoe UI Symbol"/>
                    <w:lang w:bidi="es-ES"/>
                  </w:rPr>
                  <w:t>☐</w:t>
                </w:r>
              </w:sdtContent>
            </w:sdt>
          </w:p>
        </w:tc>
        <w:tc>
          <w:tcPr>
            <w:tcW w:w="9688" w:type="dxa"/>
            <w:vAlign w:val="center"/>
          </w:tcPr>
          <w:p w14:paraId="1ABF2D87" w14:textId="77777777" w:rsidR="006810B2" w:rsidRPr="00B74DAA" w:rsidRDefault="006810B2" w:rsidP="006810B2">
            <w:pPr>
              <w:rPr>
                <w:rFonts w:ascii="Arial" w:hAnsi="Arial"/>
                <w:b/>
                <w:sz w:val="22"/>
                <w:szCs w:val="22"/>
              </w:rPr>
            </w:pPr>
            <w:r w:rsidRPr="00B74DAA">
              <w:rPr>
                <w:rFonts w:ascii="Arial" w:eastAsia="Arial" w:hAnsi="Arial" w:cstheme="minorBidi"/>
                <w:lang w:bidi="es-ES"/>
              </w:rPr>
              <w:t>Marco de desempeño</w:t>
            </w:r>
          </w:p>
        </w:tc>
      </w:tr>
      <w:tr w:rsidR="006810B2" w:rsidRPr="0098274C" w14:paraId="30892731" w14:textId="77777777" w:rsidTr="006810B2">
        <w:trPr>
          <w:trHeight w:val="567"/>
        </w:trPr>
        <w:tc>
          <w:tcPr>
            <w:tcW w:w="567" w:type="dxa"/>
            <w:shd w:val="clear" w:color="auto" w:fill="auto"/>
            <w:vAlign w:val="center"/>
          </w:tcPr>
          <w:p w14:paraId="1184E211" w14:textId="77777777" w:rsidR="006810B2" w:rsidRPr="00DB0BE5" w:rsidRDefault="00381E40" w:rsidP="00DB0BE5">
            <w:pPr>
              <w:rPr>
                <w:rFonts w:asciiTheme="minorHAnsi" w:hAnsiTheme="minorHAnsi" w:cstheme="minorHAnsi"/>
              </w:rPr>
            </w:pPr>
            <w:sdt>
              <w:sdtPr>
                <w:rPr>
                  <w:rFonts w:asciiTheme="minorHAnsi" w:hAnsiTheme="minorHAnsi" w:cstheme="minorHAnsi"/>
                </w:rPr>
                <w:id w:val="595447511"/>
                <w14:checkbox>
                  <w14:checked w14:val="0"/>
                  <w14:checkedState w14:val="2612" w14:font="MS Gothic"/>
                  <w14:uncheckedState w14:val="2610" w14:font="MS Gothic"/>
                </w14:checkbox>
              </w:sdtPr>
              <w:sdtContent>
                <w:r w:rsidR="006810B2" w:rsidRPr="00DB0BE5">
                  <w:rPr>
                    <w:rFonts w:ascii="Segoe UI Symbol" w:eastAsia="Segoe UI Symbol" w:hAnsi="Segoe UI Symbol" w:cs="Segoe UI Symbol"/>
                    <w:lang w:bidi="es-ES"/>
                  </w:rPr>
                  <w:t>☐</w:t>
                </w:r>
              </w:sdtContent>
            </w:sdt>
          </w:p>
        </w:tc>
        <w:tc>
          <w:tcPr>
            <w:tcW w:w="9688" w:type="dxa"/>
            <w:shd w:val="clear" w:color="auto" w:fill="FFFFFF"/>
            <w:vAlign w:val="center"/>
          </w:tcPr>
          <w:p w14:paraId="31E16FC2" w14:textId="77777777" w:rsidR="006810B2" w:rsidRPr="00B74DAA" w:rsidRDefault="006810B2" w:rsidP="006810B2">
            <w:pPr>
              <w:rPr>
                <w:rFonts w:ascii="Arial" w:hAnsi="Arial"/>
                <w:sz w:val="22"/>
                <w:szCs w:val="22"/>
              </w:rPr>
            </w:pPr>
            <w:r w:rsidRPr="00B74DAA">
              <w:rPr>
                <w:rFonts w:ascii="Arial" w:eastAsia="Arial" w:hAnsi="Arial" w:cstheme="minorBidi"/>
                <w:lang w:bidi="es-ES"/>
              </w:rPr>
              <w:t>Presupuesto</w:t>
            </w:r>
          </w:p>
        </w:tc>
      </w:tr>
      <w:tr w:rsidR="006810B2" w:rsidRPr="00A56294" w14:paraId="5818DEE4" w14:textId="77777777" w:rsidTr="006810B2">
        <w:trPr>
          <w:trHeight w:val="567"/>
        </w:trPr>
        <w:tc>
          <w:tcPr>
            <w:tcW w:w="567" w:type="dxa"/>
            <w:shd w:val="clear" w:color="auto" w:fill="auto"/>
            <w:vAlign w:val="center"/>
          </w:tcPr>
          <w:p w14:paraId="18B141BE" w14:textId="77777777" w:rsidR="006810B2" w:rsidRPr="00DB0BE5" w:rsidRDefault="00381E40" w:rsidP="00DB0BE5">
            <w:pPr>
              <w:rPr>
                <w:rFonts w:asciiTheme="minorHAnsi" w:hAnsiTheme="minorHAnsi" w:cstheme="minorHAnsi"/>
              </w:rPr>
            </w:pPr>
            <w:sdt>
              <w:sdtPr>
                <w:rPr>
                  <w:rFonts w:asciiTheme="minorHAnsi" w:hAnsiTheme="minorHAnsi" w:cstheme="minorHAnsi"/>
                </w:rPr>
                <w:id w:val="-2051445561"/>
                <w14:checkbox>
                  <w14:checked w14:val="0"/>
                  <w14:checkedState w14:val="2612" w14:font="MS Gothic"/>
                  <w14:uncheckedState w14:val="2610" w14:font="MS Gothic"/>
                </w14:checkbox>
              </w:sdtPr>
              <w:sdtContent>
                <w:r w:rsidR="006810B2" w:rsidRPr="00DB0BE5">
                  <w:rPr>
                    <w:rFonts w:ascii="Segoe UI Symbol" w:eastAsia="Segoe UI Symbol" w:hAnsi="Segoe UI Symbol" w:cs="Segoe UI Symbol"/>
                    <w:lang w:bidi="es-ES"/>
                  </w:rPr>
                  <w:t>☐</w:t>
                </w:r>
              </w:sdtContent>
            </w:sdt>
          </w:p>
        </w:tc>
        <w:tc>
          <w:tcPr>
            <w:tcW w:w="9688" w:type="dxa"/>
            <w:vAlign w:val="center"/>
          </w:tcPr>
          <w:p w14:paraId="6333DFAD" w14:textId="77777777" w:rsidR="006810B2" w:rsidRPr="00841157" w:rsidRDefault="006810B2" w:rsidP="006810B2">
            <w:pPr>
              <w:rPr>
                <w:rFonts w:ascii="Arial" w:hAnsi="Arial"/>
                <w:sz w:val="22"/>
                <w:szCs w:val="22"/>
              </w:rPr>
            </w:pPr>
            <w:r w:rsidRPr="00B74DAA">
              <w:rPr>
                <w:rFonts w:ascii="Arial" w:eastAsia="Arial" w:hAnsi="Arial" w:cstheme="minorBidi"/>
                <w:lang w:bidi="es-ES"/>
              </w:rPr>
              <w:t>Solicitud priorizada por encima del monto asignado</w:t>
            </w:r>
          </w:p>
        </w:tc>
      </w:tr>
      <w:tr w:rsidR="00D33288" w:rsidRPr="00A56294" w14:paraId="6B993DCA" w14:textId="77777777" w:rsidTr="006810B2">
        <w:trPr>
          <w:trHeight w:val="567"/>
        </w:trPr>
        <w:tc>
          <w:tcPr>
            <w:tcW w:w="567" w:type="dxa"/>
            <w:shd w:val="clear" w:color="auto" w:fill="auto"/>
            <w:vAlign w:val="center"/>
          </w:tcPr>
          <w:p w14:paraId="3C0AA115" w14:textId="103B3457" w:rsidR="00D33288" w:rsidRPr="00DB0BE5" w:rsidRDefault="00381E40" w:rsidP="00DB0BE5">
            <w:pPr>
              <w:rPr>
                <w:rFonts w:asciiTheme="minorHAnsi" w:hAnsiTheme="minorHAnsi" w:cstheme="minorHAnsi"/>
              </w:rPr>
            </w:pPr>
            <w:sdt>
              <w:sdtPr>
                <w:rPr>
                  <w:rFonts w:asciiTheme="minorHAnsi" w:hAnsiTheme="minorHAnsi" w:cstheme="minorHAnsi"/>
                </w:rPr>
                <w:id w:val="-216817733"/>
                <w14:checkbox>
                  <w14:checked w14:val="0"/>
                  <w14:checkedState w14:val="2612" w14:font="MS Gothic"/>
                  <w14:uncheckedState w14:val="2610" w14:font="MS Gothic"/>
                </w14:checkbox>
              </w:sdtPr>
              <w:sdtContent>
                <w:r w:rsidR="00D33288" w:rsidRPr="00DB0BE5">
                  <w:rPr>
                    <w:rFonts w:ascii="Segoe UI Symbol" w:eastAsia="Segoe UI Symbol" w:hAnsi="Segoe UI Symbol" w:cs="Segoe UI Symbol"/>
                    <w:lang w:bidi="es-ES"/>
                  </w:rPr>
                  <w:t>☐</w:t>
                </w:r>
              </w:sdtContent>
            </w:sdt>
          </w:p>
        </w:tc>
        <w:tc>
          <w:tcPr>
            <w:tcW w:w="9688" w:type="dxa"/>
            <w:vAlign w:val="center"/>
          </w:tcPr>
          <w:p w14:paraId="7ED279D8" w14:textId="17155C85" w:rsidR="00D33288" w:rsidRPr="00841157" w:rsidRDefault="00F877E4" w:rsidP="00D33288">
            <w:r>
              <w:rPr>
                <w:rFonts w:ascii="Arial" w:eastAsia="Arial" w:hAnsi="Arial" w:cstheme="minorBidi"/>
                <w:lang w:bidi="es-ES"/>
              </w:rPr>
              <w:t>Diagrama de arreglos de implementación</w:t>
            </w:r>
            <w:r w:rsidR="00D33288" w:rsidRPr="00B74DAA">
              <w:rPr>
                <w:rStyle w:val="FootnoteReference"/>
                <w:rFonts w:ascii="Arial" w:eastAsia="Arial" w:hAnsi="Arial" w:cstheme="minorBidi"/>
                <w:lang w:val="es-ES" w:bidi="es-ES"/>
              </w:rPr>
              <w:footnoteReference w:id="8"/>
            </w:r>
          </w:p>
        </w:tc>
      </w:tr>
      <w:tr w:rsidR="00D33288" w:rsidRPr="00A56294" w14:paraId="688610CB" w14:textId="77777777" w:rsidTr="006810B2">
        <w:trPr>
          <w:trHeight w:val="567"/>
        </w:trPr>
        <w:tc>
          <w:tcPr>
            <w:tcW w:w="567" w:type="dxa"/>
            <w:shd w:val="clear" w:color="auto" w:fill="auto"/>
            <w:vAlign w:val="center"/>
          </w:tcPr>
          <w:p w14:paraId="5B608C89" w14:textId="3A9C6804" w:rsidR="00D33288" w:rsidRPr="00DB0BE5" w:rsidRDefault="00381E40" w:rsidP="00DB0BE5">
            <w:pPr>
              <w:rPr>
                <w:rFonts w:asciiTheme="minorHAnsi" w:hAnsiTheme="minorHAnsi" w:cstheme="minorHAnsi"/>
              </w:rPr>
            </w:pPr>
            <w:sdt>
              <w:sdtPr>
                <w:rPr>
                  <w:rFonts w:asciiTheme="minorHAnsi" w:hAnsiTheme="minorHAnsi" w:cstheme="minorHAnsi"/>
                </w:rPr>
                <w:id w:val="-1954390594"/>
                <w14:checkbox>
                  <w14:checked w14:val="0"/>
                  <w14:checkedState w14:val="2612" w14:font="MS Gothic"/>
                  <w14:uncheckedState w14:val="2610" w14:font="MS Gothic"/>
                </w14:checkbox>
              </w:sdtPr>
              <w:sdtContent>
                <w:r w:rsidR="00D33288" w:rsidRPr="00DB0BE5">
                  <w:rPr>
                    <w:rFonts w:ascii="Segoe UI Symbol" w:eastAsia="Segoe UI Symbol" w:hAnsi="Segoe UI Symbol" w:cs="Segoe UI Symbol"/>
                    <w:lang w:bidi="es-ES"/>
                  </w:rPr>
                  <w:t>☐</w:t>
                </w:r>
              </w:sdtContent>
            </w:sdt>
          </w:p>
        </w:tc>
        <w:tc>
          <w:tcPr>
            <w:tcW w:w="9688" w:type="dxa"/>
            <w:vAlign w:val="center"/>
          </w:tcPr>
          <w:p w14:paraId="21FC5643" w14:textId="6D5BCB99" w:rsidR="00D33288" w:rsidRPr="00841157" w:rsidRDefault="00D33288" w:rsidP="00D33288">
            <w:r w:rsidRPr="00B74DAA">
              <w:rPr>
                <w:rFonts w:ascii="Arial" w:eastAsia="Arial" w:hAnsi="Arial" w:cstheme="minorBidi"/>
                <w:lang w:bidi="es-ES"/>
              </w:rPr>
              <w:t xml:space="preserve">Tablas de datos </w:t>
            </w:r>
            <w:r w:rsidR="00F877E4">
              <w:rPr>
                <w:rFonts w:ascii="Arial" w:eastAsia="Arial" w:hAnsi="Arial" w:cstheme="minorBidi"/>
                <w:lang w:bidi="es-ES"/>
              </w:rPr>
              <w:t>esenciales</w:t>
            </w:r>
            <w:r w:rsidR="00F877E4" w:rsidRPr="00B74DAA">
              <w:rPr>
                <w:rFonts w:ascii="Arial" w:eastAsia="Arial" w:hAnsi="Arial" w:cstheme="minorBidi"/>
                <w:lang w:bidi="es-ES"/>
              </w:rPr>
              <w:t xml:space="preserve"> </w:t>
            </w:r>
            <w:r w:rsidRPr="00B74DAA">
              <w:rPr>
                <w:rFonts w:ascii="Arial" w:eastAsia="Arial" w:hAnsi="Arial" w:cstheme="minorBidi"/>
                <w:lang w:bidi="es-ES"/>
              </w:rPr>
              <w:t>(actualizadas)</w:t>
            </w:r>
          </w:p>
        </w:tc>
      </w:tr>
      <w:tr w:rsidR="00D33288" w:rsidRPr="00A56294" w14:paraId="675822DB" w14:textId="77777777" w:rsidTr="006810B2">
        <w:trPr>
          <w:trHeight w:val="567"/>
        </w:trPr>
        <w:tc>
          <w:tcPr>
            <w:tcW w:w="567" w:type="dxa"/>
            <w:shd w:val="clear" w:color="auto" w:fill="auto"/>
            <w:vAlign w:val="center"/>
          </w:tcPr>
          <w:p w14:paraId="065206CC" w14:textId="05850340" w:rsidR="00D33288" w:rsidRPr="00DB0BE5" w:rsidRDefault="00381E40" w:rsidP="00DB0BE5">
            <w:pPr>
              <w:rPr>
                <w:rFonts w:asciiTheme="minorHAnsi" w:hAnsiTheme="minorHAnsi" w:cstheme="minorHAnsi"/>
              </w:rPr>
            </w:pPr>
            <w:sdt>
              <w:sdtPr>
                <w:rPr>
                  <w:rFonts w:asciiTheme="minorHAnsi" w:hAnsiTheme="minorHAnsi" w:cstheme="minorHAnsi"/>
                </w:rPr>
                <w:id w:val="1718853472"/>
                <w14:checkbox>
                  <w14:checked w14:val="0"/>
                  <w14:checkedState w14:val="2612" w14:font="MS Gothic"/>
                  <w14:uncheckedState w14:val="2610" w14:font="MS Gothic"/>
                </w14:checkbox>
              </w:sdtPr>
              <w:sdtContent>
                <w:r w:rsidR="00D33288" w:rsidRPr="00DB0BE5">
                  <w:rPr>
                    <w:rFonts w:ascii="Segoe UI Symbol" w:eastAsia="MS Gothic" w:hAnsi="Segoe UI Symbol" w:cs="Segoe UI Symbol"/>
                    <w:lang w:bidi="es-ES"/>
                  </w:rPr>
                  <w:t>☐</w:t>
                </w:r>
              </w:sdtContent>
            </w:sdt>
          </w:p>
        </w:tc>
        <w:tc>
          <w:tcPr>
            <w:tcW w:w="9688" w:type="dxa"/>
            <w:vAlign w:val="center"/>
          </w:tcPr>
          <w:p w14:paraId="13DB83B3" w14:textId="0B39BBEE" w:rsidR="00D33288" w:rsidRPr="00841157" w:rsidRDefault="00D33288" w:rsidP="00D33288">
            <w:pPr>
              <w:rPr>
                <w:rFonts w:ascii="Arial" w:hAnsi="Arial"/>
                <w:sz w:val="22"/>
                <w:szCs w:val="22"/>
              </w:rPr>
            </w:pPr>
            <w:r w:rsidRPr="00B74DAA">
              <w:rPr>
                <w:rFonts w:ascii="Arial" w:eastAsia="Arial" w:hAnsi="Arial" w:cstheme="minorBidi"/>
                <w:lang w:bidi="es-ES"/>
              </w:rPr>
              <w:t xml:space="preserve">Aprobación de la solicitud de financiamiento por parte del </w:t>
            </w:r>
            <w:r w:rsidR="006D0B25">
              <w:rPr>
                <w:rFonts w:ascii="Arial" w:eastAsia="Arial" w:hAnsi="Arial" w:cstheme="minorBidi"/>
                <w:lang w:bidi="es-ES"/>
              </w:rPr>
              <w:t>MCP-ES</w:t>
            </w:r>
          </w:p>
        </w:tc>
      </w:tr>
      <w:tr w:rsidR="00D33288" w:rsidRPr="00A56294" w14:paraId="59C65730" w14:textId="77777777" w:rsidTr="006810B2">
        <w:trPr>
          <w:trHeight w:val="567"/>
        </w:trPr>
        <w:tc>
          <w:tcPr>
            <w:tcW w:w="567" w:type="dxa"/>
            <w:shd w:val="clear" w:color="auto" w:fill="auto"/>
            <w:vAlign w:val="center"/>
          </w:tcPr>
          <w:p w14:paraId="3B3E084D" w14:textId="62F04D59" w:rsidR="00D33288" w:rsidRPr="00DB0BE5" w:rsidRDefault="00381E40" w:rsidP="00DB0BE5">
            <w:pPr>
              <w:rPr>
                <w:rFonts w:asciiTheme="minorHAnsi" w:hAnsiTheme="minorHAnsi" w:cstheme="minorHAnsi"/>
              </w:rPr>
            </w:pPr>
            <w:sdt>
              <w:sdtPr>
                <w:rPr>
                  <w:rFonts w:asciiTheme="minorHAnsi" w:hAnsiTheme="minorHAnsi" w:cstheme="minorHAnsi"/>
                </w:rPr>
                <w:id w:val="-910225486"/>
                <w14:checkbox>
                  <w14:checked w14:val="0"/>
                  <w14:checkedState w14:val="2612" w14:font="MS Gothic"/>
                  <w14:uncheckedState w14:val="2610" w14:font="MS Gothic"/>
                </w14:checkbox>
              </w:sdtPr>
              <w:sdtContent>
                <w:r w:rsidR="00D33288" w:rsidRPr="00DB0BE5">
                  <w:rPr>
                    <w:rFonts w:ascii="Segoe UI Symbol" w:eastAsia="Segoe UI Symbol" w:hAnsi="Segoe UI Symbol" w:cs="Segoe UI Symbol"/>
                    <w:lang w:bidi="es-ES"/>
                  </w:rPr>
                  <w:t>☐</w:t>
                </w:r>
              </w:sdtContent>
            </w:sdt>
          </w:p>
        </w:tc>
        <w:tc>
          <w:tcPr>
            <w:tcW w:w="9688" w:type="dxa"/>
            <w:vAlign w:val="center"/>
          </w:tcPr>
          <w:p w14:paraId="55D14EBC" w14:textId="1C163A54" w:rsidR="00D33288" w:rsidRPr="00841157" w:rsidRDefault="00D33288" w:rsidP="00D33288">
            <w:pPr>
              <w:rPr>
                <w:rFonts w:ascii="Arial" w:hAnsi="Arial"/>
                <w:sz w:val="22"/>
                <w:szCs w:val="22"/>
              </w:rPr>
            </w:pPr>
            <w:r w:rsidRPr="00B74DAA">
              <w:rPr>
                <w:rFonts w:ascii="Arial" w:eastAsia="Arial" w:hAnsi="Arial" w:cstheme="minorBidi"/>
                <w:lang w:bidi="es-ES"/>
              </w:rPr>
              <w:t xml:space="preserve">Declaración de conformidad de los </w:t>
            </w:r>
            <w:r w:rsidR="006D0B25">
              <w:rPr>
                <w:rFonts w:ascii="Arial" w:eastAsia="Arial" w:hAnsi="Arial" w:cstheme="minorBidi"/>
                <w:lang w:bidi="es-ES"/>
              </w:rPr>
              <w:t>MCP-ES</w:t>
            </w:r>
          </w:p>
        </w:tc>
      </w:tr>
      <w:tr w:rsidR="00D33288" w:rsidRPr="00A56294" w14:paraId="4A34B2E7" w14:textId="77777777" w:rsidTr="006810B2">
        <w:trPr>
          <w:trHeight w:val="567"/>
        </w:trPr>
        <w:tc>
          <w:tcPr>
            <w:tcW w:w="567" w:type="dxa"/>
            <w:shd w:val="clear" w:color="auto" w:fill="auto"/>
            <w:vAlign w:val="center"/>
          </w:tcPr>
          <w:p w14:paraId="290BC4ED" w14:textId="6327D88A" w:rsidR="00D33288" w:rsidRPr="00DB0BE5" w:rsidRDefault="00381E40" w:rsidP="00DB0BE5">
            <w:pPr>
              <w:rPr>
                <w:rFonts w:asciiTheme="minorHAnsi" w:hAnsiTheme="minorHAnsi" w:cstheme="minorHAnsi"/>
              </w:rPr>
            </w:pPr>
            <w:sdt>
              <w:sdtPr>
                <w:rPr>
                  <w:rFonts w:asciiTheme="minorHAnsi" w:hAnsiTheme="minorHAnsi" w:cstheme="minorHAnsi"/>
                </w:rPr>
                <w:id w:val="-220992833"/>
                <w14:checkbox>
                  <w14:checked w14:val="0"/>
                  <w14:checkedState w14:val="2612" w14:font="MS Gothic"/>
                  <w14:uncheckedState w14:val="2610" w14:font="MS Gothic"/>
                </w14:checkbox>
              </w:sdtPr>
              <w:sdtContent>
                <w:r w:rsidR="00D33288" w:rsidRPr="00DB0BE5">
                  <w:rPr>
                    <w:rFonts w:ascii="Segoe UI Symbol" w:eastAsia="Segoe UI Symbol" w:hAnsi="Segoe UI Symbol" w:cs="Segoe UI Symbol"/>
                    <w:lang w:bidi="es-ES"/>
                  </w:rPr>
                  <w:t>☐</w:t>
                </w:r>
              </w:sdtContent>
            </w:sdt>
          </w:p>
        </w:tc>
        <w:tc>
          <w:tcPr>
            <w:tcW w:w="9688" w:type="dxa"/>
            <w:vAlign w:val="center"/>
          </w:tcPr>
          <w:p w14:paraId="438E6E92" w14:textId="3855413C" w:rsidR="00D33288" w:rsidRPr="00841157" w:rsidRDefault="00D33288" w:rsidP="00D33288">
            <w:pPr>
              <w:rPr>
                <w:rFonts w:ascii="Arial" w:hAnsi="Arial"/>
                <w:sz w:val="22"/>
                <w:szCs w:val="22"/>
              </w:rPr>
            </w:pPr>
            <w:r w:rsidRPr="00B74DAA">
              <w:rPr>
                <w:rFonts w:ascii="Arial" w:eastAsia="Arial" w:hAnsi="Arial" w:cstheme="minorBidi"/>
                <w:lang w:bidi="es-ES"/>
              </w:rPr>
              <w:t xml:space="preserve">Documentos de </w:t>
            </w:r>
            <w:r w:rsidR="00D34A6D">
              <w:rPr>
                <w:rFonts w:ascii="Arial" w:eastAsia="Arial" w:hAnsi="Arial" w:cstheme="minorBidi"/>
                <w:lang w:bidi="es-ES"/>
              </w:rPr>
              <w:t>soporte</w:t>
            </w:r>
            <w:r w:rsidRPr="00B74DAA">
              <w:rPr>
                <w:rFonts w:ascii="Arial" w:eastAsia="Arial" w:hAnsi="Arial" w:cstheme="minorBidi"/>
                <w:lang w:bidi="es-ES"/>
              </w:rPr>
              <w:t xml:space="preserve"> que confirman que se cumplen los requisitos de cofinanciamiento del período de asignación actual </w:t>
            </w:r>
          </w:p>
        </w:tc>
      </w:tr>
      <w:tr w:rsidR="00D33288" w:rsidRPr="00A56294" w14:paraId="21E3ED79" w14:textId="77777777" w:rsidTr="006810B2">
        <w:trPr>
          <w:trHeight w:val="567"/>
        </w:trPr>
        <w:tc>
          <w:tcPr>
            <w:tcW w:w="567" w:type="dxa"/>
            <w:shd w:val="clear" w:color="auto" w:fill="auto"/>
            <w:vAlign w:val="center"/>
          </w:tcPr>
          <w:p w14:paraId="62C015EB" w14:textId="60B9FC22" w:rsidR="00D33288" w:rsidRPr="00DB0BE5" w:rsidRDefault="00381E40" w:rsidP="00DB0BE5">
            <w:pPr>
              <w:rPr>
                <w:rFonts w:asciiTheme="minorHAnsi" w:hAnsiTheme="minorHAnsi" w:cstheme="minorHAnsi"/>
              </w:rPr>
            </w:pPr>
            <w:sdt>
              <w:sdtPr>
                <w:rPr>
                  <w:rFonts w:asciiTheme="minorHAnsi" w:hAnsiTheme="minorHAnsi" w:cstheme="minorHAnsi"/>
                </w:rPr>
                <w:id w:val="-1023165458"/>
                <w14:checkbox>
                  <w14:checked w14:val="0"/>
                  <w14:checkedState w14:val="2612" w14:font="MS Gothic"/>
                  <w14:uncheckedState w14:val="2610" w14:font="MS Gothic"/>
                </w14:checkbox>
              </w:sdtPr>
              <w:sdtContent>
                <w:r w:rsidR="00D33288" w:rsidRPr="00DB0BE5">
                  <w:rPr>
                    <w:rFonts w:ascii="Segoe UI Symbol" w:eastAsia="Segoe UI Symbol" w:hAnsi="Segoe UI Symbol" w:cs="Segoe UI Symbol"/>
                    <w:lang w:bidi="es-ES"/>
                  </w:rPr>
                  <w:t>☐</w:t>
                </w:r>
              </w:sdtContent>
            </w:sdt>
          </w:p>
        </w:tc>
        <w:tc>
          <w:tcPr>
            <w:tcW w:w="9688" w:type="dxa"/>
            <w:vAlign w:val="center"/>
          </w:tcPr>
          <w:p w14:paraId="7E15B594" w14:textId="39B46D5E" w:rsidR="00D33288" w:rsidRPr="00841157" w:rsidRDefault="00D33288" w:rsidP="00D33288">
            <w:pPr>
              <w:rPr>
                <w:rFonts w:ascii="Arial" w:hAnsi="Arial"/>
                <w:sz w:val="22"/>
                <w:szCs w:val="22"/>
              </w:rPr>
            </w:pPr>
            <w:r w:rsidRPr="00B74DAA">
              <w:rPr>
                <w:rFonts w:ascii="Arial" w:eastAsia="Arial" w:hAnsi="Arial" w:cstheme="minorBidi"/>
                <w:lang w:bidi="es-ES"/>
              </w:rPr>
              <w:t xml:space="preserve">Documentos de </w:t>
            </w:r>
            <w:r w:rsidR="00D34A6D">
              <w:rPr>
                <w:rFonts w:ascii="Arial" w:eastAsia="Arial" w:hAnsi="Arial" w:cstheme="minorBidi"/>
                <w:lang w:bidi="es-ES"/>
              </w:rPr>
              <w:t>soporte</w:t>
            </w:r>
            <w:r w:rsidRPr="00B74DAA">
              <w:rPr>
                <w:rFonts w:ascii="Arial" w:eastAsia="Arial" w:hAnsi="Arial" w:cstheme="minorBidi"/>
                <w:lang w:bidi="es-ES"/>
              </w:rPr>
              <w:t xml:space="preserve"> para los compromisos de cofinanciamiento del próximo período de asignación </w:t>
            </w:r>
          </w:p>
        </w:tc>
      </w:tr>
      <w:tr w:rsidR="00D33288" w:rsidRPr="00A56294" w14:paraId="3BC697F8" w14:textId="77777777" w:rsidTr="006810B2">
        <w:trPr>
          <w:trHeight w:val="567"/>
        </w:trPr>
        <w:tc>
          <w:tcPr>
            <w:tcW w:w="567" w:type="dxa"/>
            <w:shd w:val="clear" w:color="auto" w:fill="auto"/>
            <w:vAlign w:val="center"/>
          </w:tcPr>
          <w:p w14:paraId="4C02B429" w14:textId="43782977" w:rsidR="00D33288" w:rsidRPr="00DB0BE5" w:rsidRDefault="00381E40" w:rsidP="00DB0BE5">
            <w:pPr>
              <w:rPr>
                <w:rFonts w:asciiTheme="minorHAnsi" w:hAnsiTheme="minorHAnsi" w:cstheme="minorHAnsi"/>
              </w:rPr>
            </w:pPr>
            <w:sdt>
              <w:sdtPr>
                <w:rPr>
                  <w:rFonts w:asciiTheme="minorHAnsi" w:hAnsiTheme="minorHAnsi" w:cstheme="minorHAnsi"/>
                </w:rPr>
                <w:id w:val="-871300088"/>
                <w14:checkbox>
                  <w14:checked w14:val="0"/>
                  <w14:checkedState w14:val="2612" w14:font="MS Gothic"/>
                  <w14:uncheckedState w14:val="2610" w14:font="MS Gothic"/>
                </w14:checkbox>
              </w:sdtPr>
              <w:sdtContent>
                <w:r w:rsidR="00D33288" w:rsidRPr="00DB0BE5">
                  <w:rPr>
                    <w:rFonts w:ascii="Segoe UI Symbol" w:eastAsia="MS Gothic" w:hAnsi="Segoe UI Symbol" w:cs="Segoe UI Symbol"/>
                    <w:lang w:bidi="es-ES"/>
                  </w:rPr>
                  <w:t>☐</w:t>
                </w:r>
              </w:sdtContent>
            </w:sdt>
          </w:p>
        </w:tc>
        <w:tc>
          <w:tcPr>
            <w:tcW w:w="9688" w:type="dxa"/>
            <w:vAlign w:val="center"/>
          </w:tcPr>
          <w:p w14:paraId="1EC662BC" w14:textId="4A398D86" w:rsidR="00D33288" w:rsidRPr="00841157" w:rsidRDefault="00D33288" w:rsidP="00D33288">
            <w:pPr>
              <w:rPr>
                <w:rFonts w:ascii="Arial" w:hAnsi="Arial"/>
                <w:sz w:val="22"/>
                <w:szCs w:val="22"/>
                <w:lang w:eastAsia="zh-CN"/>
              </w:rPr>
            </w:pPr>
            <w:r w:rsidRPr="00B74DAA">
              <w:rPr>
                <w:rFonts w:ascii="Arial" w:eastAsia="Arial" w:hAnsi="Arial" w:cstheme="minorBidi"/>
                <w:lang w:bidi="es-ES"/>
              </w:rPr>
              <w:t>Plan de trabajo transicional (si se dispone de él)</w:t>
            </w:r>
          </w:p>
        </w:tc>
      </w:tr>
      <w:tr w:rsidR="00D33288" w:rsidRPr="00A56294" w14:paraId="60E59B26" w14:textId="77777777" w:rsidTr="006810B2">
        <w:trPr>
          <w:trHeight w:val="567"/>
        </w:trPr>
        <w:tc>
          <w:tcPr>
            <w:tcW w:w="567" w:type="dxa"/>
            <w:shd w:val="clear" w:color="auto" w:fill="auto"/>
            <w:vAlign w:val="center"/>
          </w:tcPr>
          <w:p w14:paraId="3D99A533" w14:textId="47D81EB7" w:rsidR="00D33288" w:rsidRPr="00DB0BE5" w:rsidRDefault="00381E40" w:rsidP="00DB0BE5">
            <w:pPr>
              <w:rPr>
                <w:rFonts w:asciiTheme="minorHAnsi" w:hAnsiTheme="minorHAnsi" w:cstheme="minorHAnsi"/>
              </w:rPr>
            </w:pPr>
            <w:sdt>
              <w:sdtPr>
                <w:rPr>
                  <w:rFonts w:asciiTheme="minorHAnsi" w:hAnsiTheme="minorHAnsi" w:cstheme="minorHAnsi"/>
                </w:rPr>
                <w:id w:val="-653519876"/>
                <w14:checkbox>
                  <w14:checked w14:val="0"/>
                  <w14:checkedState w14:val="2612" w14:font="MS Gothic"/>
                  <w14:uncheckedState w14:val="2610" w14:font="MS Gothic"/>
                </w14:checkbox>
              </w:sdtPr>
              <w:sdtContent>
                <w:r w:rsidR="00D33288" w:rsidRPr="00DB0BE5">
                  <w:rPr>
                    <w:rFonts w:ascii="Segoe UI Symbol" w:eastAsia="Segoe UI Symbol" w:hAnsi="Segoe UI Symbol" w:cs="Segoe UI Symbol"/>
                    <w:lang w:bidi="es-ES"/>
                  </w:rPr>
                  <w:t>☐</w:t>
                </w:r>
              </w:sdtContent>
            </w:sdt>
          </w:p>
        </w:tc>
        <w:tc>
          <w:tcPr>
            <w:tcW w:w="9688" w:type="dxa"/>
            <w:vAlign w:val="center"/>
          </w:tcPr>
          <w:p w14:paraId="4A635CA2" w14:textId="491F2008" w:rsidR="00D33288" w:rsidRPr="00841157" w:rsidRDefault="00D33288" w:rsidP="00D33288">
            <w:pPr>
              <w:rPr>
                <w:rFonts w:ascii="Arial" w:hAnsi="Arial"/>
                <w:sz w:val="22"/>
                <w:szCs w:val="22"/>
              </w:rPr>
            </w:pPr>
            <w:r w:rsidRPr="00B74DAA">
              <w:rPr>
                <w:rFonts w:ascii="Arial" w:eastAsia="Arial" w:hAnsi="Arial" w:cstheme="minorBidi"/>
                <w:lang w:bidi="es-ES"/>
              </w:rPr>
              <w:t>Evaluación de la preparación para la transición (si se dispone de ella)</w:t>
            </w:r>
          </w:p>
        </w:tc>
      </w:tr>
      <w:tr w:rsidR="00D33288" w:rsidRPr="00A56294" w14:paraId="75FD2557" w14:textId="77777777" w:rsidTr="006810B2">
        <w:trPr>
          <w:trHeight w:val="567"/>
        </w:trPr>
        <w:tc>
          <w:tcPr>
            <w:tcW w:w="567" w:type="dxa"/>
            <w:shd w:val="clear" w:color="auto" w:fill="auto"/>
            <w:vAlign w:val="center"/>
          </w:tcPr>
          <w:p w14:paraId="0ED229A7" w14:textId="088554A7" w:rsidR="00D33288" w:rsidRPr="00DB0BE5" w:rsidRDefault="00381E40" w:rsidP="00DB0BE5">
            <w:pPr>
              <w:rPr>
                <w:rFonts w:asciiTheme="minorHAnsi" w:hAnsiTheme="minorHAnsi" w:cstheme="minorHAnsi"/>
              </w:rPr>
            </w:pPr>
            <w:sdt>
              <w:sdtPr>
                <w:rPr>
                  <w:rFonts w:asciiTheme="minorHAnsi" w:hAnsiTheme="minorHAnsi" w:cstheme="minorHAnsi"/>
                </w:rPr>
                <w:id w:val="1226954297"/>
                <w14:checkbox>
                  <w14:checked w14:val="0"/>
                  <w14:checkedState w14:val="2612" w14:font="MS Gothic"/>
                  <w14:uncheckedState w14:val="2610" w14:font="MS Gothic"/>
                </w14:checkbox>
              </w:sdtPr>
              <w:sdtContent>
                <w:r w:rsidR="00D33288" w:rsidRPr="00DB0BE5">
                  <w:rPr>
                    <w:rFonts w:ascii="Segoe UI Symbol" w:eastAsia="Segoe UI Symbol" w:hAnsi="Segoe UI Symbol" w:cs="Segoe UI Symbol"/>
                    <w:lang w:bidi="es-ES"/>
                  </w:rPr>
                  <w:t>☐</w:t>
                </w:r>
              </w:sdtContent>
            </w:sdt>
          </w:p>
        </w:tc>
        <w:tc>
          <w:tcPr>
            <w:tcW w:w="9688" w:type="dxa"/>
            <w:vAlign w:val="center"/>
          </w:tcPr>
          <w:p w14:paraId="2F94AEA8" w14:textId="59D48F6E" w:rsidR="00D33288" w:rsidRPr="00841157" w:rsidRDefault="00D33288" w:rsidP="00D33288">
            <w:pPr>
              <w:rPr>
                <w:rFonts w:ascii="Arial" w:hAnsi="Arial"/>
                <w:sz w:val="22"/>
                <w:szCs w:val="22"/>
              </w:rPr>
            </w:pPr>
            <w:r w:rsidRPr="00B74DAA">
              <w:rPr>
                <w:rFonts w:ascii="Arial" w:eastAsia="Arial" w:hAnsi="Arial" w:cstheme="minorBidi"/>
                <w:lang w:bidi="es-ES"/>
              </w:rPr>
              <w:t>Planes Estratégicos Nacionales (del sector sa</w:t>
            </w:r>
            <w:r w:rsidR="00D34A6D">
              <w:rPr>
                <w:rFonts w:ascii="Arial" w:eastAsia="Arial" w:hAnsi="Arial" w:cstheme="minorBidi"/>
                <w:lang w:bidi="es-ES"/>
              </w:rPr>
              <w:t>lud</w:t>
            </w:r>
            <w:r w:rsidRPr="00B74DAA">
              <w:rPr>
                <w:rFonts w:ascii="Arial" w:eastAsia="Arial" w:hAnsi="Arial" w:cstheme="minorBidi"/>
                <w:lang w:bidi="es-ES"/>
              </w:rPr>
              <w:t xml:space="preserve"> y para enfermedades específicas)</w:t>
            </w:r>
          </w:p>
        </w:tc>
      </w:tr>
      <w:tr w:rsidR="00D33288" w:rsidRPr="00A56294" w14:paraId="0591D3E7" w14:textId="77777777" w:rsidTr="006810B2">
        <w:trPr>
          <w:trHeight w:val="567"/>
        </w:trPr>
        <w:tc>
          <w:tcPr>
            <w:tcW w:w="567" w:type="dxa"/>
            <w:shd w:val="clear" w:color="auto" w:fill="auto"/>
            <w:vAlign w:val="center"/>
          </w:tcPr>
          <w:p w14:paraId="45A7E14B" w14:textId="70C0F669" w:rsidR="00D33288" w:rsidRPr="00DB0BE5" w:rsidRDefault="00381E40" w:rsidP="00DB0BE5">
            <w:pPr>
              <w:rPr>
                <w:rFonts w:asciiTheme="minorHAnsi" w:hAnsiTheme="minorHAnsi" w:cstheme="minorHAnsi"/>
              </w:rPr>
            </w:pPr>
            <w:sdt>
              <w:sdtPr>
                <w:rPr>
                  <w:rFonts w:asciiTheme="minorHAnsi" w:hAnsiTheme="minorHAnsi" w:cstheme="minorHAnsi"/>
                </w:rPr>
                <w:id w:val="-1163155206"/>
                <w14:checkbox>
                  <w14:checked w14:val="0"/>
                  <w14:checkedState w14:val="2612" w14:font="MS Gothic"/>
                  <w14:uncheckedState w14:val="2610" w14:font="MS Gothic"/>
                </w14:checkbox>
              </w:sdtPr>
              <w:sdtContent/>
            </w:sdt>
            <w:r w:rsidR="00D33288" w:rsidRPr="00DB0BE5">
              <w:rPr>
                <w:rFonts w:ascii="Segoe UI Symbol" w:eastAsia="Segoe UI Symbol" w:hAnsi="Segoe UI Symbol" w:cs="Segoe UI Symbol"/>
                <w:lang w:bidi="es-ES"/>
              </w:rPr>
              <w:t>☐</w:t>
            </w:r>
          </w:p>
        </w:tc>
        <w:tc>
          <w:tcPr>
            <w:tcW w:w="9688" w:type="dxa"/>
            <w:vAlign w:val="center"/>
          </w:tcPr>
          <w:p w14:paraId="547AC985" w14:textId="13997A18" w:rsidR="00D33288" w:rsidRPr="00841157" w:rsidRDefault="00D33288" w:rsidP="00D33288">
            <w:pPr>
              <w:rPr>
                <w:rFonts w:ascii="Arial" w:hAnsi="Arial"/>
                <w:sz w:val="22"/>
                <w:szCs w:val="22"/>
              </w:rPr>
            </w:pPr>
            <w:r w:rsidRPr="00B74DAA">
              <w:rPr>
                <w:rFonts w:ascii="Arial" w:eastAsia="Arial" w:hAnsi="Arial" w:cstheme="minorBidi"/>
                <w:lang w:bidi="es-ES"/>
              </w:rPr>
              <w:t xml:space="preserve">Todos los documentos de </w:t>
            </w:r>
            <w:r w:rsidR="00F877E4">
              <w:rPr>
                <w:rFonts w:ascii="Arial" w:eastAsia="Arial" w:hAnsi="Arial" w:cstheme="minorBidi"/>
                <w:lang w:bidi="es-ES"/>
              </w:rPr>
              <w:t>soporte</w:t>
            </w:r>
            <w:r w:rsidR="00F877E4" w:rsidRPr="00B74DAA">
              <w:rPr>
                <w:rFonts w:ascii="Arial" w:eastAsia="Arial" w:hAnsi="Arial" w:cstheme="minorBidi"/>
                <w:lang w:bidi="es-ES"/>
              </w:rPr>
              <w:t xml:space="preserve"> </w:t>
            </w:r>
            <w:r w:rsidRPr="00B74DAA">
              <w:rPr>
                <w:rFonts w:ascii="Arial" w:eastAsia="Arial" w:hAnsi="Arial" w:cstheme="minorBidi"/>
                <w:lang w:bidi="es-ES"/>
              </w:rPr>
              <w:t>a los que se aluda en la solicitud de financiamiento</w:t>
            </w:r>
          </w:p>
        </w:tc>
      </w:tr>
      <w:tr w:rsidR="00D33288" w:rsidRPr="00A56294" w14:paraId="2529886F" w14:textId="77777777" w:rsidTr="006810B2">
        <w:trPr>
          <w:trHeight w:val="567"/>
        </w:trPr>
        <w:tc>
          <w:tcPr>
            <w:tcW w:w="567" w:type="dxa"/>
            <w:shd w:val="clear" w:color="auto" w:fill="auto"/>
            <w:vAlign w:val="center"/>
          </w:tcPr>
          <w:p w14:paraId="7B19AFA1" w14:textId="28E3001F" w:rsidR="00D33288" w:rsidRPr="00DB0BE5" w:rsidRDefault="00381E40" w:rsidP="00DB0BE5">
            <w:pPr>
              <w:rPr>
                <w:rFonts w:asciiTheme="minorHAnsi" w:hAnsiTheme="minorHAnsi" w:cstheme="minorHAnsi"/>
              </w:rPr>
            </w:pPr>
            <w:sdt>
              <w:sdtPr>
                <w:rPr>
                  <w:rFonts w:asciiTheme="minorHAnsi" w:hAnsiTheme="minorHAnsi" w:cstheme="minorHAnsi"/>
                </w:rPr>
                <w:id w:val="1501008062"/>
                <w14:checkbox>
                  <w14:checked w14:val="0"/>
                  <w14:checkedState w14:val="2612" w14:font="MS Gothic"/>
                  <w14:uncheckedState w14:val="2610" w14:font="MS Gothic"/>
                </w14:checkbox>
              </w:sdtPr>
              <w:sdtContent>
                <w:r w:rsidR="00D33288" w:rsidRPr="00DB0BE5">
                  <w:rPr>
                    <w:rFonts w:ascii="Segoe UI Symbol" w:eastAsia="Segoe UI Symbol" w:hAnsi="Segoe UI Symbol" w:cs="Segoe UI Symbol"/>
                    <w:lang w:bidi="es-ES"/>
                  </w:rPr>
                  <w:t>☐</w:t>
                </w:r>
              </w:sdtContent>
            </w:sdt>
          </w:p>
        </w:tc>
        <w:tc>
          <w:tcPr>
            <w:tcW w:w="9688" w:type="dxa"/>
            <w:vAlign w:val="center"/>
          </w:tcPr>
          <w:p w14:paraId="23739BB7" w14:textId="76706874" w:rsidR="00D33288" w:rsidRPr="00841157" w:rsidRDefault="00EA73D4" w:rsidP="00D33288">
            <w:pPr>
              <w:rPr>
                <w:rFonts w:ascii="Arial" w:hAnsi="Arial"/>
                <w:sz w:val="22"/>
                <w:szCs w:val="22"/>
              </w:rPr>
            </w:pPr>
            <w:r>
              <w:rPr>
                <w:rFonts w:ascii="Arial" w:eastAsia="Arial" w:hAnsi="Arial" w:cstheme="minorBidi"/>
                <w:lang w:bidi="es-ES"/>
              </w:rPr>
              <w:t>Plantilla</w:t>
            </w:r>
            <w:r w:rsidR="00D33288">
              <w:rPr>
                <w:rFonts w:ascii="Arial" w:eastAsia="Arial" w:hAnsi="Arial" w:cstheme="minorBidi"/>
                <w:lang w:bidi="es-ES"/>
              </w:rPr>
              <w:t xml:space="preserve"> de gestión de productos </w:t>
            </w:r>
            <w:r w:rsidR="00D34A6D">
              <w:rPr>
                <w:rFonts w:ascii="Arial" w:eastAsia="Arial" w:hAnsi="Arial" w:cstheme="minorBidi"/>
                <w:lang w:bidi="es-ES"/>
              </w:rPr>
              <w:t>de salud</w:t>
            </w:r>
            <w:r w:rsidR="00D33288">
              <w:rPr>
                <w:rFonts w:ascii="Arial" w:eastAsia="Arial" w:hAnsi="Arial" w:cstheme="minorBidi"/>
                <w:lang w:bidi="es-ES"/>
              </w:rPr>
              <w:t xml:space="preserve"> (si procede)</w:t>
            </w:r>
          </w:p>
        </w:tc>
      </w:tr>
      <w:tr w:rsidR="00D33288" w:rsidRPr="00A56294" w14:paraId="000B6993" w14:textId="77777777" w:rsidTr="00F268A0">
        <w:trPr>
          <w:trHeight w:val="567"/>
        </w:trPr>
        <w:tc>
          <w:tcPr>
            <w:tcW w:w="567" w:type="dxa"/>
            <w:shd w:val="clear" w:color="auto" w:fill="auto"/>
            <w:vAlign w:val="center"/>
          </w:tcPr>
          <w:p w14:paraId="5ABDDC04" w14:textId="77777777" w:rsidR="00D33288" w:rsidRPr="00DB0BE5" w:rsidRDefault="00381E40" w:rsidP="00DB0BE5">
            <w:pPr>
              <w:rPr>
                <w:rFonts w:asciiTheme="minorHAnsi" w:hAnsiTheme="minorHAnsi" w:cstheme="minorHAnsi"/>
              </w:rPr>
            </w:pPr>
            <w:sdt>
              <w:sdtPr>
                <w:rPr>
                  <w:rFonts w:asciiTheme="minorHAnsi" w:hAnsiTheme="minorHAnsi" w:cstheme="minorHAnsi"/>
                </w:rPr>
                <w:id w:val="401407315"/>
                <w14:checkbox>
                  <w14:checked w14:val="0"/>
                  <w14:checkedState w14:val="2612" w14:font="MS Gothic"/>
                  <w14:uncheckedState w14:val="2610" w14:font="MS Gothic"/>
                </w14:checkbox>
              </w:sdtPr>
              <w:sdtContent>
                <w:r w:rsidR="00D33288" w:rsidRPr="00DB0BE5">
                  <w:rPr>
                    <w:rFonts w:ascii="Segoe UI Symbol" w:eastAsia="Segoe UI Symbol" w:hAnsi="Segoe UI Symbol" w:cs="Segoe UI Symbol"/>
                    <w:lang w:bidi="es-ES"/>
                  </w:rPr>
                  <w:t>☐</w:t>
                </w:r>
              </w:sdtContent>
            </w:sdt>
          </w:p>
        </w:tc>
        <w:tc>
          <w:tcPr>
            <w:tcW w:w="9688" w:type="dxa"/>
            <w:vAlign w:val="center"/>
          </w:tcPr>
          <w:p w14:paraId="40AE76AC" w14:textId="77777777" w:rsidR="00D33288" w:rsidRPr="00841157" w:rsidRDefault="00D33288" w:rsidP="00D33288">
            <w:pPr>
              <w:rPr>
                <w:rFonts w:ascii="Arial" w:hAnsi="Arial"/>
                <w:sz w:val="22"/>
                <w:szCs w:val="22"/>
              </w:rPr>
            </w:pPr>
            <w:r w:rsidRPr="00B74DAA">
              <w:rPr>
                <w:rFonts w:ascii="Arial" w:eastAsia="Arial" w:hAnsi="Arial" w:cstheme="minorBidi"/>
                <w:lang w:bidi="es-ES"/>
              </w:rPr>
              <w:t>Lista de abreviaturas y anexos</w:t>
            </w:r>
          </w:p>
        </w:tc>
      </w:tr>
    </w:tbl>
    <w:p w14:paraId="72F0A4CC" w14:textId="77777777" w:rsidR="006810B2" w:rsidRPr="00841157" w:rsidRDefault="006810B2" w:rsidP="004619FD">
      <w:pPr>
        <w:pStyle w:val="ListParagraph"/>
        <w:spacing w:line="360" w:lineRule="auto"/>
        <w:ind w:left="0"/>
        <w:rPr>
          <w:rFonts w:cs="Arial"/>
        </w:rPr>
      </w:pPr>
    </w:p>
    <w:p w14:paraId="6E1D3450" w14:textId="323E3E9E" w:rsidR="009A6DE4" w:rsidRPr="00841157" w:rsidRDefault="009A6DE4" w:rsidP="004619FD">
      <w:pPr>
        <w:spacing w:after="160" w:line="0" w:lineRule="auto"/>
      </w:pPr>
    </w:p>
    <w:sectPr w:rsidR="009A6DE4" w:rsidRPr="00841157" w:rsidSect="00F5709E">
      <w:pgSz w:w="11906" w:h="16838" w:code="9"/>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7DFD5" w14:textId="77777777" w:rsidR="00381E40" w:rsidRPr="009F52F1" w:rsidRDefault="00381E40" w:rsidP="0013691B">
      <w:pPr>
        <w:spacing w:after="0" w:line="240" w:lineRule="auto"/>
      </w:pPr>
      <w:r w:rsidRPr="009F52F1">
        <w:separator/>
      </w:r>
    </w:p>
  </w:endnote>
  <w:endnote w:type="continuationSeparator" w:id="0">
    <w:p w14:paraId="4580E99A" w14:textId="77777777" w:rsidR="00381E40" w:rsidRPr="009F52F1" w:rsidRDefault="00381E40" w:rsidP="0013691B">
      <w:pPr>
        <w:spacing w:after="0" w:line="240" w:lineRule="auto"/>
      </w:pPr>
      <w:r w:rsidRPr="009F52F1">
        <w:continuationSeparator/>
      </w:r>
    </w:p>
  </w:endnote>
  <w:endnote w:type="continuationNotice" w:id="1">
    <w:p w14:paraId="63346895" w14:textId="77777777" w:rsidR="00381E40" w:rsidRDefault="00381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F6842" w14:textId="77777777" w:rsidR="00381E40" w:rsidRDefault="00381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556792"/>
      <w:docPartObj>
        <w:docPartGallery w:val="Page Numbers (Bottom of Page)"/>
        <w:docPartUnique/>
      </w:docPartObj>
    </w:sdtPr>
    <w:sdtEndPr>
      <w:rPr>
        <w:noProof/>
      </w:rPr>
    </w:sdtEndPr>
    <w:sdtContent>
      <w:p w14:paraId="0E4B75CA" w14:textId="77777777" w:rsidR="00381E40" w:rsidRPr="00841157" w:rsidRDefault="00381E40">
        <w:pPr>
          <w:pStyle w:val="Footer"/>
          <w:jc w:val="right"/>
        </w:pPr>
        <w:r>
          <w:rPr>
            <w:lang w:bidi="es-ES"/>
          </w:rPr>
          <w:fldChar w:fldCharType="begin"/>
        </w:r>
        <w:r>
          <w:rPr>
            <w:lang w:bidi="es-ES"/>
          </w:rPr>
          <w:instrText xml:space="preserve"> PAGE   \* MERGEFORMAT </w:instrText>
        </w:r>
        <w:r>
          <w:rPr>
            <w:lang w:bidi="es-ES"/>
          </w:rPr>
          <w:fldChar w:fldCharType="separate"/>
        </w:r>
        <w:r>
          <w:rPr>
            <w:noProof/>
            <w:lang w:bidi="es-ES"/>
          </w:rPr>
          <w:t>2</w:t>
        </w:r>
        <w:r>
          <w:rPr>
            <w:noProof/>
            <w:lang w:bidi="es-ES"/>
          </w:rPr>
          <w:fldChar w:fldCharType="end"/>
        </w:r>
      </w:p>
    </w:sdtContent>
  </w:sdt>
  <w:p w14:paraId="5E30F3AB" w14:textId="2E6147DF" w:rsidR="00381E40" w:rsidRPr="00841157" w:rsidRDefault="00381E40" w:rsidP="006364FF">
    <w:pPr>
      <w:spacing w:after="0"/>
      <w:jc w:val="center"/>
      <w:rPr>
        <w:color w:val="A6A6A6" w:themeColor="background1" w:themeShade="A6"/>
        <w:sz w:val="18"/>
        <w:szCs w:val="18"/>
      </w:rPr>
    </w:pPr>
    <w:r w:rsidRPr="00D21468">
      <w:rPr>
        <w:color w:val="A6A6A6" w:themeColor="background1" w:themeShade="A6"/>
        <w:sz w:val="18"/>
        <w:szCs w:val="18"/>
        <w:lang w:bidi="es-ES"/>
      </w:rPr>
      <w:t xml:space="preserve"> </w:t>
    </w:r>
    <w:bookmarkStart w:id="1" w:name="_Hlk14420169"/>
    <w:r w:rsidRPr="00D21468">
      <w:rPr>
        <w:color w:val="A6A6A6" w:themeColor="background1" w:themeShade="A6"/>
        <w:sz w:val="18"/>
        <w:szCs w:val="18"/>
        <w:lang w:bidi="es-ES"/>
      </w:rPr>
      <w:t xml:space="preserve">Formulario de solicitud de financiamiento adaptada a los portafolios </w:t>
    </w:r>
    <w:r w:rsidRPr="00A81485">
      <w:rPr>
        <w:color w:val="A6A6A6" w:themeColor="background1" w:themeShade="A6"/>
        <w:sz w:val="18"/>
        <w:szCs w:val="18"/>
        <w:lang w:bidi="es-ES"/>
      </w:rPr>
      <w:t>Focalizados</w:t>
    </w:r>
  </w:p>
  <w:p w14:paraId="163F2751" w14:textId="542BC7DC" w:rsidR="00381E40" w:rsidRPr="00841157" w:rsidRDefault="00381E40" w:rsidP="006364FF">
    <w:pPr>
      <w:spacing w:after="0"/>
      <w:jc w:val="center"/>
      <w:rPr>
        <w:b/>
        <w:color w:val="A6A6A6" w:themeColor="background1" w:themeShade="A6"/>
        <w:sz w:val="18"/>
        <w:szCs w:val="18"/>
      </w:rPr>
    </w:pPr>
    <w:r w:rsidRPr="006364FF">
      <w:rPr>
        <w:color w:val="A6A6A6" w:themeColor="background1" w:themeShade="A6"/>
        <w:sz w:val="18"/>
        <w:szCs w:val="18"/>
        <w:lang w:bidi="es-ES"/>
      </w:rPr>
      <w:t xml:space="preserve">Fecha de publicación: </w:t>
    </w:r>
    <w:bookmarkEnd w:id="1"/>
    <w:r>
      <w:rPr>
        <w:bCs/>
        <w:color w:val="A6A6A6" w:themeColor="background1" w:themeShade="A6"/>
        <w:sz w:val="18"/>
        <w:szCs w:val="18"/>
        <w:lang w:val="es-US" w:bidi="es-ES"/>
      </w:rPr>
      <w:t>marzo de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C72B" w14:textId="218F5C5C" w:rsidR="00381E40" w:rsidRPr="00841157" w:rsidRDefault="00381E40" w:rsidP="00F5709E">
    <w:pPr>
      <w:spacing w:after="0"/>
      <w:jc w:val="center"/>
      <w:rPr>
        <w:color w:val="A6A6A6" w:themeColor="background1" w:themeShade="A6"/>
        <w:sz w:val="18"/>
        <w:szCs w:val="18"/>
      </w:rPr>
    </w:pPr>
    <w:r w:rsidRPr="00EF23C6">
      <w:rPr>
        <w:color w:val="A6A6A6" w:themeColor="background1" w:themeShade="A6"/>
        <w:sz w:val="18"/>
        <w:szCs w:val="18"/>
        <w:lang w:bidi="es-ES"/>
      </w:rPr>
      <w:t xml:space="preserve">Formulario de solicitud de financiamiento adaptada a los portafolios </w:t>
    </w:r>
    <w:r w:rsidRPr="00A81485">
      <w:rPr>
        <w:color w:val="A6A6A6" w:themeColor="background1" w:themeShade="A6"/>
        <w:sz w:val="18"/>
        <w:szCs w:val="18"/>
        <w:lang w:bidi="es-ES"/>
      </w:rPr>
      <w:t>Focalizados</w:t>
    </w:r>
  </w:p>
  <w:p w14:paraId="2BEB7DF9" w14:textId="202927FA" w:rsidR="00381E40" w:rsidRPr="00841157" w:rsidRDefault="00381E40" w:rsidP="00F5709E">
    <w:pPr>
      <w:pStyle w:val="Footer"/>
      <w:jc w:val="center"/>
    </w:pPr>
    <w:r>
      <w:rPr>
        <w:color w:val="A6A6A6" w:themeColor="background1" w:themeShade="A6"/>
        <w:sz w:val="18"/>
        <w:szCs w:val="18"/>
        <w:lang w:bidi="es-ES"/>
      </w:rPr>
      <w:t xml:space="preserve">Fecha de publicación: </w:t>
    </w:r>
    <w:r>
      <w:rPr>
        <w:bCs/>
        <w:color w:val="A6A6A6" w:themeColor="background1" w:themeShade="A6"/>
        <w:sz w:val="18"/>
        <w:szCs w:val="18"/>
        <w:lang w:val="es-US" w:bidi="es-ES"/>
      </w:rPr>
      <w:t>marzo de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AD81E" w14:textId="77777777" w:rsidR="00381E40" w:rsidRPr="009F52F1" w:rsidRDefault="00381E40" w:rsidP="0013691B">
      <w:pPr>
        <w:spacing w:after="0" w:line="240" w:lineRule="auto"/>
      </w:pPr>
      <w:r w:rsidRPr="009F52F1">
        <w:separator/>
      </w:r>
    </w:p>
  </w:footnote>
  <w:footnote w:type="continuationSeparator" w:id="0">
    <w:p w14:paraId="062EC410" w14:textId="77777777" w:rsidR="00381E40" w:rsidRPr="009F52F1" w:rsidRDefault="00381E40" w:rsidP="0013691B">
      <w:pPr>
        <w:spacing w:after="0" w:line="240" w:lineRule="auto"/>
      </w:pPr>
      <w:r w:rsidRPr="009F52F1">
        <w:continuationSeparator/>
      </w:r>
    </w:p>
  </w:footnote>
  <w:footnote w:type="continuationNotice" w:id="1">
    <w:p w14:paraId="490994D3" w14:textId="77777777" w:rsidR="00381E40" w:rsidRDefault="00381E40">
      <w:pPr>
        <w:spacing w:after="0" w:line="240" w:lineRule="auto"/>
      </w:pPr>
    </w:p>
  </w:footnote>
  <w:footnote w:id="2">
    <w:p w14:paraId="10AA0A09" w14:textId="77777777" w:rsidR="00381E40" w:rsidRPr="00841157" w:rsidRDefault="00381E40" w:rsidP="00F5709E">
      <w:pPr>
        <w:pStyle w:val="FootnoteText"/>
        <w:ind w:right="386"/>
      </w:pPr>
      <w:r>
        <w:rPr>
          <w:rStyle w:val="FootnoteReference"/>
          <w:lang w:val="es-ES" w:bidi="es-ES"/>
        </w:rPr>
        <w:footnoteRef/>
      </w:r>
      <w:r w:rsidRPr="001358AD">
        <w:rPr>
          <w:szCs w:val="16"/>
          <w:lang w:bidi="es-ES"/>
        </w:rPr>
        <w:t xml:space="preserve"> La solicitud priorizada por encima del monto asignado solo puede presentarse con la solicitud de financiamiento. Utilice la plantilla de Excel que le enviará la Secretaría del Fondo Mundial para rellenar una solicitud priorizada por encima del monto asignado.</w:t>
      </w:r>
    </w:p>
  </w:footnote>
  <w:footnote w:id="3">
    <w:p w14:paraId="664FAF6B" w14:textId="4B00E886" w:rsidR="00381E40" w:rsidRPr="00841157" w:rsidRDefault="00381E40" w:rsidP="00F5709E">
      <w:pPr>
        <w:pStyle w:val="FootnoteText"/>
        <w:ind w:right="386"/>
      </w:pPr>
      <w:r>
        <w:rPr>
          <w:rStyle w:val="FootnoteReference"/>
          <w:lang w:val="es-ES" w:bidi="es-ES"/>
        </w:rPr>
        <w:footnoteRef/>
      </w:r>
      <w:r>
        <w:rPr>
          <w:lang w:bidi="es-ES"/>
        </w:rPr>
        <w:t xml:space="preserve"> En inglés “</w:t>
      </w:r>
      <w:proofErr w:type="spellStart"/>
      <w:r>
        <w:rPr>
          <w:lang w:bidi="es-ES"/>
        </w:rPr>
        <w:t>Matching</w:t>
      </w:r>
      <w:proofErr w:type="spellEnd"/>
      <w:r>
        <w:rPr>
          <w:lang w:bidi="es-ES"/>
        </w:rPr>
        <w:t xml:space="preserve"> </w:t>
      </w:r>
      <w:proofErr w:type="spellStart"/>
      <w:r>
        <w:rPr>
          <w:lang w:bidi="es-ES"/>
        </w:rPr>
        <w:t>Funds</w:t>
      </w:r>
      <w:proofErr w:type="spellEnd"/>
      <w:r>
        <w:rPr>
          <w:lang w:bidi="es-ES"/>
        </w:rPr>
        <w:t xml:space="preserve">” </w:t>
      </w:r>
      <w:r w:rsidRPr="00890D60">
        <w:rPr>
          <w:lang w:bidi="es-ES"/>
        </w:rPr>
        <w:t xml:space="preserve">Solo es pertinente para los solicitantes con fondos </w:t>
      </w:r>
      <w:r>
        <w:rPr>
          <w:lang w:bidi="es-ES"/>
        </w:rPr>
        <w:t>en contrapartida</w:t>
      </w:r>
      <w:r w:rsidRPr="00890D60">
        <w:rPr>
          <w:lang w:bidi="es-ES"/>
        </w:rPr>
        <w:t xml:space="preserve"> asignados, tal y como se señala en la carta de asignación.</w:t>
      </w:r>
    </w:p>
    <w:p w14:paraId="5B719234" w14:textId="77777777" w:rsidR="00381E40" w:rsidRPr="00841157" w:rsidRDefault="00381E40" w:rsidP="00F5709E">
      <w:pPr>
        <w:pStyle w:val="FootnoteText"/>
        <w:ind w:right="386"/>
      </w:pPr>
    </w:p>
  </w:footnote>
  <w:footnote w:id="4">
    <w:p w14:paraId="2252B18A" w14:textId="77777777" w:rsidR="00381E40" w:rsidRPr="0017614A" w:rsidRDefault="00381E40" w:rsidP="009278C5">
      <w:pPr>
        <w:pStyle w:val="FootnoteText"/>
        <w:rPr>
          <w:lang w:val="es-NI"/>
        </w:rPr>
      </w:pPr>
      <w:r>
        <w:rPr>
          <w:rStyle w:val="FootnoteReference"/>
        </w:rPr>
        <w:footnoteRef/>
      </w:r>
      <w:r w:rsidRPr="0017614A">
        <w:rPr>
          <w:lang w:val="es-NI"/>
        </w:rPr>
        <w:t xml:space="preserve"> Pobreza: medida según metodología del ingreso, se consideran pobres quienes tienen un ingreso per cápita diario inferior a los $5,5. Y extremadamente pobres aquellos con ingreso inferior a $3.2 diario. </w:t>
      </w:r>
    </w:p>
  </w:footnote>
  <w:footnote w:id="5">
    <w:p w14:paraId="5971D07A" w14:textId="77777777" w:rsidR="00381E40" w:rsidRPr="000538FF" w:rsidRDefault="00381E40" w:rsidP="009278C5">
      <w:pPr>
        <w:pStyle w:val="FootnoteText"/>
      </w:pPr>
      <w:r>
        <w:rPr>
          <w:rStyle w:val="FootnoteReference"/>
        </w:rPr>
        <w:footnoteRef/>
      </w:r>
      <w:r w:rsidRPr="000538FF">
        <w:t xml:space="preserve"> </w:t>
      </w:r>
      <w:r w:rsidRPr="00C07C30">
        <w:rPr>
          <w:lang w:bidi="es-ES"/>
        </w:rPr>
        <w:t>al observarse un promedio de pruebas de 415 mil en estos años</w:t>
      </w:r>
      <w:r>
        <w:rPr>
          <w:lang w:bidi="es-ES"/>
        </w:rPr>
        <w:t xml:space="preserve"> 2017-2018</w:t>
      </w:r>
      <w:r w:rsidRPr="00C07C30">
        <w:rPr>
          <w:lang w:bidi="es-ES"/>
        </w:rPr>
        <w:t>, que supera el promedio de 368 mil pruebas del bienio 2015-2016</w:t>
      </w:r>
    </w:p>
  </w:footnote>
  <w:footnote w:id="6">
    <w:p w14:paraId="269A5140" w14:textId="70AB894E" w:rsidR="00381E40" w:rsidRPr="00841157" w:rsidRDefault="00381E40">
      <w:pPr>
        <w:pStyle w:val="FootnoteText"/>
      </w:pPr>
      <w:r>
        <w:rPr>
          <w:rStyle w:val="FootnoteReference"/>
          <w:lang w:val="es-ES" w:bidi="es-ES"/>
        </w:rPr>
        <w:footnoteRef/>
      </w:r>
      <w:r>
        <w:rPr>
          <w:lang w:bidi="es-ES"/>
        </w:rPr>
        <w:t xml:space="preserve"> </w:t>
      </w:r>
      <w:r w:rsidRPr="004407F0">
        <w:rPr>
          <w:lang w:bidi="es-ES"/>
        </w:rPr>
        <w:t>Es obligatorio contar con una planificación actualizada de l</w:t>
      </w:r>
      <w:r>
        <w:rPr>
          <w:lang w:bidi="es-ES"/>
        </w:rPr>
        <w:t>o</w:t>
      </w:r>
      <w:r w:rsidRPr="004407F0">
        <w:rPr>
          <w:lang w:bidi="es-ES"/>
        </w:rPr>
        <w:t xml:space="preserve">s </w:t>
      </w:r>
      <w:r>
        <w:rPr>
          <w:lang w:bidi="es-ES"/>
        </w:rPr>
        <w:t>arreglos de implementación</w:t>
      </w:r>
      <w:r w:rsidRPr="004407F0">
        <w:rPr>
          <w:lang w:bidi="es-ES"/>
        </w:rPr>
        <w:t xml:space="preserve"> si el programa sigue adelante con el mismo receptor principal (o los mismos receptores principales). En los casos en los que haya un nuevo receptor principal, la </w:t>
      </w:r>
      <w:r>
        <w:rPr>
          <w:lang w:bidi="es-ES"/>
        </w:rPr>
        <w:t>actualización</w:t>
      </w:r>
      <w:r w:rsidRPr="004407F0">
        <w:rPr>
          <w:lang w:bidi="es-ES"/>
        </w:rPr>
        <w:t xml:space="preserve"> de </w:t>
      </w:r>
      <w:r>
        <w:rPr>
          <w:lang w:bidi="es-ES"/>
        </w:rPr>
        <w:t>los arreglos de implementación</w:t>
      </w:r>
      <w:r w:rsidRPr="004407F0">
        <w:rPr>
          <w:lang w:bidi="es-ES"/>
        </w:rPr>
        <w:t xml:space="preserve"> puede remitirse en la fase de preparación de la subvención.</w:t>
      </w:r>
    </w:p>
  </w:footnote>
  <w:footnote w:id="7">
    <w:p w14:paraId="7DE468E2" w14:textId="77777777" w:rsidR="005C47FA" w:rsidRPr="00EA73D4" w:rsidRDefault="005C47FA" w:rsidP="005C47FA">
      <w:pPr>
        <w:rPr>
          <w:lang w:val="es-US"/>
        </w:rPr>
      </w:pPr>
      <w:r w:rsidRPr="00136ED6">
        <w:rPr>
          <w:rStyle w:val="FootnoteReference"/>
          <w:sz w:val="16"/>
        </w:rPr>
        <w:footnoteRef/>
      </w:r>
      <w:r w:rsidRPr="00EA73D4">
        <w:rPr>
          <w:sz w:val="16"/>
          <w:lang w:val="es-US"/>
        </w:rPr>
        <w:t xml:space="preserve"> </w:t>
      </w:r>
      <w:r w:rsidRPr="00EA73D4">
        <w:rPr>
          <w:sz w:val="16"/>
          <w:szCs w:val="16"/>
          <w:lang w:val="es-US"/>
        </w:rPr>
        <w:t>Tenga en cuenta que el Fondo Mundial puede poner a disposición del público la información derivada de la documentación de referencia proporcionada en respuesta a las preguntas que figuran a continuación, incluida la información sobre el panorama de financiamiento o los compromisos nacionales.</w:t>
      </w:r>
    </w:p>
    <w:p w14:paraId="3E98A7F4" w14:textId="77777777" w:rsidR="005C47FA" w:rsidRPr="00EA73D4" w:rsidRDefault="005C47FA" w:rsidP="005C47FA">
      <w:pPr>
        <w:pStyle w:val="FootnoteText"/>
        <w:rPr>
          <w:lang w:val="es-US"/>
        </w:rPr>
      </w:pPr>
    </w:p>
  </w:footnote>
  <w:footnote w:id="8">
    <w:p w14:paraId="798B0F71" w14:textId="4857A66C" w:rsidR="00381E40" w:rsidRPr="00841157" w:rsidRDefault="00381E40" w:rsidP="008A7F7E">
      <w:pPr>
        <w:pStyle w:val="FootnoteText"/>
      </w:pPr>
      <w:r>
        <w:rPr>
          <w:rStyle w:val="FootnoteReference"/>
          <w:lang w:val="es-ES" w:bidi="es-ES"/>
        </w:rPr>
        <w:footnoteRef/>
      </w:r>
      <w:r>
        <w:rPr>
          <w:lang w:bidi="es-ES"/>
        </w:rPr>
        <w:t xml:space="preserve"> </w:t>
      </w:r>
      <w:r w:rsidRPr="00B74DAA">
        <w:rPr>
          <w:lang w:bidi="es-ES"/>
        </w:rPr>
        <w:t xml:space="preserve">Es obligatorio contar con una </w:t>
      </w:r>
      <w:r>
        <w:rPr>
          <w:lang w:bidi="es-ES"/>
        </w:rPr>
        <w:t>versión</w:t>
      </w:r>
      <w:r w:rsidRPr="00B74DAA">
        <w:rPr>
          <w:lang w:bidi="es-ES"/>
        </w:rPr>
        <w:t xml:space="preserve"> actualizada de los </w:t>
      </w:r>
      <w:r>
        <w:rPr>
          <w:lang w:bidi="es-ES"/>
        </w:rPr>
        <w:t>arreglos de implementación</w:t>
      </w:r>
      <w:r w:rsidRPr="00B74DAA">
        <w:rPr>
          <w:lang w:bidi="es-ES"/>
        </w:rPr>
        <w:t xml:space="preserve"> si el programa sigue adelante con el mismo receptor principal (o los mismos receptores principales). En los casos en los que haya un nuevo receptor principal, la </w:t>
      </w:r>
      <w:r>
        <w:rPr>
          <w:lang w:bidi="es-ES"/>
        </w:rPr>
        <w:t>actualización de los arreglos de implementación</w:t>
      </w:r>
      <w:r w:rsidRPr="00B74DAA">
        <w:rPr>
          <w:lang w:bidi="es-ES"/>
        </w:rPr>
        <w:t xml:space="preserve"> puede remitirse en la fase de preparación de la subvención.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AF761" w14:textId="10F3D651" w:rsidR="00381E40" w:rsidRDefault="00381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BD25" w14:textId="75719DD1" w:rsidR="00381E40" w:rsidRDefault="00381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F203" w14:textId="30B7A9A4" w:rsidR="00381E40" w:rsidRDefault="00381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11DE2"/>
    <w:multiLevelType w:val="hybridMultilevel"/>
    <w:tmpl w:val="CE6C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0D72F5"/>
    <w:multiLevelType w:val="hybridMultilevel"/>
    <w:tmpl w:val="3EDA9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B3CDD"/>
    <w:multiLevelType w:val="hybridMultilevel"/>
    <w:tmpl w:val="58BCAFA8"/>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03895316"/>
    <w:multiLevelType w:val="hybridMultilevel"/>
    <w:tmpl w:val="BA76C460"/>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05FD7BB9"/>
    <w:multiLevelType w:val="hybridMultilevel"/>
    <w:tmpl w:val="85822D3E"/>
    <w:lvl w:ilvl="0" w:tplc="5456C9F4">
      <w:start w:val="1"/>
      <w:numFmt w:val="lowerRoman"/>
      <w:lvlText w:val="%1."/>
      <w:lvlJc w:val="right"/>
      <w:pPr>
        <w:ind w:left="2520" w:hanging="18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15:restartNumberingAfterBreak="0">
    <w:nsid w:val="0642532F"/>
    <w:multiLevelType w:val="hybridMultilevel"/>
    <w:tmpl w:val="16726048"/>
    <w:lvl w:ilvl="0" w:tplc="BF20C7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951A4D"/>
    <w:multiLevelType w:val="hybridMultilevel"/>
    <w:tmpl w:val="E97A7C4E"/>
    <w:lvl w:ilvl="0" w:tplc="847625CE">
      <w:start w:val="1"/>
      <w:numFmt w:val="bullet"/>
      <w:lvlText w:val="-"/>
      <w:lvlJc w:val="left"/>
      <w:pPr>
        <w:ind w:left="720" w:hanging="360"/>
      </w:pPr>
      <w:rPr>
        <w:rFonts w:ascii="Calibri" w:eastAsia="Times New Roman" w:hAnsi="Calibri" w:cs="Calibri"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8" w15:restartNumberingAfterBreak="0">
    <w:nsid w:val="092506A4"/>
    <w:multiLevelType w:val="hybridMultilevel"/>
    <w:tmpl w:val="C7C8EC56"/>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9" w15:restartNumberingAfterBreak="0">
    <w:nsid w:val="0A4526E7"/>
    <w:multiLevelType w:val="hybridMultilevel"/>
    <w:tmpl w:val="31061A28"/>
    <w:lvl w:ilvl="0" w:tplc="FB4EA0A2">
      <w:start w:val="6"/>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15:restartNumberingAfterBreak="0">
    <w:nsid w:val="0B5C6A09"/>
    <w:multiLevelType w:val="hybridMultilevel"/>
    <w:tmpl w:val="9B3A7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5A627E"/>
    <w:multiLevelType w:val="hybridMultilevel"/>
    <w:tmpl w:val="A386D334"/>
    <w:lvl w:ilvl="0" w:tplc="65C0F9B4">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2" w15:restartNumberingAfterBreak="0">
    <w:nsid w:val="0E213A65"/>
    <w:multiLevelType w:val="hybridMultilevel"/>
    <w:tmpl w:val="6EF2D370"/>
    <w:lvl w:ilvl="0" w:tplc="781E732E">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3" w15:restartNumberingAfterBreak="0">
    <w:nsid w:val="0EA206F1"/>
    <w:multiLevelType w:val="hybridMultilevel"/>
    <w:tmpl w:val="EC74C936"/>
    <w:lvl w:ilvl="0" w:tplc="6534E6A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B00D6E"/>
    <w:multiLevelType w:val="multilevel"/>
    <w:tmpl w:val="5C546B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10CA58A7"/>
    <w:multiLevelType w:val="hybridMultilevel"/>
    <w:tmpl w:val="6B7870F0"/>
    <w:lvl w:ilvl="0" w:tplc="574EBE5A">
      <w:start w:val="1"/>
      <w:numFmt w:val="bullet"/>
      <w:lvlText w:val="•"/>
      <w:lvlJc w:val="left"/>
      <w:pPr>
        <w:tabs>
          <w:tab w:val="num" w:pos="360"/>
        </w:tabs>
        <w:ind w:left="360" w:hanging="360"/>
      </w:pPr>
      <w:rPr>
        <w:rFonts w:ascii="Arial" w:hAnsi="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14344584"/>
    <w:multiLevelType w:val="hybridMultilevel"/>
    <w:tmpl w:val="A15AA8C6"/>
    <w:lvl w:ilvl="0" w:tplc="CAEAFEDA">
      <w:start w:val="1"/>
      <w:numFmt w:val="lowerLetter"/>
      <w:lvlText w:val="%1)"/>
      <w:lvlJc w:val="left"/>
      <w:pPr>
        <w:ind w:left="1080" w:hanging="360"/>
      </w:pPr>
      <w:rPr>
        <w:rFonts w:eastAsia="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4A35BBC"/>
    <w:multiLevelType w:val="hybridMultilevel"/>
    <w:tmpl w:val="0994DF18"/>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8" w15:restartNumberingAfterBreak="0">
    <w:nsid w:val="15046CA9"/>
    <w:multiLevelType w:val="hybridMultilevel"/>
    <w:tmpl w:val="DADA91CC"/>
    <w:lvl w:ilvl="0" w:tplc="847625CE">
      <w:start w:val="1"/>
      <w:numFmt w:val="bullet"/>
      <w:lvlText w:val="-"/>
      <w:lvlJc w:val="left"/>
      <w:pPr>
        <w:ind w:left="785" w:hanging="360"/>
      </w:pPr>
      <w:rPr>
        <w:rFonts w:ascii="Calibri" w:eastAsia="Times New Roman" w:hAnsi="Calibri" w:cs="Calibr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15:restartNumberingAfterBreak="0">
    <w:nsid w:val="15576D6B"/>
    <w:multiLevelType w:val="multilevel"/>
    <w:tmpl w:val="08090023"/>
    <w:styleLink w:val="ArticleSection"/>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18070828"/>
    <w:multiLevelType w:val="hybridMultilevel"/>
    <w:tmpl w:val="98A0D330"/>
    <w:lvl w:ilvl="0" w:tplc="5AAA7D30">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1" w15:restartNumberingAfterBreak="0">
    <w:nsid w:val="1B9F4FFA"/>
    <w:multiLevelType w:val="hybridMultilevel"/>
    <w:tmpl w:val="0D06F5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2E84CA9"/>
    <w:multiLevelType w:val="hybridMultilevel"/>
    <w:tmpl w:val="C7FEE92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243D6D5B"/>
    <w:multiLevelType w:val="hybridMultilevel"/>
    <w:tmpl w:val="1848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57644F"/>
    <w:multiLevelType w:val="hybridMultilevel"/>
    <w:tmpl w:val="F58C8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2B3C5A3D"/>
    <w:multiLevelType w:val="multilevel"/>
    <w:tmpl w:val="7200E4CE"/>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36"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FD840AC"/>
    <w:multiLevelType w:val="hybridMultilevel"/>
    <w:tmpl w:val="9E3A8A7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8" w15:restartNumberingAfterBreak="0">
    <w:nsid w:val="31BB07DD"/>
    <w:multiLevelType w:val="hybridMultilevel"/>
    <w:tmpl w:val="D28AA144"/>
    <w:lvl w:ilvl="0" w:tplc="A42C9722">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9" w15:restartNumberingAfterBreak="0">
    <w:nsid w:val="335B604D"/>
    <w:multiLevelType w:val="hybridMultilevel"/>
    <w:tmpl w:val="4FC25CB8"/>
    <w:lvl w:ilvl="0" w:tplc="B93A744E">
      <w:start w:val="2"/>
      <w:numFmt w:val="lowerRoman"/>
      <w:lvlText w:val="%1."/>
      <w:lvlJc w:val="right"/>
      <w:pPr>
        <w:ind w:left="2520" w:hanging="18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0" w15:restartNumberingAfterBreak="0">
    <w:nsid w:val="34C52693"/>
    <w:multiLevelType w:val="multilevel"/>
    <w:tmpl w:val="FF7A9B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573294F"/>
    <w:multiLevelType w:val="hybridMultilevel"/>
    <w:tmpl w:val="DC22B5F0"/>
    <w:lvl w:ilvl="0" w:tplc="574EBE5A">
      <w:start w:val="1"/>
      <w:numFmt w:val="bullet"/>
      <w:lvlText w:val="•"/>
      <w:lvlJc w:val="left"/>
      <w:pPr>
        <w:tabs>
          <w:tab w:val="num" w:pos="360"/>
        </w:tabs>
        <w:ind w:left="360" w:hanging="360"/>
      </w:pPr>
      <w:rPr>
        <w:rFonts w:ascii="Arial" w:hAnsi="Arial" w:hint="default"/>
      </w:rPr>
    </w:lvl>
    <w:lvl w:ilvl="1" w:tplc="FEDE39A8">
      <w:start w:val="1"/>
      <w:numFmt w:val="bullet"/>
      <w:lvlText w:val="•"/>
      <w:lvlJc w:val="left"/>
      <w:pPr>
        <w:tabs>
          <w:tab w:val="num" w:pos="1080"/>
        </w:tabs>
        <w:ind w:left="1080" w:hanging="360"/>
      </w:pPr>
      <w:rPr>
        <w:rFonts w:ascii="Arial" w:hAnsi="Arial" w:hint="default"/>
      </w:rPr>
    </w:lvl>
    <w:lvl w:ilvl="2" w:tplc="4D24D0EC" w:tentative="1">
      <w:start w:val="1"/>
      <w:numFmt w:val="bullet"/>
      <w:lvlText w:val="•"/>
      <w:lvlJc w:val="left"/>
      <w:pPr>
        <w:tabs>
          <w:tab w:val="num" w:pos="1800"/>
        </w:tabs>
        <w:ind w:left="1800" w:hanging="360"/>
      </w:pPr>
      <w:rPr>
        <w:rFonts w:ascii="Arial" w:hAnsi="Arial" w:hint="default"/>
      </w:rPr>
    </w:lvl>
    <w:lvl w:ilvl="3" w:tplc="8CCAB864" w:tentative="1">
      <w:start w:val="1"/>
      <w:numFmt w:val="bullet"/>
      <w:lvlText w:val="•"/>
      <w:lvlJc w:val="left"/>
      <w:pPr>
        <w:tabs>
          <w:tab w:val="num" w:pos="2520"/>
        </w:tabs>
        <w:ind w:left="2520" w:hanging="360"/>
      </w:pPr>
      <w:rPr>
        <w:rFonts w:ascii="Arial" w:hAnsi="Arial" w:hint="default"/>
      </w:rPr>
    </w:lvl>
    <w:lvl w:ilvl="4" w:tplc="638EAD3A" w:tentative="1">
      <w:start w:val="1"/>
      <w:numFmt w:val="bullet"/>
      <w:lvlText w:val="•"/>
      <w:lvlJc w:val="left"/>
      <w:pPr>
        <w:tabs>
          <w:tab w:val="num" w:pos="3240"/>
        </w:tabs>
        <w:ind w:left="3240" w:hanging="360"/>
      </w:pPr>
      <w:rPr>
        <w:rFonts w:ascii="Arial" w:hAnsi="Arial" w:hint="default"/>
      </w:rPr>
    </w:lvl>
    <w:lvl w:ilvl="5" w:tplc="F4D2C766" w:tentative="1">
      <w:start w:val="1"/>
      <w:numFmt w:val="bullet"/>
      <w:lvlText w:val="•"/>
      <w:lvlJc w:val="left"/>
      <w:pPr>
        <w:tabs>
          <w:tab w:val="num" w:pos="3960"/>
        </w:tabs>
        <w:ind w:left="3960" w:hanging="360"/>
      </w:pPr>
      <w:rPr>
        <w:rFonts w:ascii="Arial" w:hAnsi="Arial" w:hint="default"/>
      </w:rPr>
    </w:lvl>
    <w:lvl w:ilvl="6" w:tplc="5044D5DC" w:tentative="1">
      <w:start w:val="1"/>
      <w:numFmt w:val="bullet"/>
      <w:lvlText w:val="•"/>
      <w:lvlJc w:val="left"/>
      <w:pPr>
        <w:tabs>
          <w:tab w:val="num" w:pos="4680"/>
        </w:tabs>
        <w:ind w:left="4680" w:hanging="360"/>
      </w:pPr>
      <w:rPr>
        <w:rFonts w:ascii="Arial" w:hAnsi="Arial" w:hint="default"/>
      </w:rPr>
    </w:lvl>
    <w:lvl w:ilvl="7" w:tplc="DEB8CF9A" w:tentative="1">
      <w:start w:val="1"/>
      <w:numFmt w:val="bullet"/>
      <w:lvlText w:val="•"/>
      <w:lvlJc w:val="left"/>
      <w:pPr>
        <w:tabs>
          <w:tab w:val="num" w:pos="5400"/>
        </w:tabs>
        <w:ind w:left="5400" w:hanging="360"/>
      </w:pPr>
      <w:rPr>
        <w:rFonts w:ascii="Arial" w:hAnsi="Arial" w:hint="default"/>
      </w:rPr>
    </w:lvl>
    <w:lvl w:ilvl="8" w:tplc="E1949AA6"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3B5D0E4F"/>
    <w:multiLevelType w:val="hybridMultilevel"/>
    <w:tmpl w:val="28B888E0"/>
    <w:lvl w:ilvl="0" w:tplc="4C0A0001">
      <w:start w:val="1"/>
      <w:numFmt w:val="bullet"/>
      <w:lvlText w:val=""/>
      <w:lvlJc w:val="left"/>
      <w:pPr>
        <w:ind w:left="1080" w:hanging="360"/>
      </w:pPr>
      <w:rPr>
        <w:rFonts w:ascii="Symbol" w:hAnsi="Symbo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43" w15:restartNumberingAfterBreak="0">
    <w:nsid w:val="3C7A5DC1"/>
    <w:multiLevelType w:val="hybridMultilevel"/>
    <w:tmpl w:val="76484A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3D8144F8"/>
    <w:multiLevelType w:val="hybridMultilevel"/>
    <w:tmpl w:val="5B7E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9470A5"/>
    <w:multiLevelType w:val="hybridMultilevel"/>
    <w:tmpl w:val="2B88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5D51EF"/>
    <w:multiLevelType w:val="hybridMultilevel"/>
    <w:tmpl w:val="EFF0763A"/>
    <w:lvl w:ilvl="0" w:tplc="847625C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9C0A93"/>
    <w:multiLevelType w:val="hybridMultilevel"/>
    <w:tmpl w:val="C6BEEEE0"/>
    <w:lvl w:ilvl="0" w:tplc="4C0A000F">
      <w:start w:val="1"/>
      <w:numFmt w:val="decimal"/>
      <w:lvlText w:val="%1."/>
      <w:lvlJc w:val="left"/>
      <w:pPr>
        <w:ind w:left="1080" w:hanging="360"/>
      </w:p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48" w15:restartNumberingAfterBreak="0">
    <w:nsid w:val="43F558D7"/>
    <w:multiLevelType w:val="hybridMultilevel"/>
    <w:tmpl w:val="57CC8F9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9" w15:restartNumberingAfterBreak="0">
    <w:nsid w:val="45F041B6"/>
    <w:multiLevelType w:val="hybridMultilevel"/>
    <w:tmpl w:val="54CC7CCC"/>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0"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51" w15:restartNumberingAfterBreak="0">
    <w:nsid w:val="4C0D5359"/>
    <w:multiLevelType w:val="hybridMultilevel"/>
    <w:tmpl w:val="78E460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15:restartNumberingAfterBreak="0">
    <w:nsid w:val="4D131069"/>
    <w:multiLevelType w:val="hybridMultilevel"/>
    <w:tmpl w:val="D4F2CB0E"/>
    <w:lvl w:ilvl="0" w:tplc="781E732E">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3" w15:restartNumberingAfterBreak="0">
    <w:nsid w:val="4E7B10BB"/>
    <w:multiLevelType w:val="hybridMultilevel"/>
    <w:tmpl w:val="789A2B16"/>
    <w:lvl w:ilvl="0" w:tplc="4C0A0001">
      <w:start w:val="1"/>
      <w:numFmt w:val="bullet"/>
      <w:lvlText w:val=""/>
      <w:lvlJc w:val="left"/>
      <w:pPr>
        <w:ind w:left="1080" w:hanging="360"/>
      </w:pPr>
      <w:rPr>
        <w:rFonts w:ascii="Symbol" w:hAnsi="Symbo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54" w15:restartNumberingAfterBreak="0">
    <w:nsid w:val="4ECF31C0"/>
    <w:multiLevelType w:val="multilevel"/>
    <w:tmpl w:val="17A0D06E"/>
    <w:numStyleLink w:val="NumbListAlpha"/>
  </w:abstractNum>
  <w:abstractNum w:abstractNumId="55" w15:restartNumberingAfterBreak="0">
    <w:nsid w:val="50952110"/>
    <w:multiLevelType w:val="hybridMultilevel"/>
    <w:tmpl w:val="098236E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AD12E2"/>
    <w:multiLevelType w:val="hybridMultilevel"/>
    <w:tmpl w:val="422C030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7" w15:restartNumberingAfterBreak="0">
    <w:nsid w:val="56C21C1B"/>
    <w:multiLevelType w:val="hybridMultilevel"/>
    <w:tmpl w:val="42F8AF2C"/>
    <w:lvl w:ilvl="0" w:tplc="100A000F">
      <w:start w:val="1"/>
      <w:numFmt w:val="decimal"/>
      <w:lvlText w:val="%1."/>
      <w:lvlJc w:val="left"/>
      <w:pPr>
        <w:ind w:left="360" w:hanging="360"/>
      </w:pPr>
      <w:rPr>
        <w:rFonts w:hint="default"/>
      </w:r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8" w15:restartNumberingAfterBreak="0">
    <w:nsid w:val="57202160"/>
    <w:multiLevelType w:val="hybridMultilevel"/>
    <w:tmpl w:val="2140120C"/>
    <w:lvl w:ilvl="0" w:tplc="574EBE5A">
      <w:start w:val="1"/>
      <w:numFmt w:val="bullet"/>
      <w:lvlText w:val="•"/>
      <w:lvlJc w:val="left"/>
      <w:pPr>
        <w:tabs>
          <w:tab w:val="num" w:pos="360"/>
        </w:tabs>
        <w:ind w:left="360" w:hanging="360"/>
      </w:pPr>
      <w:rPr>
        <w:rFonts w:ascii="Arial" w:hAnsi="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15:restartNumberingAfterBreak="0">
    <w:nsid w:val="5876796B"/>
    <w:multiLevelType w:val="hybridMultilevel"/>
    <w:tmpl w:val="894EF49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0" w15:restartNumberingAfterBreak="0">
    <w:nsid w:val="5C881F4F"/>
    <w:multiLevelType w:val="hybridMultilevel"/>
    <w:tmpl w:val="4A54F538"/>
    <w:lvl w:ilvl="0" w:tplc="C0E80D58">
      <w:start w:val="1"/>
      <w:numFmt w:val="low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DA96E7D"/>
    <w:multiLevelType w:val="hybridMultilevel"/>
    <w:tmpl w:val="80F80854"/>
    <w:lvl w:ilvl="0" w:tplc="F80A269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1B0F68"/>
    <w:multiLevelType w:val="hybridMultilevel"/>
    <w:tmpl w:val="7A0201A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4" w15:restartNumberingAfterBreak="0">
    <w:nsid w:val="619F540F"/>
    <w:multiLevelType w:val="hybridMultilevel"/>
    <w:tmpl w:val="1E32C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E555C6"/>
    <w:multiLevelType w:val="hybridMultilevel"/>
    <w:tmpl w:val="6430DCBE"/>
    <w:lvl w:ilvl="0" w:tplc="BF20C7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4655AA"/>
    <w:multiLevelType w:val="hybridMultilevel"/>
    <w:tmpl w:val="55064F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 w15:restartNumberingAfterBreak="0">
    <w:nsid w:val="69715253"/>
    <w:multiLevelType w:val="hybridMultilevel"/>
    <w:tmpl w:val="1258F7BC"/>
    <w:lvl w:ilvl="0" w:tplc="6BA88BDA">
      <w:start w:val="3"/>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8" w15:restartNumberingAfterBreak="0">
    <w:nsid w:val="6E4E03EB"/>
    <w:multiLevelType w:val="multilevel"/>
    <w:tmpl w:val="5C546B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9" w15:restartNumberingAfterBreak="0">
    <w:nsid w:val="716B5674"/>
    <w:multiLevelType w:val="hybridMultilevel"/>
    <w:tmpl w:val="F1A61E56"/>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0" w15:restartNumberingAfterBreak="0">
    <w:nsid w:val="73460AD6"/>
    <w:multiLevelType w:val="hybridMultilevel"/>
    <w:tmpl w:val="2D987EEA"/>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6DD44EE"/>
    <w:multiLevelType w:val="hybridMultilevel"/>
    <w:tmpl w:val="3A763EFC"/>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2" w15:restartNumberingAfterBreak="0">
    <w:nsid w:val="79770F24"/>
    <w:multiLevelType w:val="hybridMultilevel"/>
    <w:tmpl w:val="2F9E4E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 w15:restartNumberingAfterBreak="0">
    <w:nsid w:val="79F6288E"/>
    <w:multiLevelType w:val="hybridMultilevel"/>
    <w:tmpl w:val="4E708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FE24E9"/>
    <w:multiLevelType w:val="hybridMultilevel"/>
    <w:tmpl w:val="1728A0BC"/>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5" w15:restartNumberingAfterBreak="0">
    <w:nsid w:val="7D4A5D10"/>
    <w:multiLevelType w:val="hybridMultilevel"/>
    <w:tmpl w:val="EFBA7BD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6" w15:restartNumberingAfterBreak="0">
    <w:nsid w:val="7E9C7E9F"/>
    <w:multiLevelType w:val="hybridMultilevel"/>
    <w:tmpl w:val="C156A948"/>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7" w15:restartNumberingAfterBreak="0">
    <w:nsid w:val="7ECF16E7"/>
    <w:multiLevelType w:val="hybridMultilevel"/>
    <w:tmpl w:val="8E3C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50"/>
  </w:num>
  <w:num w:numId="13">
    <w:abstractNumId w:val="35"/>
  </w:num>
  <w:num w:numId="14">
    <w:abstractNumId w:val="54"/>
  </w:num>
  <w:num w:numId="15">
    <w:abstractNumId w:val="36"/>
  </w:num>
  <w:num w:numId="16">
    <w:abstractNumId w:val="61"/>
  </w:num>
  <w:num w:numId="17">
    <w:abstractNumId w:val="29"/>
  </w:num>
  <w:num w:numId="18">
    <w:abstractNumId w:val="35"/>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ind w:left="567" w:hanging="567"/>
        </w:pPr>
        <w:rPr>
          <w:rFonts w:hint="default"/>
          <w:b/>
          <w:color w:val="auto"/>
        </w:rPr>
      </w:lvl>
    </w:lvlOverride>
    <w:lvlOverride w:ilvl="2">
      <w:lvl w:ilvl="2">
        <w:start w:val="1"/>
        <w:numFmt w:val="none"/>
        <w:lvlText w:val=""/>
        <w:lvlJc w:val="left"/>
        <w:pPr>
          <w:ind w:left="567" w:firstLine="0"/>
        </w:pPr>
        <w:rPr>
          <w:rFonts w:hint="default"/>
        </w:rPr>
      </w:lvl>
    </w:lvlOverride>
    <w:lvlOverride w:ilvl="3">
      <w:lvl w:ilvl="3">
        <w:start w:val="1"/>
        <w:numFmt w:val="none"/>
        <w:lvlText w:val=""/>
        <w:lvlJc w:val="left"/>
        <w:pPr>
          <w:ind w:left="567" w:firstLine="0"/>
        </w:pPr>
        <w:rPr>
          <w:rFonts w:hint="default"/>
        </w:rPr>
      </w:lvl>
    </w:lvlOverride>
    <w:lvlOverride w:ilvl="4">
      <w:lvl w:ilvl="4">
        <w:start w:val="1"/>
        <w:numFmt w:val="none"/>
        <w:lvlText w:val=""/>
        <w:lvlJc w:val="left"/>
        <w:pPr>
          <w:ind w:left="567" w:firstLine="0"/>
        </w:pPr>
        <w:rPr>
          <w:rFonts w:hint="default"/>
        </w:rPr>
      </w:lvl>
    </w:lvlOverride>
    <w:lvlOverride w:ilvl="5">
      <w:lvl w:ilvl="5">
        <w:start w:val="1"/>
        <w:numFmt w:val="none"/>
        <w:lvlText w:val=""/>
        <w:lvlJc w:val="left"/>
        <w:pPr>
          <w:ind w:left="567" w:firstLine="0"/>
        </w:pPr>
        <w:rPr>
          <w:rFonts w:hint="default"/>
        </w:rPr>
      </w:lvl>
    </w:lvlOverride>
    <w:lvlOverride w:ilvl="6">
      <w:lvl w:ilvl="6">
        <w:start w:val="1"/>
        <w:numFmt w:val="none"/>
        <w:lvlText w:val=""/>
        <w:lvlJc w:val="left"/>
        <w:pPr>
          <w:ind w:left="567" w:firstLine="0"/>
        </w:pPr>
        <w:rPr>
          <w:rFonts w:hint="default"/>
        </w:rPr>
      </w:lvl>
    </w:lvlOverride>
    <w:lvlOverride w:ilvl="7">
      <w:lvl w:ilvl="7">
        <w:start w:val="1"/>
        <w:numFmt w:val="none"/>
        <w:lvlText w:val=""/>
        <w:lvlJc w:val="left"/>
        <w:pPr>
          <w:ind w:left="567" w:firstLine="0"/>
        </w:pPr>
        <w:rPr>
          <w:rFonts w:hint="default"/>
        </w:rPr>
      </w:lvl>
    </w:lvlOverride>
    <w:lvlOverride w:ilvl="8">
      <w:lvl w:ilvl="8">
        <w:start w:val="1"/>
        <w:numFmt w:val="none"/>
        <w:lvlText w:val=""/>
        <w:lvlJc w:val="left"/>
        <w:pPr>
          <w:ind w:left="567" w:firstLine="0"/>
        </w:pPr>
        <w:rPr>
          <w:rFonts w:hint="default"/>
        </w:rPr>
      </w:lvl>
    </w:lvlOverride>
  </w:num>
  <w:num w:numId="19">
    <w:abstractNumId w:val="26"/>
  </w:num>
  <w:num w:numId="20">
    <w:abstractNumId w:val="31"/>
  </w:num>
  <w:num w:numId="21">
    <w:abstractNumId w:val="70"/>
  </w:num>
  <w:num w:numId="22">
    <w:abstractNumId w:val="60"/>
  </w:num>
  <w:num w:numId="23">
    <w:abstractNumId w:val="55"/>
  </w:num>
  <w:num w:numId="24">
    <w:abstractNumId w:val="64"/>
  </w:num>
  <w:num w:numId="25">
    <w:abstractNumId w:val="75"/>
  </w:num>
  <w:num w:numId="26">
    <w:abstractNumId w:val="48"/>
  </w:num>
  <w:num w:numId="27">
    <w:abstractNumId w:val="57"/>
  </w:num>
  <w:num w:numId="28">
    <w:abstractNumId w:val="65"/>
  </w:num>
  <w:num w:numId="29">
    <w:abstractNumId w:val="41"/>
  </w:num>
  <w:num w:numId="30">
    <w:abstractNumId w:val="13"/>
  </w:num>
  <w:num w:numId="31">
    <w:abstractNumId w:val="37"/>
  </w:num>
  <w:num w:numId="32">
    <w:abstractNumId w:val="51"/>
  </w:num>
  <w:num w:numId="33">
    <w:abstractNumId w:val="34"/>
  </w:num>
  <w:num w:numId="34">
    <w:abstractNumId w:val="43"/>
  </w:num>
  <w:num w:numId="35">
    <w:abstractNumId w:val="58"/>
  </w:num>
  <w:num w:numId="36">
    <w:abstractNumId w:val="25"/>
  </w:num>
  <w:num w:numId="37">
    <w:abstractNumId w:val="66"/>
  </w:num>
  <w:num w:numId="38">
    <w:abstractNumId w:val="62"/>
  </w:num>
  <w:num w:numId="39">
    <w:abstractNumId w:val="56"/>
  </w:num>
  <w:num w:numId="40">
    <w:abstractNumId w:val="53"/>
  </w:num>
  <w:num w:numId="41">
    <w:abstractNumId w:val="74"/>
  </w:num>
  <w:num w:numId="42">
    <w:abstractNumId w:val="21"/>
  </w:num>
  <w:num w:numId="43">
    <w:abstractNumId w:val="38"/>
  </w:num>
  <w:num w:numId="44">
    <w:abstractNumId w:val="30"/>
  </w:num>
  <w:num w:numId="45">
    <w:abstractNumId w:val="22"/>
  </w:num>
  <w:num w:numId="46">
    <w:abstractNumId w:val="52"/>
  </w:num>
  <w:num w:numId="47">
    <w:abstractNumId w:val="68"/>
  </w:num>
  <w:num w:numId="48">
    <w:abstractNumId w:val="32"/>
  </w:num>
  <w:num w:numId="49">
    <w:abstractNumId w:val="40"/>
  </w:num>
  <w:num w:numId="50">
    <w:abstractNumId w:val="12"/>
  </w:num>
  <w:num w:numId="51">
    <w:abstractNumId w:val="72"/>
  </w:num>
  <w:num w:numId="52">
    <w:abstractNumId w:val="44"/>
  </w:num>
  <w:num w:numId="53">
    <w:abstractNumId w:val="73"/>
  </w:num>
  <w:num w:numId="54">
    <w:abstractNumId w:val="10"/>
  </w:num>
  <w:num w:numId="55">
    <w:abstractNumId w:val="20"/>
  </w:num>
  <w:num w:numId="56">
    <w:abstractNumId w:val="33"/>
  </w:num>
  <w:num w:numId="57">
    <w:abstractNumId w:val="11"/>
  </w:num>
  <w:num w:numId="58">
    <w:abstractNumId w:val="77"/>
  </w:num>
  <w:num w:numId="59">
    <w:abstractNumId w:val="45"/>
  </w:num>
  <w:num w:numId="60">
    <w:abstractNumId w:val="16"/>
  </w:num>
  <w:num w:numId="61">
    <w:abstractNumId w:val="67"/>
  </w:num>
  <w:num w:numId="62">
    <w:abstractNumId w:val="19"/>
  </w:num>
  <w:num w:numId="63">
    <w:abstractNumId w:val="15"/>
  </w:num>
  <w:num w:numId="64">
    <w:abstractNumId w:val="39"/>
  </w:num>
  <w:num w:numId="65">
    <w:abstractNumId w:val="17"/>
  </w:num>
  <w:num w:numId="66">
    <w:abstractNumId w:val="47"/>
  </w:num>
  <w:num w:numId="67">
    <w:abstractNumId w:val="63"/>
  </w:num>
  <w:num w:numId="68">
    <w:abstractNumId w:val="59"/>
  </w:num>
  <w:num w:numId="69">
    <w:abstractNumId w:val="69"/>
  </w:num>
  <w:num w:numId="70">
    <w:abstractNumId w:val="71"/>
  </w:num>
  <w:num w:numId="71">
    <w:abstractNumId w:val="18"/>
  </w:num>
  <w:num w:numId="72">
    <w:abstractNumId w:val="49"/>
  </w:num>
  <w:num w:numId="73">
    <w:abstractNumId w:val="27"/>
  </w:num>
  <w:num w:numId="74">
    <w:abstractNumId w:val="76"/>
  </w:num>
  <w:num w:numId="75">
    <w:abstractNumId w:val="42"/>
  </w:num>
  <w:num w:numId="76">
    <w:abstractNumId w:val="28"/>
  </w:num>
  <w:num w:numId="77">
    <w:abstractNumId w:val="46"/>
  </w:num>
  <w:num w:numId="78">
    <w:abstractNumId w:val="23"/>
  </w:num>
  <w:num w:numId="79">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attachedTemplate r:id="rId1"/>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ReportCol1"/>
    <w:docVar w:name="Template" w:val="GF Report Template 1 Column.dotx"/>
  </w:docVars>
  <w:rsids>
    <w:rsidRoot w:val="00D8465B"/>
    <w:rsid w:val="0000088D"/>
    <w:rsid w:val="000010E9"/>
    <w:rsid w:val="00001706"/>
    <w:rsid w:val="000028BC"/>
    <w:rsid w:val="000062E6"/>
    <w:rsid w:val="000067A2"/>
    <w:rsid w:val="000067AC"/>
    <w:rsid w:val="00007FBE"/>
    <w:rsid w:val="00010133"/>
    <w:rsid w:val="00011D89"/>
    <w:rsid w:val="00015D01"/>
    <w:rsid w:val="00017D73"/>
    <w:rsid w:val="00021A9D"/>
    <w:rsid w:val="00021D35"/>
    <w:rsid w:val="000226A7"/>
    <w:rsid w:val="000242DD"/>
    <w:rsid w:val="00024539"/>
    <w:rsid w:val="00024DFE"/>
    <w:rsid w:val="00025BC8"/>
    <w:rsid w:val="00026B43"/>
    <w:rsid w:val="00027195"/>
    <w:rsid w:val="00027D89"/>
    <w:rsid w:val="00031C81"/>
    <w:rsid w:val="00034984"/>
    <w:rsid w:val="00034B94"/>
    <w:rsid w:val="00036281"/>
    <w:rsid w:val="00037366"/>
    <w:rsid w:val="0004343B"/>
    <w:rsid w:val="000451C3"/>
    <w:rsid w:val="0004628A"/>
    <w:rsid w:val="00047C4F"/>
    <w:rsid w:val="00050B7A"/>
    <w:rsid w:val="000527BA"/>
    <w:rsid w:val="00054E5F"/>
    <w:rsid w:val="00057F5E"/>
    <w:rsid w:val="00061E43"/>
    <w:rsid w:val="000646CB"/>
    <w:rsid w:val="000646CF"/>
    <w:rsid w:val="00067799"/>
    <w:rsid w:val="00071C82"/>
    <w:rsid w:val="00074D0F"/>
    <w:rsid w:val="00075919"/>
    <w:rsid w:val="0007783A"/>
    <w:rsid w:val="0008377E"/>
    <w:rsid w:val="00084682"/>
    <w:rsid w:val="00084740"/>
    <w:rsid w:val="00084B50"/>
    <w:rsid w:val="00086C4F"/>
    <w:rsid w:val="000875D3"/>
    <w:rsid w:val="0009143A"/>
    <w:rsid w:val="00096A4F"/>
    <w:rsid w:val="000A1C57"/>
    <w:rsid w:val="000A2935"/>
    <w:rsid w:val="000A4565"/>
    <w:rsid w:val="000B0A5E"/>
    <w:rsid w:val="000B0F95"/>
    <w:rsid w:val="000B2017"/>
    <w:rsid w:val="000B7775"/>
    <w:rsid w:val="000C0BE6"/>
    <w:rsid w:val="000C1578"/>
    <w:rsid w:val="000C377B"/>
    <w:rsid w:val="000C6473"/>
    <w:rsid w:val="000C647F"/>
    <w:rsid w:val="000C67B1"/>
    <w:rsid w:val="000D4655"/>
    <w:rsid w:val="000D6DCA"/>
    <w:rsid w:val="000E0ACF"/>
    <w:rsid w:val="000E523B"/>
    <w:rsid w:val="000E5BFC"/>
    <w:rsid w:val="000F4C67"/>
    <w:rsid w:val="000F5BD5"/>
    <w:rsid w:val="000F7531"/>
    <w:rsid w:val="00100235"/>
    <w:rsid w:val="001036AD"/>
    <w:rsid w:val="0010639C"/>
    <w:rsid w:val="00107610"/>
    <w:rsid w:val="0010764D"/>
    <w:rsid w:val="00110820"/>
    <w:rsid w:val="00110DC5"/>
    <w:rsid w:val="00112420"/>
    <w:rsid w:val="001139B3"/>
    <w:rsid w:val="00115CFE"/>
    <w:rsid w:val="001169B8"/>
    <w:rsid w:val="0012123D"/>
    <w:rsid w:val="00125656"/>
    <w:rsid w:val="0012692D"/>
    <w:rsid w:val="00133325"/>
    <w:rsid w:val="00135F27"/>
    <w:rsid w:val="0013691B"/>
    <w:rsid w:val="00136ED6"/>
    <w:rsid w:val="00137E99"/>
    <w:rsid w:val="001433CF"/>
    <w:rsid w:val="00145B11"/>
    <w:rsid w:val="00146C73"/>
    <w:rsid w:val="00153791"/>
    <w:rsid w:val="00153CB0"/>
    <w:rsid w:val="001540E2"/>
    <w:rsid w:val="001553D9"/>
    <w:rsid w:val="001615E0"/>
    <w:rsid w:val="00161D5F"/>
    <w:rsid w:val="001649CE"/>
    <w:rsid w:val="0016617F"/>
    <w:rsid w:val="00171C99"/>
    <w:rsid w:val="00173817"/>
    <w:rsid w:val="0017614A"/>
    <w:rsid w:val="00177E7D"/>
    <w:rsid w:val="00184DB5"/>
    <w:rsid w:val="00185DF4"/>
    <w:rsid w:val="001930D8"/>
    <w:rsid w:val="0019388D"/>
    <w:rsid w:val="001947AD"/>
    <w:rsid w:val="00197AE7"/>
    <w:rsid w:val="001B10F3"/>
    <w:rsid w:val="001B2031"/>
    <w:rsid w:val="001B3039"/>
    <w:rsid w:val="001B7717"/>
    <w:rsid w:val="001C0EA4"/>
    <w:rsid w:val="001C2071"/>
    <w:rsid w:val="001C21EE"/>
    <w:rsid w:val="001C2AB3"/>
    <w:rsid w:val="001C3DD1"/>
    <w:rsid w:val="001D32A9"/>
    <w:rsid w:val="001D3A6E"/>
    <w:rsid w:val="001D4608"/>
    <w:rsid w:val="001D57CE"/>
    <w:rsid w:val="001D5CEF"/>
    <w:rsid w:val="001E051E"/>
    <w:rsid w:val="001E1ADF"/>
    <w:rsid w:val="001E4991"/>
    <w:rsid w:val="001F14BA"/>
    <w:rsid w:val="001F37FE"/>
    <w:rsid w:val="001F7F10"/>
    <w:rsid w:val="00200AC3"/>
    <w:rsid w:val="0020114B"/>
    <w:rsid w:val="0020615A"/>
    <w:rsid w:val="0020762C"/>
    <w:rsid w:val="0021111C"/>
    <w:rsid w:val="00216E9D"/>
    <w:rsid w:val="00217EC7"/>
    <w:rsid w:val="002213C8"/>
    <w:rsid w:val="00222640"/>
    <w:rsid w:val="0022288B"/>
    <w:rsid w:val="00227187"/>
    <w:rsid w:val="002336CE"/>
    <w:rsid w:val="00233F06"/>
    <w:rsid w:val="00235CA2"/>
    <w:rsid w:val="002367FB"/>
    <w:rsid w:val="00236822"/>
    <w:rsid w:val="0024020E"/>
    <w:rsid w:val="0024260C"/>
    <w:rsid w:val="00244EDC"/>
    <w:rsid w:val="00246A77"/>
    <w:rsid w:val="002505ED"/>
    <w:rsid w:val="0025351E"/>
    <w:rsid w:val="00253763"/>
    <w:rsid w:val="00254D2F"/>
    <w:rsid w:val="00260CDF"/>
    <w:rsid w:val="002624AD"/>
    <w:rsid w:val="00263E19"/>
    <w:rsid w:val="00266AEC"/>
    <w:rsid w:val="0027163F"/>
    <w:rsid w:val="0027368C"/>
    <w:rsid w:val="00273738"/>
    <w:rsid w:val="00276608"/>
    <w:rsid w:val="00282E1F"/>
    <w:rsid w:val="00284808"/>
    <w:rsid w:val="00291BF7"/>
    <w:rsid w:val="00292879"/>
    <w:rsid w:val="002938CB"/>
    <w:rsid w:val="00294A62"/>
    <w:rsid w:val="0029796C"/>
    <w:rsid w:val="002A015C"/>
    <w:rsid w:val="002A056E"/>
    <w:rsid w:val="002A267C"/>
    <w:rsid w:val="002A4684"/>
    <w:rsid w:val="002A534F"/>
    <w:rsid w:val="002A57E1"/>
    <w:rsid w:val="002A5B89"/>
    <w:rsid w:val="002A72DB"/>
    <w:rsid w:val="002A7635"/>
    <w:rsid w:val="002B07E9"/>
    <w:rsid w:val="002B0F35"/>
    <w:rsid w:val="002B6A8E"/>
    <w:rsid w:val="002C35FE"/>
    <w:rsid w:val="002C3CEB"/>
    <w:rsid w:val="002D2825"/>
    <w:rsid w:val="002D5537"/>
    <w:rsid w:val="002D5A90"/>
    <w:rsid w:val="002D7F83"/>
    <w:rsid w:val="002E1987"/>
    <w:rsid w:val="002E2B51"/>
    <w:rsid w:val="002E319C"/>
    <w:rsid w:val="002E4929"/>
    <w:rsid w:val="002E6104"/>
    <w:rsid w:val="002F23B7"/>
    <w:rsid w:val="002F2F7C"/>
    <w:rsid w:val="002F5A38"/>
    <w:rsid w:val="002F6F67"/>
    <w:rsid w:val="003022B3"/>
    <w:rsid w:val="00303F18"/>
    <w:rsid w:val="00304EE8"/>
    <w:rsid w:val="00311FEB"/>
    <w:rsid w:val="00313F99"/>
    <w:rsid w:val="00314800"/>
    <w:rsid w:val="00315BCF"/>
    <w:rsid w:val="0031628B"/>
    <w:rsid w:val="00320FCB"/>
    <w:rsid w:val="00323FC5"/>
    <w:rsid w:val="0032424D"/>
    <w:rsid w:val="00325D20"/>
    <w:rsid w:val="00326A25"/>
    <w:rsid w:val="00326B65"/>
    <w:rsid w:val="003436A3"/>
    <w:rsid w:val="00344AF1"/>
    <w:rsid w:val="003470C2"/>
    <w:rsid w:val="00347335"/>
    <w:rsid w:val="00356CB8"/>
    <w:rsid w:val="00360FCB"/>
    <w:rsid w:val="00361089"/>
    <w:rsid w:val="00361698"/>
    <w:rsid w:val="00364326"/>
    <w:rsid w:val="003669CF"/>
    <w:rsid w:val="003702B8"/>
    <w:rsid w:val="00371324"/>
    <w:rsid w:val="003716B0"/>
    <w:rsid w:val="0037258B"/>
    <w:rsid w:val="00376598"/>
    <w:rsid w:val="00377AA9"/>
    <w:rsid w:val="00381E40"/>
    <w:rsid w:val="003844E1"/>
    <w:rsid w:val="0038486D"/>
    <w:rsid w:val="003860E7"/>
    <w:rsid w:val="00390E9F"/>
    <w:rsid w:val="00395135"/>
    <w:rsid w:val="003962E5"/>
    <w:rsid w:val="00397B91"/>
    <w:rsid w:val="003A0751"/>
    <w:rsid w:val="003A0F8A"/>
    <w:rsid w:val="003A13B6"/>
    <w:rsid w:val="003A1F32"/>
    <w:rsid w:val="003A4972"/>
    <w:rsid w:val="003A5EB1"/>
    <w:rsid w:val="003A7A93"/>
    <w:rsid w:val="003B09C8"/>
    <w:rsid w:val="003B6D36"/>
    <w:rsid w:val="003C2F3D"/>
    <w:rsid w:val="003C4B9E"/>
    <w:rsid w:val="003C4DE8"/>
    <w:rsid w:val="003C7B23"/>
    <w:rsid w:val="003C7F2F"/>
    <w:rsid w:val="003D286E"/>
    <w:rsid w:val="003D39EC"/>
    <w:rsid w:val="003D4795"/>
    <w:rsid w:val="003D59BD"/>
    <w:rsid w:val="003D5D6D"/>
    <w:rsid w:val="003D70F4"/>
    <w:rsid w:val="003F167F"/>
    <w:rsid w:val="003F1951"/>
    <w:rsid w:val="003F2658"/>
    <w:rsid w:val="003F4F26"/>
    <w:rsid w:val="00401437"/>
    <w:rsid w:val="00404876"/>
    <w:rsid w:val="004065CC"/>
    <w:rsid w:val="00411A6F"/>
    <w:rsid w:val="00411CF4"/>
    <w:rsid w:val="00413649"/>
    <w:rsid w:val="00414164"/>
    <w:rsid w:val="00414929"/>
    <w:rsid w:val="00416B90"/>
    <w:rsid w:val="0042079A"/>
    <w:rsid w:val="00421004"/>
    <w:rsid w:val="00424489"/>
    <w:rsid w:val="00424998"/>
    <w:rsid w:val="00424BFA"/>
    <w:rsid w:val="00427041"/>
    <w:rsid w:val="00427F9D"/>
    <w:rsid w:val="00433FBF"/>
    <w:rsid w:val="00434470"/>
    <w:rsid w:val="004345DC"/>
    <w:rsid w:val="00434657"/>
    <w:rsid w:val="00437DC3"/>
    <w:rsid w:val="00440300"/>
    <w:rsid w:val="004407F0"/>
    <w:rsid w:val="004431F4"/>
    <w:rsid w:val="0044345C"/>
    <w:rsid w:val="00443C2F"/>
    <w:rsid w:val="004456B9"/>
    <w:rsid w:val="004473B4"/>
    <w:rsid w:val="00451CBE"/>
    <w:rsid w:val="00454E8A"/>
    <w:rsid w:val="004551D2"/>
    <w:rsid w:val="00457496"/>
    <w:rsid w:val="004619FD"/>
    <w:rsid w:val="00461C0E"/>
    <w:rsid w:val="00463442"/>
    <w:rsid w:val="00464F55"/>
    <w:rsid w:val="004660AB"/>
    <w:rsid w:val="0047239F"/>
    <w:rsid w:val="0047497A"/>
    <w:rsid w:val="00475BE9"/>
    <w:rsid w:val="00477290"/>
    <w:rsid w:val="0048021D"/>
    <w:rsid w:val="004807FB"/>
    <w:rsid w:val="00485066"/>
    <w:rsid w:val="00486274"/>
    <w:rsid w:val="00487470"/>
    <w:rsid w:val="00490205"/>
    <w:rsid w:val="004B3CB6"/>
    <w:rsid w:val="004B4E06"/>
    <w:rsid w:val="004B50E0"/>
    <w:rsid w:val="004B567E"/>
    <w:rsid w:val="004C16A6"/>
    <w:rsid w:val="004C41DA"/>
    <w:rsid w:val="004D2D9D"/>
    <w:rsid w:val="004D4827"/>
    <w:rsid w:val="004D7C5C"/>
    <w:rsid w:val="004E0779"/>
    <w:rsid w:val="004F034A"/>
    <w:rsid w:val="004F3DBF"/>
    <w:rsid w:val="004F6EC0"/>
    <w:rsid w:val="004F750D"/>
    <w:rsid w:val="004F7E15"/>
    <w:rsid w:val="005009CD"/>
    <w:rsid w:val="00501A95"/>
    <w:rsid w:val="005028D9"/>
    <w:rsid w:val="005110E8"/>
    <w:rsid w:val="00515136"/>
    <w:rsid w:val="00516717"/>
    <w:rsid w:val="005232AC"/>
    <w:rsid w:val="0052762D"/>
    <w:rsid w:val="005279BC"/>
    <w:rsid w:val="00527ED3"/>
    <w:rsid w:val="005327C3"/>
    <w:rsid w:val="0053290D"/>
    <w:rsid w:val="0053784E"/>
    <w:rsid w:val="00540152"/>
    <w:rsid w:val="005422B6"/>
    <w:rsid w:val="005433A5"/>
    <w:rsid w:val="00543781"/>
    <w:rsid w:val="0054635E"/>
    <w:rsid w:val="00550031"/>
    <w:rsid w:val="0055523F"/>
    <w:rsid w:val="005578E8"/>
    <w:rsid w:val="00560074"/>
    <w:rsid w:val="00560096"/>
    <w:rsid w:val="00560302"/>
    <w:rsid w:val="00561767"/>
    <w:rsid w:val="00562B3D"/>
    <w:rsid w:val="005659E0"/>
    <w:rsid w:val="0057038C"/>
    <w:rsid w:val="0057138C"/>
    <w:rsid w:val="00572198"/>
    <w:rsid w:val="005735F0"/>
    <w:rsid w:val="00573A39"/>
    <w:rsid w:val="00573EAD"/>
    <w:rsid w:val="00576254"/>
    <w:rsid w:val="00576E18"/>
    <w:rsid w:val="00577803"/>
    <w:rsid w:val="00582570"/>
    <w:rsid w:val="00582BFD"/>
    <w:rsid w:val="0058415B"/>
    <w:rsid w:val="00585920"/>
    <w:rsid w:val="00591D75"/>
    <w:rsid w:val="00594D06"/>
    <w:rsid w:val="0059661D"/>
    <w:rsid w:val="005A1EDA"/>
    <w:rsid w:val="005A5EF4"/>
    <w:rsid w:val="005A7DE2"/>
    <w:rsid w:val="005A7F49"/>
    <w:rsid w:val="005B03D1"/>
    <w:rsid w:val="005B198D"/>
    <w:rsid w:val="005B21F7"/>
    <w:rsid w:val="005C13CA"/>
    <w:rsid w:val="005C47FA"/>
    <w:rsid w:val="005C61D7"/>
    <w:rsid w:val="005C6E80"/>
    <w:rsid w:val="005D02D2"/>
    <w:rsid w:val="005D4524"/>
    <w:rsid w:val="005D63AE"/>
    <w:rsid w:val="005D7683"/>
    <w:rsid w:val="005D79E5"/>
    <w:rsid w:val="005E00FB"/>
    <w:rsid w:val="005E0753"/>
    <w:rsid w:val="005E0AB3"/>
    <w:rsid w:val="005E2D19"/>
    <w:rsid w:val="005E329F"/>
    <w:rsid w:val="005E5287"/>
    <w:rsid w:val="005E5FAA"/>
    <w:rsid w:val="005E6229"/>
    <w:rsid w:val="005E78AE"/>
    <w:rsid w:val="005F34DC"/>
    <w:rsid w:val="005F6D34"/>
    <w:rsid w:val="005F7BFB"/>
    <w:rsid w:val="00600BA8"/>
    <w:rsid w:val="006038B2"/>
    <w:rsid w:val="00603905"/>
    <w:rsid w:val="00604CBD"/>
    <w:rsid w:val="00606C49"/>
    <w:rsid w:val="00611061"/>
    <w:rsid w:val="00611DCB"/>
    <w:rsid w:val="00611DD1"/>
    <w:rsid w:val="0061295B"/>
    <w:rsid w:val="00613892"/>
    <w:rsid w:val="00615B11"/>
    <w:rsid w:val="00615FF6"/>
    <w:rsid w:val="00616566"/>
    <w:rsid w:val="00617951"/>
    <w:rsid w:val="006214B7"/>
    <w:rsid w:val="00621E01"/>
    <w:rsid w:val="00623ABF"/>
    <w:rsid w:val="0062460F"/>
    <w:rsid w:val="006253D6"/>
    <w:rsid w:val="006257B9"/>
    <w:rsid w:val="00631023"/>
    <w:rsid w:val="006326F8"/>
    <w:rsid w:val="00633BBC"/>
    <w:rsid w:val="00633D5C"/>
    <w:rsid w:val="0063467F"/>
    <w:rsid w:val="00636117"/>
    <w:rsid w:val="006364FF"/>
    <w:rsid w:val="00637448"/>
    <w:rsid w:val="006375CA"/>
    <w:rsid w:val="00644ADF"/>
    <w:rsid w:val="0064521E"/>
    <w:rsid w:val="0064597B"/>
    <w:rsid w:val="00651751"/>
    <w:rsid w:val="006533BD"/>
    <w:rsid w:val="0065410B"/>
    <w:rsid w:val="0065683A"/>
    <w:rsid w:val="0066207C"/>
    <w:rsid w:val="00662AEF"/>
    <w:rsid w:val="00663D90"/>
    <w:rsid w:val="00664D00"/>
    <w:rsid w:val="00667DF0"/>
    <w:rsid w:val="00671956"/>
    <w:rsid w:val="00673318"/>
    <w:rsid w:val="00673D5D"/>
    <w:rsid w:val="0067503A"/>
    <w:rsid w:val="00675C66"/>
    <w:rsid w:val="00677139"/>
    <w:rsid w:val="006807B4"/>
    <w:rsid w:val="006810B2"/>
    <w:rsid w:val="00681ABF"/>
    <w:rsid w:val="00681D31"/>
    <w:rsid w:val="00682891"/>
    <w:rsid w:val="00687B1C"/>
    <w:rsid w:val="00690D28"/>
    <w:rsid w:val="0069127F"/>
    <w:rsid w:val="006915AE"/>
    <w:rsid w:val="00691D78"/>
    <w:rsid w:val="006928DF"/>
    <w:rsid w:val="006931FE"/>
    <w:rsid w:val="00693ED1"/>
    <w:rsid w:val="006A1A5F"/>
    <w:rsid w:val="006A22EC"/>
    <w:rsid w:val="006A456F"/>
    <w:rsid w:val="006B5836"/>
    <w:rsid w:val="006B7844"/>
    <w:rsid w:val="006B7D63"/>
    <w:rsid w:val="006C0196"/>
    <w:rsid w:val="006C10E7"/>
    <w:rsid w:val="006C1655"/>
    <w:rsid w:val="006C5497"/>
    <w:rsid w:val="006C7912"/>
    <w:rsid w:val="006D00BB"/>
    <w:rsid w:val="006D0B25"/>
    <w:rsid w:val="006D1A08"/>
    <w:rsid w:val="006D65C9"/>
    <w:rsid w:val="006D7841"/>
    <w:rsid w:val="006D7C30"/>
    <w:rsid w:val="006D7EAB"/>
    <w:rsid w:val="006E0942"/>
    <w:rsid w:val="006E3D54"/>
    <w:rsid w:val="006E6875"/>
    <w:rsid w:val="006F2316"/>
    <w:rsid w:val="006F29C8"/>
    <w:rsid w:val="006F4286"/>
    <w:rsid w:val="006F6F93"/>
    <w:rsid w:val="006F74F7"/>
    <w:rsid w:val="00700E91"/>
    <w:rsid w:val="00701406"/>
    <w:rsid w:val="0070200C"/>
    <w:rsid w:val="00702B30"/>
    <w:rsid w:val="007043C7"/>
    <w:rsid w:val="007047B3"/>
    <w:rsid w:val="0070650E"/>
    <w:rsid w:val="00707784"/>
    <w:rsid w:val="00710A12"/>
    <w:rsid w:val="00711EC6"/>
    <w:rsid w:val="00713D9A"/>
    <w:rsid w:val="0071454E"/>
    <w:rsid w:val="00720B79"/>
    <w:rsid w:val="00721E29"/>
    <w:rsid w:val="00723D34"/>
    <w:rsid w:val="00731A0B"/>
    <w:rsid w:val="007321CC"/>
    <w:rsid w:val="007364E8"/>
    <w:rsid w:val="007410E8"/>
    <w:rsid w:val="0074146F"/>
    <w:rsid w:val="007416CD"/>
    <w:rsid w:val="007418FD"/>
    <w:rsid w:val="00741B1B"/>
    <w:rsid w:val="007420A6"/>
    <w:rsid w:val="00751B4C"/>
    <w:rsid w:val="007529C4"/>
    <w:rsid w:val="00756002"/>
    <w:rsid w:val="00756BA1"/>
    <w:rsid w:val="00756D32"/>
    <w:rsid w:val="0075707F"/>
    <w:rsid w:val="00757FA6"/>
    <w:rsid w:val="00760AF4"/>
    <w:rsid w:val="00761F4E"/>
    <w:rsid w:val="007629F9"/>
    <w:rsid w:val="00763864"/>
    <w:rsid w:val="00764F86"/>
    <w:rsid w:val="00766593"/>
    <w:rsid w:val="00767D3D"/>
    <w:rsid w:val="00774093"/>
    <w:rsid w:val="007744DC"/>
    <w:rsid w:val="007744DE"/>
    <w:rsid w:val="00777F70"/>
    <w:rsid w:val="00781552"/>
    <w:rsid w:val="0078180D"/>
    <w:rsid w:val="00786ABD"/>
    <w:rsid w:val="0078718D"/>
    <w:rsid w:val="00792423"/>
    <w:rsid w:val="00792674"/>
    <w:rsid w:val="00794CE6"/>
    <w:rsid w:val="00795EB5"/>
    <w:rsid w:val="007966EA"/>
    <w:rsid w:val="00796A34"/>
    <w:rsid w:val="007972E7"/>
    <w:rsid w:val="007A2B25"/>
    <w:rsid w:val="007A59CE"/>
    <w:rsid w:val="007A5D57"/>
    <w:rsid w:val="007A5EDC"/>
    <w:rsid w:val="007A61CA"/>
    <w:rsid w:val="007A7EC9"/>
    <w:rsid w:val="007C0508"/>
    <w:rsid w:val="007C1690"/>
    <w:rsid w:val="007C220E"/>
    <w:rsid w:val="007C411F"/>
    <w:rsid w:val="007C5353"/>
    <w:rsid w:val="007C72C8"/>
    <w:rsid w:val="007C7857"/>
    <w:rsid w:val="007D0EDF"/>
    <w:rsid w:val="007D2569"/>
    <w:rsid w:val="007D2821"/>
    <w:rsid w:val="007E2786"/>
    <w:rsid w:val="007E2D36"/>
    <w:rsid w:val="007F1274"/>
    <w:rsid w:val="007F25F3"/>
    <w:rsid w:val="007F430E"/>
    <w:rsid w:val="007F6CC2"/>
    <w:rsid w:val="00803993"/>
    <w:rsid w:val="00804414"/>
    <w:rsid w:val="0080478C"/>
    <w:rsid w:val="00805279"/>
    <w:rsid w:val="008062CC"/>
    <w:rsid w:val="00807A96"/>
    <w:rsid w:val="00810CCB"/>
    <w:rsid w:val="008129C4"/>
    <w:rsid w:val="008140B4"/>
    <w:rsid w:val="00815549"/>
    <w:rsid w:val="008164C3"/>
    <w:rsid w:val="00820572"/>
    <w:rsid w:val="008224EC"/>
    <w:rsid w:val="00822D0E"/>
    <w:rsid w:val="00823A34"/>
    <w:rsid w:val="00824D66"/>
    <w:rsid w:val="0083282E"/>
    <w:rsid w:val="00837CFA"/>
    <w:rsid w:val="008407B6"/>
    <w:rsid w:val="00840D52"/>
    <w:rsid w:val="00841157"/>
    <w:rsid w:val="00844368"/>
    <w:rsid w:val="008451CD"/>
    <w:rsid w:val="00850A36"/>
    <w:rsid w:val="00850EF3"/>
    <w:rsid w:val="008514B0"/>
    <w:rsid w:val="00851B9B"/>
    <w:rsid w:val="00852D14"/>
    <w:rsid w:val="00854A89"/>
    <w:rsid w:val="00861A97"/>
    <w:rsid w:val="00861E39"/>
    <w:rsid w:val="00862145"/>
    <w:rsid w:val="0086556E"/>
    <w:rsid w:val="0086619D"/>
    <w:rsid w:val="008663D0"/>
    <w:rsid w:val="008664A6"/>
    <w:rsid w:val="00866542"/>
    <w:rsid w:val="00870374"/>
    <w:rsid w:val="0087373E"/>
    <w:rsid w:val="00873FB0"/>
    <w:rsid w:val="0087616F"/>
    <w:rsid w:val="0087764D"/>
    <w:rsid w:val="00882DC3"/>
    <w:rsid w:val="00883367"/>
    <w:rsid w:val="00886634"/>
    <w:rsid w:val="00890D60"/>
    <w:rsid w:val="0089117B"/>
    <w:rsid w:val="00897DD7"/>
    <w:rsid w:val="008A2F57"/>
    <w:rsid w:val="008A3F1D"/>
    <w:rsid w:val="008A6551"/>
    <w:rsid w:val="008A6AEA"/>
    <w:rsid w:val="008A7F7E"/>
    <w:rsid w:val="008B2146"/>
    <w:rsid w:val="008B3BF5"/>
    <w:rsid w:val="008B4877"/>
    <w:rsid w:val="008B4CC6"/>
    <w:rsid w:val="008B64DE"/>
    <w:rsid w:val="008B73A7"/>
    <w:rsid w:val="008B741B"/>
    <w:rsid w:val="008B7661"/>
    <w:rsid w:val="008C0962"/>
    <w:rsid w:val="008C21CF"/>
    <w:rsid w:val="008C36D5"/>
    <w:rsid w:val="008C3B0E"/>
    <w:rsid w:val="008C5483"/>
    <w:rsid w:val="008C6D2E"/>
    <w:rsid w:val="008D0B88"/>
    <w:rsid w:val="008D25C3"/>
    <w:rsid w:val="008D3585"/>
    <w:rsid w:val="008D5732"/>
    <w:rsid w:val="008D69FB"/>
    <w:rsid w:val="008D7EAC"/>
    <w:rsid w:val="008E1B1A"/>
    <w:rsid w:val="008E25D9"/>
    <w:rsid w:val="008F054A"/>
    <w:rsid w:val="008F6B82"/>
    <w:rsid w:val="009014C3"/>
    <w:rsid w:val="009026A1"/>
    <w:rsid w:val="00904DE4"/>
    <w:rsid w:val="0090611F"/>
    <w:rsid w:val="00906417"/>
    <w:rsid w:val="00906555"/>
    <w:rsid w:val="00907A5E"/>
    <w:rsid w:val="00907DE9"/>
    <w:rsid w:val="00910134"/>
    <w:rsid w:val="009102CC"/>
    <w:rsid w:val="00910C10"/>
    <w:rsid w:val="009110C6"/>
    <w:rsid w:val="009111BE"/>
    <w:rsid w:val="00912C85"/>
    <w:rsid w:val="00914387"/>
    <w:rsid w:val="00915587"/>
    <w:rsid w:val="009203E3"/>
    <w:rsid w:val="009278C5"/>
    <w:rsid w:val="00930929"/>
    <w:rsid w:val="00931AFF"/>
    <w:rsid w:val="00934262"/>
    <w:rsid w:val="0093555B"/>
    <w:rsid w:val="00935B0E"/>
    <w:rsid w:val="00940386"/>
    <w:rsid w:val="0094167C"/>
    <w:rsid w:val="0094486C"/>
    <w:rsid w:val="00945196"/>
    <w:rsid w:val="00950025"/>
    <w:rsid w:val="00953458"/>
    <w:rsid w:val="00953F18"/>
    <w:rsid w:val="00957A4D"/>
    <w:rsid w:val="0096146C"/>
    <w:rsid w:val="0096410B"/>
    <w:rsid w:val="00964B85"/>
    <w:rsid w:val="009708FA"/>
    <w:rsid w:val="00971DBD"/>
    <w:rsid w:val="00975618"/>
    <w:rsid w:val="00975D66"/>
    <w:rsid w:val="0097669A"/>
    <w:rsid w:val="009811D3"/>
    <w:rsid w:val="0098143C"/>
    <w:rsid w:val="009835CB"/>
    <w:rsid w:val="00985446"/>
    <w:rsid w:val="00985BF5"/>
    <w:rsid w:val="0098618E"/>
    <w:rsid w:val="0098682A"/>
    <w:rsid w:val="00990800"/>
    <w:rsid w:val="00992B2A"/>
    <w:rsid w:val="00993856"/>
    <w:rsid w:val="009A1D78"/>
    <w:rsid w:val="009A1DC8"/>
    <w:rsid w:val="009A28E5"/>
    <w:rsid w:val="009A3C69"/>
    <w:rsid w:val="009A63DB"/>
    <w:rsid w:val="009A6DE4"/>
    <w:rsid w:val="009B192C"/>
    <w:rsid w:val="009B1BDA"/>
    <w:rsid w:val="009B4D07"/>
    <w:rsid w:val="009B76B3"/>
    <w:rsid w:val="009C1A68"/>
    <w:rsid w:val="009C5A7A"/>
    <w:rsid w:val="009C5BD1"/>
    <w:rsid w:val="009C63A7"/>
    <w:rsid w:val="009D1FB1"/>
    <w:rsid w:val="009D32FF"/>
    <w:rsid w:val="009D58FE"/>
    <w:rsid w:val="009F0C9D"/>
    <w:rsid w:val="009F1A4B"/>
    <w:rsid w:val="009F1F7D"/>
    <w:rsid w:val="009F3110"/>
    <w:rsid w:val="009F52F1"/>
    <w:rsid w:val="009F79A5"/>
    <w:rsid w:val="00A01C19"/>
    <w:rsid w:val="00A05C82"/>
    <w:rsid w:val="00A06BA5"/>
    <w:rsid w:val="00A10DAE"/>
    <w:rsid w:val="00A11E2D"/>
    <w:rsid w:val="00A13A2F"/>
    <w:rsid w:val="00A13C52"/>
    <w:rsid w:val="00A14C13"/>
    <w:rsid w:val="00A1688D"/>
    <w:rsid w:val="00A1723F"/>
    <w:rsid w:val="00A200CE"/>
    <w:rsid w:val="00A205F8"/>
    <w:rsid w:val="00A24EE3"/>
    <w:rsid w:val="00A33760"/>
    <w:rsid w:val="00A3444F"/>
    <w:rsid w:val="00A3464D"/>
    <w:rsid w:val="00A372CB"/>
    <w:rsid w:val="00A375A9"/>
    <w:rsid w:val="00A40C93"/>
    <w:rsid w:val="00A425D8"/>
    <w:rsid w:val="00A42939"/>
    <w:rsid w:val="00A4492A"/>
    <w:rsid w:val="00A44B9A"/>
    <w:rsid w:val="00A469EA"/>
    <w:rsid w:val="00A522BA"/>
    <w:rsid w:val="00A55015"/>
    <w:rsid w:val="00A55D45"/>
    <w:rsid w:val="00A56294"/>
    <w:rsid w:val="00A57DC5"/>
    <w:rsid w:val="00A603C6"/>
    <w:rsid w:val="00A6327A"/>
    <w:rsid w:val="00A63771"/>
    <w:rsid w:val="00A6407D"/>
    <w:rsid w:val="00A653F7"/>
    <w:rsid w:val="00A70C41"/>
    <w:rsid w:val="00A7177A"/>
    <w:rsid w:val="00A74F4C"/>
    <w:rsid w:val="00A757CB"/>
    <w:rsid w:val="00A76BD8"/>
    <w:rsid w:val="00A77418"/>
    <w:rsid w:val="00A77789"/>
    <w:rsid w:val="00A77CCB"/>
    <w:rsid w:val="00A80BD5"/>
    <w:rsid w:val="00A81485"/>
    <w:rsid w:val="00A87B4A"/>
    <w:rsid w:val="00A905E1"/>
    <w:rsid w:val="00A91345"/>
    <w:rsid w:val="00A9213B"/>
    <w:rsid w:val="00A95164"/>
    <w:rsid w:val="00AA0819"/>
    <w:rsid w:val="00AA1140"/>
    <w:rsid w:val="00AA1E00"/>
    <w:rsid w:val="00AA45C3"/>
    <w:rsid w:val="00AA4645"/>
    <w:rsid w:val="00AA6133"/>
    <w:rsid w:val="00AA64EC"/>
    <w:rsid w:val="00AB0657"/>
    <w:rsid w:val="00AB6271"/>
    <w:rsid w:val="00AC12DB"/>
    <w:rsid w:val="00AC2157"/>
    <w:rsid w:val="00AC4E61"/>
    <w:rsid w:val="00AC5EC3"/>
    <w:rsid w:val="00AC6B85"/>
    <w:rsid w:val="00AC7CB9"/>
    <w:rsid w:val="00AD08BB"/>
    <w:rsid w:val="00AD11AC"/>
    <w:rsid w:val="00AD1584"/>
    <w:rsid w:val="00AD161C"/>
    <w:rsid w:val="00AD189E"/>
    <w:rsid w:val="00AD2EFA"/>
    <w:rsid w:val="00AD32ED"/>
    <w:rsid w:val="00AD462A"/>
    <w:rsid w:val="00AD7466"/>
    <w:rsid w:val="00AD7D8D"/>
    <w:rsid w:val="00AE3DEB"/>
    <w:rsid w:val="00AE5F4B"/>
    <w:rsid w:val="00AE5FB7"/>
    <w:rsid w:val="00AE79D5"/>
    <w:rsid w:val="00AE7A47"/>
    <w:rsid w:val="00AF0843"/>
    <w:rsid w:val="00AF191E"/>
    <w:rsid w:val="00AF19B0"/>
    <w:rsid w:val="00AF2473"/>
    <w:rsid w:val="00AF6245"/>
    <w:rsid w:val="00AF708F"/>
    <w:rsid w:val="00B027B4"/>
    <w:rsid w:val="00B05D67"/>
    <w:rsid w:val="00B072B0"/>
    <w:rsid w:val="00B07E4C"/>
    <w:rsid w:val="00B150CF"/>
    <w:rsid w:val="00B175AC"/>
    <w:rsid w:val="00B17E98"/>
    <w:rsid w:val="00B20664"/>
    <w:rsid w:val="00B20D45"/>
    <w:rsid w:val="00B22260"/>
    <w:rsid w:val="00B25E0F"/>
    <w:rsid w:val="00B266D3"/>
    <w:rsid w:val="00B27189"/>
    <w:rsid w:val="00B271DB"/>
    <w:rsid w:val="00B2724B"/>
    <w:rsid w:val="00B305C8"/>
    <w:rsid w:val="00B33A61"/>
    <w:rsid w:val="00B4096F"/>
    <w:rsid w:val="00B45357"/>
    <w:rsid w:val="00B501E9"/>
    <w:rsid w:val="00B51D27"/>
    <w:rsid w:val="00B52F3C"/>
    <w:rsid w:val="00B57683"/>
    <w:rsid w:val="00B60A27"/>
    <w:rsid w:val="00B60E99"/>
    <w:rsid w:val="00B626CF"/>
    <w:rsid w:val="00B628BF"/>
    <w:rsid w:val="00B63C35"/>
    <w:rsid w:val="00B6467A"/>
    <w:rsid w:val="00B64FBE"/>
    <w:rsid w:val="00B654E1"/>
    <w:rsid w:val="00B677ED"/>
    <w:rsid w:val="00B72A56"/>
    <w:rsid w:val="00B7419A"/>
    <w:rsid w:val="00B74DAA"/>
    <w:rsid w:val="00B80D54"/>
    <w:rsid w:val="00B846B4"/>
    <w:rsid w:val="00B8511E"/>
    <w:rsid w:val="00B87E2A"/>
    <w:rsid w:val="00B957DD"/>
    <w:rsid w:val="00B958CE"/>
    <w:rsid w:val="00BA0F29"/>
    <w:rsid w:val="00BA1812"/>
    <w:rsid w:val="00BA263C"/>
    <w:rsid w:val="00BA2C95"/>
    <w:rsid w:val="00BA42C3"/>
    <w:rsid w:val="00BA4B58"/>
    <w:rsid w:val="00BB0F58"/>
    <w:rsid w:val="00BB255D"/>
    <w:rsid w:val="00BB2818"/>
    <w:rsid w:val="00BB476D"/>
    <w:rsid w:val="00BB6500"/>
    <w:rsid w:val="00BB7474"/>
    <w:rsid w:val="00BB77C6"/>
    <w:rsid w:val="00BB782B"/>
    <w:rsid w:val="00BC19AC"/>
    <w:rsid w:val="00BC7B0F"/>
    <w:rsid w:val="00BD0EF4"/>
    <w:rsid w:val="00BD1700"/>
    <w:rsid w:val="00BD19BF"/>
    <w:rsid w:val="00BD50B8"/>
    <w:rsid w:val="00BD6B50"/>
    <w:rsid w:val="00BE0F0C"/>
    <w:rsid w:val="00BE6DED"/>
    <w:rsid w:val="00BE736F"/>
    <w:rsid w:val="00BF1A33"/>
    <w:rsid w:val="00BF2372"/>
    <w:rsid w:val="00BF4BEE"/>
    <w:rsid w:val="00BF502F"/>
    <w:rsid w:val="00BF6D92"/>
    <w:rsid w:val="00C011D1"/>
    <w:rsid w:val="00C07F83"/>
    <w:rsid w:val="00C11349"/>
    <w:rsid w:val="00C142D1"/>
    <w:rsid w:val="00C150AA"/>
    <w:rsid w:val="00C1515F"/>
    <w:rsid w:val="00C164E6"/>
    <w:rsid w:val="00C16F89"/>
    <w:rsid w:val="00C24753"/>
    <w:rsid w:val="00C24EAA"/>
    <w:rsid w:val="00C25475"/>
    <w:rsid w:val="00C25F3B"/>
    <w:rsid w:val="00C26026"/>
    <w:rsid w:val="00C26862"/>
    <w:rsid w:val="00C30BD7"/>
    <w:rsid w:val="00C318FB"/>
    <w:rsid w:val="00C325A5"/>
    <w:rsid w:val="00C3295E"/>
    <w:rsid w:val="00C3467F"/>
    <w:rsid w:val="00C40A24"/>
    <w:rsid w:val="00C41214"/>
    <w:rsid w:val="00C42F9A"/>
    <w:rsid w:val="00C47397"/>
    <w:rsid w:val="00C53A40"/>
    <w:rsid w:val="00C551FC"/>
    <w:rsid w:val="00C606CB"/>
    <w:rsid w:val="00C6157F"/>
    <w:rsid w:val="00C64599"/>
    <w:rsid w:val="00C66310"/>
    <w:rsid w:val="00C66623"/>
    <w:rsid w:val="00C75ACA"/>
    <w:rsid w:val="00C76CBF"/>
    <w:rsid w:val="00C84F74"/>
    <w:rsid w:val="00C90AD1"/>
    <w:rsid w:val="00C921BC"/>
    <w:rsid w:val="00C96EAB"/>
    <w:rsid w:val="00C96ED5"/>
    <w:rsid w:val="00C96F9F"/>
    <w:rsid w:val="00CA1283"/>
    <w:rsid w:val="00CA1714"/>
    <w:rsid w:val="00CA47ED"/>
    <w:rsid w:val="00CA5409"/>
    <w:rsid w:val="00CA5885"/>
    <w:rsid w:val="00CA5FC1"/>
    <w:rsid w:val="00CA6130"/>
    <w:rsid w:val="00CA637C"/>
    <w:rsid w:val="00CA674F"/>
    <w:rsid w:val="00CA6957"/>
    <w:rsid w:val="00CA7D8E"/>
    <w:rsid w:val="00CA7ECE"/>
    <w:rsid w:val="00CB23AA"/>
    <w:rsid w:val="00CB3645"/>
    <w:rsid w:val="00CB4224"/>
    <w:rsid w:val="00CB5F7B"/>
    <w:rsid w:val="00CB6219"/>
    <w:rsid w:val="00CB63FE"/>
    <w:rsid w:val="00CC14C5"/>
    <w:rsid w:val="00CC246E"/>
    <w:rsid w:val="00CC27D3"/>
    <w:rsid w:val="00CC5931"/>
    <w:rsid w:val="00CC6FD0"/>
    <w:rsid w:val="00CD0532"/>
    <w:rsid w:val="00CD0C20"/>
    <w:rsid w:val="00CD30B2"/>
    <w:rsid w:val="00CD468A"/>
    <w:rsid w:val="00CD50F1"/>
    <w:rsid w:val="00CD5E55"/>
    <w:rsid w:val="00CE54F3"/>
    <w:rsid w:val="00CE65F1"/>
    <w:rsid w:val="00CE665B"/>
    <w:rsid w:val="00CF172B"/>
    <w:rsid w:val="00CF198D"/>
    <w:rsid w:val="00CF7F79"/>
    <w:rsid w:val="00D02C53"/>
    <w:rsid w:val="00D06ADA"/>
    <w:rsid w:val="00D07A16"/>
    <w:rsid w:val="00D115BA"/>
    <w:rsid w:val="00D16DE6"/>
    <w:rsid w:val="00D16FEC"/>
    <w:rsid w:val="00D17D61"/>
    <w:rsid w:val="00D20451"/>
    <w:rsid w:val="00D2069F"/>
    <w:rsid w:val="00D21468"/>
    <w:rsid w:val="00D2174E"/>
    <w:rsid w:val="00D21DF1"/>
    <w:rsid w:val="00D26046"/>
    <w:rsid w:val="00D276B4"/>
    <w:rsid w:val="00D30BFB"/>
    <w:rsid w:val="00D32057"/>
    <w:rsid w:val="00D33288"/>
    <w:rsid w:val="00D33339"/>
    <w:rsid w:val="00D34A6D"/>
    <w:rsid w:val="00D36FDA"/>
    <w:rsid w:val="00D42C6A"/>
    <w:rsid w:val="00D446BB"/>
    <w:rsid w:val="00D44D0D"/>
    <w:rsid w:val="00D47C59"/>
    <w:rsid w:val="00D55974"/>
    <w:rsid w:val="00D56B00"/>
    <w:rsid w:val="00D63B62"/>
    <w:rsid w:val="00D642CC"/>
    <w:rsid w:val="00D661C9"/>
    <w:rsid w:val="00D66BDA"/>
    <w:rsid w:val="00D74BD8"/>
    <w:rsid w:val="00D75120"/>
    <w:rsid w:val="00D7543F"/>
    <w:rsid w:val="00D80307"/>
    <w:rsid w:val="00D840CF"/>
    <w:rsid w:val="00D8465B"/>
    <w:rsid w:val="00D872E4"/>
    <w:rsid w:val="00D87F02"/>
    <w:rsid w:val="00D91ED7"/>
    <w:rsid w:val="00D9200B"/>
    <w:rsid w:val="00D96E24"/>
    <w:rsid w:val="00DA08AC"/>
    <w:rsid w:val="00DA0EEE"/>
    <w:rsid w:val="00DA1093"/>
    <w:rsid w:val="00DA18C0"/>
    <w:rsid w:val="00DA2DF7"/>
    <w:rsid w:val="00DA2E52"/>
    <w:rsid w:val="00DA7F4C"/>
    <w:rsid w:val="00DB0BE5"/>
    <w:rsid w:val="00DB4BE6"/>
    <w:rsid w:val="00DB57FE"/>
    <w:rsid w:val="00DB6F89"/>
    <w:rsid w:val="00DC01DC"/>
    <w:rsid w:val="00DC16E3"/>
    <w:rsid w:val="00DC496B"/>
    <w:rsid w:val="00DC7BE1"/>
    <w:rsid w:val="00DD0920"/>
    <w:rsid w:val="00DD1D6F"/>
    <w:rsid w:val="00DD342D"/>
    <w:rsid w:val="00DD35E1"/>
    <w:rsid w:val="00DD7DAE"/>
    <w:rsid w:val="00DE02C6"/>
    <w:rsid w:val="00DE0B02"/>
    <w:rsid w:val="00DE2A88"/>
    <w:rsid w:val="00DE5E60"/>
    <w:rsid w:val="00DE65CA"/>
    <w:rsid w:val="00DE7A48"/>
    <w:rsid w:val="00DF075F"/>
    <w:rsid w:val="00DF3ABE"/>
    <w:rsid w:val="00DF447D"/>
    <w:rsid w:val="00DF4A5A"/>
    <w:rsid w:val="00DF54F5"/>
    <w:rsid w:val="00DF650B"/>
    <w:rsid w:val="00E01403"/>
    <w:rsid w:val="00E05205"/>
    <w:rsid w:val="00E07DC9"/>
    <w:rsid w:val="00E10689"/>
    <w:rsid w:val="00E10E17"/>
    <w:rsid w:val="00E15857"/>
    <w:rsid w:val="00E173E1"/>
    <w:rsid w:val="00E17D58"/>
    <w:rsid w:val="00E22FDD"/>
    <w:rsid w:val="00E244B4"/>
    <w:rsid w:val="00E26C18"/>
    <w:rsid w:val="00E2715B"/>
    <w:rsid w:val="00E345BC"/>
    <w:rsid w:val="00E35386"/>
    <w:rsid w:val="00E362B7"/>
    <w:rsid w:val="00E372F2"/>
    <w:rsid w:val="00E42748"/>
    <w:rsid w:val="00E42F93"/>
    <w:rsid w:val="00E442A2"/>
    <w:rsid w:val="00E46296"/>
    <w:rsid w:val="00E46CA3"/>
    <w:rsid w:val="00E61109"/>
    <w:rsid w:val="00E63A3B"/>
    <w:rsid w:val="00E642F7"/>
    <w:rsid w:val="00E64D17"/>
    <w:rsid w:val="00E65784"/>
    <w:rsid w:val="00E74B67"/>
    <w:rsid w:val="00E772CA"/>
    <w:rsid w:val="00E77F78"/>
    <w:rsid w:val="00E80D1B"/>
    <w:rsid w:val="00E82108"/>
    <w:rsid w:val="00E83509"/>
    <w:rsid w:val="00E83E9D"/>
    <w:rsid w:val="00E84730"/>
    <w:rsid w:val="00E85706"/>
    <w:rsid w:val="00E859B9"/>
    <w:rsid w:val="00E860FD"/>
    <w:rsid w:val="00E91EF5"/>
    <w:rsid w:val="00E92BDA"/>
    <w:rsid w:val="00E93A12"/>
    <w:rsid w:val="00E95AF6"/>
    <w:rsid w:val="00E9767B"/>
    <w:rsid w:val="00EA1162"/>
    <w:rsid w:val="00EA1625"/>
    <w:rsid w:val="00EA2920"/>
    <w:rsid w:val="00EA36F7"/>
    <w:rsid w:val="00EA3DF3"/>
    <w:rsid w:val="00EA59D0"/>
    <w:rsid w:val="00EA6E13"/>
    <w:rsid w:val="00EA73D4"/>
    <w:rsid w:val="00EA75F4"/>
    <w:rsid w:val="00EB0406"/>
    <w:rsid w:val="00EB1E65"/>
    <w:rsid w:val="00EB2405"/>
    <w:rsid w:val="00EB51A7"/>
    <w:rsid w:val="00EC2673"/>
    <w:rsid w:val="00EC4152"/>
    <w:rsid w:val="00EE23FB"/>
    <w:rsid w:val="00EE2E56"/>
    <w:rsid w:val="00EF0075"/>
    <w:rsid w:val="00EF18CE"/>
    <w:rsid w:val="00EF31A6"/>
    <w:rsid w:val="00EF524C"/>
    <w:rsid w:val="00EF698F"/>
    <w:rsid w:val="00F002F4"/>
    <w:rsid w:val="00F02373"/>
    <w:rsid w:val="00F02D8D"/>
    <w:rsid w:val="00F04AB2"/>
    <w:rsid w:val="00F06328"/>
    <w:rsid w:val="00F1127F"/>
    <w:rsid w:val="00F112AD"/>
    <w:rsid w:val="00F12C8B"/>
    <w:rsid w:val="00F14450"/>
    <w:rsid w:val="00F14779"/>
    <w:rsid w:val="00F14D52"/>
    <w:rsid w:val="00F20440"/>
    <w:rsid w:val="00F2135B"/>
    <w:rsid w:val="00F21DC8"/>
    <w:rsid w:val="00F22A1A"/>
    <w:rsid w:val="00F22E75"/>
    <w:rsid w:val="00F25018"/>
    <w:rsid w:val="00F253A4"/>
    <w:rsid w:val="00F268A0"/>
    <w:rsid w:val="00F34650"/>
    <w:rsid w:val="00F34F88"/>
    <w:rsid w:val="00F35FFF"/>
    <w:rsid w:val="00F401B6"/>
    <w:rsid w:val="00F406CC"/>
    <w:rsid w:val="00F4217C"/>
    <w:rsid w:val="00F43401"/>
    <w:rsid w:val="00F45296"/>
    <w:rsid w:val="00F46906"/>
    <w:rsid w:val="00F527CC"/>
    <w:rsid w:val="00F52D0D"/>
    <w:rsid w:val="00F5709E"/>
    <w:rsid w:val="00F5771E"/>
    <w:rsid w:val="00F602AE"/>
    <w:rsid w:val="00F60782"/>
    <w:rsid w:val="00F61CC0"/>
    <w:rsid w:val="00F62A97"/>
    <w:rsid w:val="00F63C52"/>
    <w:rsid w:val="00F6429D"/>
    <w:rsid w:val="00F710AC"/>
    <w:rsid w:val="00F71938"/>
    <w:rsid w:val="00F737FD"/>
    <w:rsid w:val="00F73F07"/>
    <w:rsid w:val="00F7452B"/>
    <w:rsid w:val="00F7629E"/>
    <w:rsid w:val="00F765A0"/>
    <w:rsid w:val="00F835B9"/>
    <w:rsid w:val="00F84E3B"/>
    <w:rsid w:val="00F85686"/>
    <w:rsid w:val="00F877E4"/>
    <w:rsid w:val="00F90F48"/>
    <w:rsid w:val="00F92959"/>
    <w:rsid w:val="00F94AE3"/>
    <w:rsid w:val="00F95108"/>
    <w:rsid w:val="00F96526"/>
    <w:rsid w:val="00FA306B"/>
    <w:rsid w:val="00FA39E6"/>
    <w:rsid w:val="00FA3C03"/>
    <w:rsid w:val="00FA3D5E"/>
    <w:rsid w:val="00FA4331"/>
    <w:rsid w:val="00FA4EA8"/>
    <w:rsid w:val="00FA6A3F"/>
    <w:rsid w:val="00FA73DE"/>
    <w:rsid w:val="00FA7686"/>
    <w:rsid w:val="00FB01E3"/>
    <w:rsid w:val="00FB1373"/>
    <w:rsid w:val="00FB2A12"/>
    <w:rsid w:val="00FB2A69"/>
    <w:rsid w:val="00FB3BE6"/>
    <w:rsid w:val="00FB4D40"/>
    <w:rsid w:val="00FB752A"/>
    <w:rsid w:val="00FB7C99"/>
    <w:rsid w:val="00FC0870"/>
    <w:rsid w:val="00FD1D2C"/>
    <w:rsid w:val="00FD2438"/>
    <w:rsid w:val="00FD4536"/>
    <w:rsid w:val="00FD5F1A"/>
    <w:rsid w:val="00FE1DC0"/>
    <w:rsid w:val="00FE5CDB"/>
    <w:rsid w:val="00FE60B8"/>
    <w:rsid w:val="00FE7521"/>
    <w:rsid w:val="00FF01F7"/>
    <w:rsid w:val="00FF02DB"/>
    <w:rsid w:val="00FF0D1C"/>
    <w:rsid w:val="00FF428A"/>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69E2BB"/>
  <w15:chartTrackingRefBased/>
  <w15:docId w15:val="{4E5820E0-2240-43EE-9233-026F037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s-ES" w:eastAsia="en-US" w:bidi="ar-SA"/>
      </w:rPr>
    </w:rPrDefault>
    <w:pPrDefault>
      <w:pPr>
        <w:spacing w:after="160" w:line="0" w:lineRule="auto"/>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F527CC"/>
    <w:pPr>
      <w:spacing w:after="120" w:line="240" w:lineRule="atLeast"/>
    </w:pPr>
  </w:style>
  <w:style w:type="paragraph" w:styleId="Heading1">
    <w:name w:val="heading 1"/>
    <w:basedOn w:val="Normal"/>
    <w:next w:val="Normal"/>
    <w:link w:val="Heading1Char"/>
    <w:uiPriority w:val="9"/>
    <w:qFormat/>
    <w:rsid w:val="00F527CC"/>
    <w:pPr>
      <w:keepNext/>
      <w:keepLines/>
      <w:numPr>
        <w:numId w:val="13"/>
      </w:numPr>
      <w:spacing w:before="260" w:after="1000" w:line="420" w:lineRule="atLeast"/>
      <w:outlineLvl w:val="0"/>
    </w:pPr>
    <w:rPr>
      <w:rFonts w:eastAsiaTheme="majorEastAsia" w:cs="Arial"/>
      <w:bCs/>
      <w:noProof/>
      <w:sz w:val="36"/>
      <w:szCs w:val="30"/>
    </w:rPr>
  </w:style>
  <w:style w:type="paragraph" w:styleId="Heading2">
    <w:name w:val="heading 2"/>
    <w:basedOn w:val="Normal"/>
    <w:next w:val="Normal"/>
    <w:link w:val="Heading2Char"/>
    <w:uiPriority w:val="9"/>
    <w:qFormat/>
    <w:rsid w:val="00F527CC"/>
    <w:pPr>
      <w:keepNext/>
      <w:keepLines/>
      <w:numPr>
        <w:ilvl w:val="1"/>
        <w:numId w:val="13"/>
      </w:numPr>
      <w:spacing w:before="260" w:after="220"/>
      <w:outlineLvl w:val="1"/>
    </w:pPr>
    <w:rPr>
      <w:rFonts w:eastAsiaTheme="majorEastAsia" w:cs="Arial"/>
      <w:b/>
      <w:bCs/>
      <w:noProof/>
    </w:rPr>
  </w:style>
  <w:style w:type="paragraph" w:styleId="Heading3">
    <w:name w:val="heading 3"/>
    <w:basedOn w:val="Normal"/>
    <w:next w:val="Normal"/>
    <w:link w:val="Heading3Char"/>
    <w:uiPriority w:val="9"/>
    <w:semiHidden/>
    <w:qFormat/>
    <w:rsid w:val="00F527CC"/>
    <w:pPr>
      <w:keepNext/>
      <w:keepLines/>
      <w:spacing w:before="260" w:after="220"/>
      <w:ind w:left="567" w:hanging="567"/>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F527CC"/>
    <w:pPr>
      <w:keepNext/>
      <w:keepLines/>
      <w:spacing w:before="40" w:after="0"/>
      <w:outlineLvl w:val="3"/>
    </w:pPr>
    <w:rPr>
      <w:rFonts w:eastAsiaTheme="majorEastAsia" w:cs="Arial"/>
      <w:i/>
      <w:iCs/>
      <w:color w:val="939599" w:themeColor="accent1" w:themeShade="BF"/>
    </w:rPr>
  </w:style>
  <w:style w:type="paragraph" w:styleId="Heading5">
    <w:name w:val="heading 5"/>
    <w:basedOn w:val="Normal"/>
    <w:next w:val="Normal"/>
    <w:link w:val="Heading5Char"/>
    <w:uiPriority w:val="9"/>
    <w:semiHidden/>
    <w:unhideWhenUsed/>
    <w:qFormat/>
    <w:rsid w:val="00F527CC"/>
    <w:pPr>
      <w:keepNext/>
      <w:keepLines/>
      <w:spacing w:before="40" w:after="0"/>
      <w:outlineLvl w:val="4"/>
    </w:pPr>
    <w:rPr>
      <w:rFonts w:eastAsiaTheme="majorEastAsia" w:cs="Arial"/>
      <w:color w:val="939599" w:themeColor="accent1" w:themeShade="BF"/>
    </w:rPr>
  </w:style>
  <w:style w:type="paragraph" w:styleId="Heading6">
    <w:name w:val="heading 6"/>
    <w:basedOn w:val="Normal"/>
    <w:next w:val="Normal"/>
    <w:link w:val="Heading6Char"/>
    <w:uiPriority w:val="9"/>
    <w:semiHidden/>
    <w:unhideWhenUsed/>
    <w:qFormat/>
    <w:rsid w:val="00F527CC"/>
    <w:pPr>
      <w:keepNext/>
      <w:keepLines/>
      <w:spacing w:before="40" w:after="0"/>
      <w:outlineLvl w:val="5"/>
    </w:pPr>
    <w:rPr>
      <w:rFonts w:eastAsiaTheme="majorEastAsia" w:cs="Arial"/>
      <w:color w:val="616266" w:themeColor="accent1" w:themeShade="7F"/>
    </w:rPr>
  </w:style>
  <w:style w:type="paragraph" w:styleId="Heading7">
    <w:name w:val="heading 7"/>
    <w:basedOn w:val="Normal"/>
    <w:next w:val="Normal"/>
    <w:link w:val="Heading7Char"/>
    <w:uiPriority w:val="9"/>
    <w:semiHidden/>
    <w:unhideWhenUsed/>
    <w:qFormat/>
    <w:rsid w:val="00F527CC"/>
    <w:pPr>
      <w:keepNext/>
      <w:keepLines/>
      <w:spacing w:before="40" w:after="0"/>
      <w:outlineLvl w:val="6"/>
    </w:pPr>
    <w:rPr>
      <w:rFonts w:eastAsiaTheme="majorEastAsia" w:cs="Arial"/>
      <w:i/>
      <w:iCs/>
      <w:color w:val="616266" w:themeColor="accent1" w:themeShade="7F"/>
    </w:rPr>
  </w:style>
  <w:style w:type="paragraph" w:styleId="Heading8">
    <w:name w:val="heading 8"/>
    <w:basedOn w:val="Normal"/>
    <w:next w:val="Normal"/>
    <w:link w:val="Heading8Char"/>
    <w:uiPriority w:val="9"/>
    <w:semiHidden/>
    <w:unhideWhenUsed/>
    <w:qFormat/>
    <w:rsid w:val="00F527CC"/>
    <w:pPr>
      <w:keepNext/>
      <w:keepLines/>
      <w:spacing w:before="40" w:after="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F527CC"/>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7CC"/>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F527CC"/>
    <w:rPr>
      <w:lang w:val="en-US"/>
    </w:rPr>
  </w:style>
  <w:style w:type="paragraph" w:styleId="Footer">
    <w:name w:val="footer"/>
    <w:basedOn w:val="Normal"/>
    <w:link w:val="FooterChar"/>
    <w:uiPriority w:val="99"/>
    <w:rsid w:val="00F527CC"/>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F527CC"/>
    <w:rPr>
      <w:sz w:val="16"/>
      <w:szCs w:val="16"/>
      <w:lang w:val="en-US"/>
    </w:rPr>
  </w:style>
  <w:style w:type="table" w:styleId="TableGrid">
    <w:name w:val="Table Grid"/>
    <w:basedOn w:val="TableNormal"/>
    <w:uiPriority w:val="39"/>
    <w:rsid w:val="00F5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F527CC"/>
    <w:pPr>
      <w:spacing w:after="0" w:line="180" w:lineRule="atLeast"/>
    </w:pPr>
    <w:rPr>
      <w:noProof/>
      <w:sz w:val="15"/>
    </w:rPr>
  </w:style>
  <w:style w:type="paragraph" w:customStyle="1" w:styleId="Ourref">
    <w:name w:val="Our ref"/>
    <w:basedOn w:val="Normal"/>
    <w:uiPriority w:val="1"/>
    <w:semiHidden/>
    <w:rsid w:val="00F527CC"/>
    <w:pPr>
      <w:spacing w:after="520"/>
    </w:pPr>
  </w:style>
  <w:style w:type="paragraph" w:styleId="Date">
    <w:name w:val="Date"/>
    <w:basedOn w:val="Normal"/>
    <w:next w:val="Normal"/>
    <w:link w:val="DateChar"/>
    <w:uiPriority w:val="2"/>
    <w:semiHidden/>
    <w:rsid w:val="00F527CC"/>
    <w:pPr>
      <w:spacing w:before="520" w:after="520"/>
    </w:pPr>
  </w:style>
  <w:style w:type="character" w:customStyle="1" w:styleId="DateChar">
    <w:name w:val="Date Char"/>
    <w:basedOn w:val="DefaultParagraphFont"/>
    <w:link w:val="Date"/>
    <w:uiPriority w:val="2"/>
    <w:semiHidden/>
    <w:rsid w:val="00F527CC"/>
    <w:rPr>
      <w:lang w:val="en-US"/>
    </w:rPr>
  </w:style>
  <w:style w:type="paragraph" w:customStyle="1" w:styleId="RecipientAddress">
    <w:name w:val="Recipient Address"/>
    <w:basedOn w:val="Normal"/>
    <w:semiHidden/>
    <w:qFormat/>
    <w:rsid w:val="00F527CC"/>
    <w:pPr>
      <w:spacing w:after="0"/>
    </w:pPr>
  </w:style>
  <w:style w:type="paragraph" w:customStyle="1" w:styleId="Yours">
    <w:name w:val="Yours"/>
    <w:basedOn w:val="Normal"/>
    <w:next w:val="Author"/>
    <w:uiPriority w:val="6"/>
    <w:semiHidden/>
    <w:qFormat/>
    <w:rsid w:val="00F527CC"/>
    <w:pPr>
      <w:keepNext/>
      <w:keepLines/>
      <w:spacing w:before="520" w:after="1000" w:line="276" w:lineRule="auto"/>
    </w:pPr>
    <w:rPr>
      <w:szCs w:val="20"/>
    </w:rPr>
  </w:style>
  <w:style w:type="paragraph" w:customStyle="1" w:styleId="Author">
    <w:name w:val="Author"/>
    <w:basedOn w:val="Normal"/>
    <w:next w:val="JobTitle"/>
    <w:uiPriority w:val="7"/>
    <w:semiHidden/>
    <w:qFormat/>
    <w:rsid w:val="00F527CC"/>
    <w:pPr>
      <w:keepNext/>
      <w:keepLines/>
      <w:spacing w:after="0" w:line="276" w:lineRule="auto"/>
    </w:pPr>
    <w:rPr>
      <w:szCs w:val="20"/>
    </w:rPr>
  </w:style>
  <w:style w:type="paragraph" w:customStyle="1" w:styleId="JobTitle">
    <w:name w:val="JobTitle"/>
    <w:basedOn w:val="Normal"/>
    <w:uiPriority w:val="8"/>
    <w:semiHidden/>
    <w:qFormat/>
    <w:rsid w:val="00F527CC"/>
    <w:pPr>
      <w:keepNext/>
      <w:keepLines/>
      <w:spacing w:after="240" w:line="276" w:lineRule="auto"/>
      <w:contextualSpacing/>
    </w:pPr>
    <w:rPr>
      <w:szCs w:val="20"/>
    </w:rPr>
  </w:style>
  <w:style w:type="paragraph" w:customStyle="1" w:styleId="Dear">
    <w:name w:val="Dear"/>
    <w:basedOn w:val="Normal"/>
    <w:next w:val="Normal"/>
    <w:uiPriority w:val="4"/>
    <w:semiHidden/>
    <w:rsid w:val="00F527CC"/>
    <w:pPr>
      <w:spacing w:before="520" w:after="260"/>
    </w:pPr>
  </w:style>
  <w:style w:type="character" w:customStyle="1" w:styleId="Subject">
    <w:name w:val="Subject"/>
    <w:basedOn w:val="DefaultParagraphFont"/>
    <w:uiPriority w:val="1"/>
    <w:semiHidden/>
    <w:rsid w:val="00F527CC"/>
    <w:rPr>
      <w:b/>
      <w:caps/>
      <w:smallCaps w:val="0"/>
      <w:lang w:val="en-US"/>
    </w:rPr>
  </w:style>
  <w:style w:type="table" w:customStyle="1" w:styleId="GlobalFund">
    <w:name w:val="Global Fund"/>
    <w:basedOn w:val="TableNormal"/>
    <w:uiPriority w:val="99"/>
    <w:rsid w:val="00F527CC"/>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527CC"/>
    <w:rPr>
      <w:rFonts w:eastAsiaTheme="majorEastAsia" w:cs="Arial"/>
      <w:bCs/>
      <w:noProof/>
      <w:sz w:val="36"/>
      <w:szCs w:val="30"/>
      <w:lang w:val="en-US"/>
    </w:rPr>
  </w:style>
  <w:style w:type="character" w:customStyle="1" w:styleId="Heading2Char">
    <w:name w:val="Heading 2 Char"/>
    <w:basedOn w:val="DefaultParagraphFont"/>
    <w:link w:val="Heading2"/>
    <w:uiPriority w:val="9"/>
    <w:rsid w:val="00F527CC"/>
    <w:rPr>
      <w:rFonts w:eastAsiaTheme="majorEastAsia" w:cs="Arial"/>
      <w:b/>
      <w:bCs/>
      <w:noProof/>
      <w:lang w:val="en-US"/>
    </w:rPr>
  </w:style>
  <w:style w:type="paragraph" w:customStyle="1" w:styleId="NormalNoSpace">
    <w:name w:val="NormalNoSpace"/>
    <w:basedOn w:val="Normal"/>
    <w:next w:val="Normal"/>
    <w:uiPriority w:val="5"/>
    <w:qFormat/>
    <w:rsid w:val="00F527CC"/>
    <w:pPr>
      <w:spacing w:after="0"/>
    </w:pPr>
  </w:style>
  <w:style w:type="paragraph" w:customStyle="1" w:styleId="Note">
    <w:name w:val="Note"/>
    <w:basedOn w:val="Normal"/>
    <w:next w:val="Normal"/>
    <w:uiPriority w:val="29"/>
    <w:qFormat/>
    <w:rsid w:val="00F527CC"/>
    <w:pPr>
      <w:spacing w:line="220" w:lineRule="atLeast"/>
    </w:pPr>
    <w:rPr>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iPriority w:val="99"/>
    <w:unhideWhenUsed/>
    <w:rsid w:val="00F527CC"/>
    <w:pPr>
      <w:spacing w:after="0" w:line="240" w:lineRule="auto"/>
    </w:pPr>
    <w:rPr>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F527CC"/>
    <w:rPr>
      <w:sz w:val="16"/>
      <w:szCs w:val="20"/>
      <w:lang w:val="en-US"/>
    </w:rPr>
  </w:style>
  <w:style w:type="character" w:styleId="FootnoteReference">
    <w:name w:val="footnote reference"/>
    <w:aliases w:val="ftref"/>
    <w:basedOn w:val="DefaultParagraphFont"/>
    <w:uiPriority w:val="99"/>
    <w:unhideWhenUsed/>
    <w:rsid w:val="00F527CC"/>
    <w:rPr>
      <w:vertAlign w:val="superscript"/>
      <w:lang w:val="en-US"/>
    </w:rPr>
  </w:style>
  <w:style w:type="paragraph" w:styleId="NoSpacing">
    <w:name w:val="No Spacing"/>
    <w:uiPriority w:val="1"/>
    <w:qFormat/>
    <w:rsid w:val="00F527CC"/>
    <w:pPr>
      <w:spacing w:after="0" w:line="240" w:lineRule="auto"/>
    </w:pPr>
    <w:rPr>
      <w:lang w:val="en-US"/>
    </w:rPr>
  </w:style>
  <w:style w:type="paragraph" w:styleId="EndnoteText">
    <w:name w:val="endnote text"/>
    <w:basedOn w:val="Normal"/>
    <w:link w:val="EndnoteTextChar"/>
    <w:uiPriority w:val="99"/>
    <w:semiHidden/>
    <w:unhideWhenUsed/>
    <w:rsid w:val="00F527CC"/>
    <w:pPr>
      <w:spacing w:after="0" w:line="240" w:lineRule="auto"/>
    </w:pPr>
    <w:rPr>
      <w:sz w:val="16"/>
      <w:szCs w:val="16"/>
    </w:rPr>
  </w:style>
  <w:style w:type="character" w:customStyle="1" w:styleId="EndnoteTextChar">
    <w:name w:val="Endnote Text Char"/>
    <w:basedOn w:val="DefaultParagraphFont"/>
    <w:link w:val="EndnoteText"/>
    <w:uiPriority w:val="99"/>
    <w:semiHidden/>
    <w:rsid w:val="00F527CC"/>
    <w:rPr>
      <w:sz w:val="16"/>
      <w:szCs w:val="16"/>
      <w:lang w:val="en-US"/>
    </w:rPr>
  </w:style>
  <w:style w:type="character" w:styleId="EndnoteReference">
    <w:name w:val="endnote reference"/>
    <w:basedOn w:val="DefaultParagraphFont"/>
    <w:uiPriority w:val="99"/>
    <w:semiHidden/>
    <w:unhideWhenUsed/>
    <w:rsid w:val="00F527CC"/>
    <w:rPr>
      <w:vertAlign w:val="superscript"/>
      <w:lang w:val="en-US"/>
    </w:rPr>
  </w:style>
  <w:style w:type="table" w:customStyle="1" w:styleId="GlobalFund1">
    <w:name w:val="Global Fund 1"/>
    <w:basedOn w:val="GlobalFund"/>
    <w:uiPriority w:val="99"/>
    <w:rsid w:val="00F527CC"/>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F527CC"/>
    <w:pPr>
      <w:spacing w:after="0" w:line="240" w:lineRule="auto"/>
    </w:pPr>
    <w:rPr>
      <w:noProof/>
      <w:sz w:val="2"/>
    </w:rPr>
  </w:style>
  <w:style w:type="character" w:styleId="PlaceholderText">
    <w:name w:val="Placeholder Text"/>
    <w:basedOn w:val="DefaultParagraphFont"/>
    <w:uiPriority w:val="99"/>
    <w:semiHidden/>
    <w:rsid w:val="00F527CC"/>
    <w:rPr>
      <w:color w:val="808080"/>
      <w:lang w:val="en-US"/>
    </w:rPr>
  </w:style>
  <w:style w:type="paragraph" w:customStyle="1" w:styleId="AddressTopLine">
    <w:name w:val="AddressTopLine"/>
    <w:basedOn w:val="Address"/>
    <w:semiHidden/>
    <w:qFormat/>
    <w:rsid w:val="00F527CC"/>
    <w:pPr>
      <w:spacing w:after="180"/>
      <w:contextualSpacing/>
    </w:pPr>
  </w:style>
  <w:style w:type="paragraph" w:customStyle="1" w:styleId="AddressTopLineSmall">
    <w:name w:val="AddressTopLineSmall"/>
    <w:basedOn w:val="AddressTopLine"/>
    <w:semiHidden/>
    <w:qFormat/>
    <w:rsid w:val="00F527CC"/>
    <w:pPr>
      <w:spacing w:line="140" w:lineRule="atLeast"/>
    </w:pPr>
    <w:rPr>
      <w:sz w:val="12"/>
    </w:rPr>
  </w:style>
  <w:style w:type="paragraph" w:customStyle="1" w:styleId="AddressSmall">
    <w:name w:val="AddressSmall"/>
    <w:basedOn w:val="Address"/>
    <w:semiHidden/>
    <w:qFormat/>
    <w:rsid w:val="00F527CC"/>
    <w:pPr>
      <w:spacing w:line="140" w:lineRule="atLeast"/>
    </w:pPr>
    <w:rPr>
      <w:sz w:val="12"/>
    </w:rPr>
  </w:style>
  <w:style w:type="paragraph" w:customStyle="1" w:styleId="Tiny">
    <w:name w:val="Tiny"/>
    <w:basedOn w:val="Normal"/>
    <w:uiPriority w:val="15"/>
    <w:semiHidden/>
    <w:qFormat/>
    <w:rsid w:val="00F527CC"/>
    <w:pPr>
      <w:spacing w:after="0" w:line="240" w:lineRule="auto"/>
    </w:pPr>
    <w:rPr>
      <w:sz w:val="2"/>
    </w:rPr>
  </w:style>
  <w:style w:type="paragraph" w:styleId="Title">
    <w:name w:val="Title"/>
    <w:basedOn w:val="Normal"/>
    <w:next w:val="Subtitle"/>
    <w:link w:val="TitleChar"/>
    <w:uiPriority w:val="10"/>
    <w:qFormat/>
    <w:rsid w:val="00F527CC"/>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F527CC"/>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F527CC"/>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F527CC"/>
    <w:rPr>
      <w:rFonts w:eastAsiaTheme="minorEastAsia"/>
      <w:spacing w:val="15"/>
      <w:sz w:val="36"/>
      <w:szCs w:val="36"/>
      <w:lang w:val="en-US"/>
    </w:rPr>
  </w:style>
  <w:style w:type="paragraph" w:customStyle="1" w:styleId="Bullet1">
    <w:name w:val="Bullet 1"/>
    <w:basedOn w:val="Normal"/>
    <w:uiPriority w:val="32"/>
    <w:qFormat/>
    <w:rsid w:val="00F527CC"/>
    <w:pPr>
      <w:numPr>
        <w:numId w:val="11"/>
      </w:numPr>
      <w:spacing w:after="160" w:line="260" w:lineRule="atLeast"/>
    </w:pPr>
    <w:rPr>
      <w:szCs w:val="20"/>
    </w:rPr>
  </w:style>
  <w:style w:type="paragraph" w:customStyle="1" w:styleId="Bullet2">
    <w:name w:val="Bullet 2"/>
    <w:basedOn w:val="Normal"/>
    <w:uiPriority w:val="32"/>
    <w:qFormat/>
    <w:rsid w:val="00F527CC"/>
    <w:pPr>
      <w:numPr>
        <w:ilvl w:val="1"/>
        <w:numId w:val="11"/>
      </w:numPr>
      <w:spacing w:after="160" w:line="260" w:lineRule="atLeast"/>
    </w:pPr>
    <w:rPr>
      <w:szCs w:val="20"/>
    </w:rPr>
  </w:style>
  <w:style w:type="numbering" w:customStyle="1" w:styleId="NumbLstBullet">
    <w:name w:val="NumbLstBullet"/>
    <w:uiPriority w:val="99"/>
    <w:rsid w:val="00F527CC"/>
    <w:pPr>
      <w:numPr>
        <w:numId w:val="11"/>
      </w:numPr>
    </w:pPr>
  </w:style>
  <w:style w:type="paragraph" w:customStyle="1" w:styleId="AlphaList1">
    <w:name w:val="AlphaList 1"/>
    <w:basedOn w:val="Normal"/>
    <w:uiPriority w:val="31"/>
    <w:qFormat/>
    <w:rsid w:val="00F527CC"/>
    <w:pPr>
      <w:numPr>
        <w:numId w:val="14"/>
      </w:numPr>
      <w:spacing w:after="160" w:line="260" w:lineRule="atLeast"/>
    </w:pPr>
    <w:rPr>
      <w:szCs w:val="20"/>
    </w:rPr>
  </w:style>
  <w:style w:type="paragraph" w:customStyle="1" w:styleId="AlphaList2">
    <w:name w:val="AlphaList 2"/>
    <w:basedOn w:val="Normal"/>
    <w:uiPriority w:val="31"/>
    <w:qFormat/>
    <w:rsid w:val="00F527CC"/>
    <w:pPr>
      <w:numPr>
        <w:ilvl w:val="1"/>
        <w:numId w:val="14"/>
      </w:numPr>
      <w:spacing w:after="160" w:line="260" w:lineRule="atLeast"/>
    </w:pPr>
    <w:rPr>
      <w:szCs w:val="20"/>
    </w:rPr>
  </w:style>
  <w:style w:type="numbering" w:customStyle="1" w:styleId="NumbListAlpha">
    <w:name w:val="NumbListAlpha"/>
    <w:uiPriority w:val="99"/>
    <w:rsid w:val="00F527CC"/>
    <w:pPr>
      <w:numPr>
        <w:numId w:val="12"/>
      </w:numPr>
    </w:pPr>
  </w:style>
  <w:style w:type="paragraph" w:customStyle="1" w:styleId="Bullet3">
    <w:name w:val="Bullet 3"/>
    <w:basedOn w:val="Normal"/>
    <w:uiPriority w:val="32"/>
    <w:rsid w:val="00F527CC"/>
    <w:pPr>
      <w:numPr>
        <w:ilvl w:val="2"/>
        <w:numId w:val="11"/>
      </w:numPr>
      <w:jc w:val="both"/>
    </w:pPr>
    <w:rPr>
      <w:szCs w:val="20"/>
    </w:rPr>
  </w:style>
  <w:style w:type="numbering" w:customStyle="1" w:styleId="NumHeadingsLst">
    <w:name w:val="NumHeadingsLst"/>
    <w:uiPriority w:val="99"/>
    <w:rsid w:val="00F527CC"/>
    <w:pPr>
      <w:numPr>
        <w:numId w:val="13"/>
      </w:numPr>
    </w:pPr>
  </w:style>
  <w:style w:type="paragraph" w:styleId="Quote">
    <w:name w:val="Quote"/>
    <w:basedOn w:val="Normal"/>
    <w:next w:val="Normal"/>
    <w:link w:val="QuoteChar"/>
    <w:uiPriority w:val="39"/>
    <w:unhideWhenUsed/>
    <w:qFormat/>
    <w:rsid w:val="00F527CC"/>
    <w:pPr>
      <w:spacing w:before="200"/>
      <w:ind w:left="794" w:right="794"/>
    </w:pPr>
  </w:style>
  <w:style w:type="character" w:customStyle="1" w:styleId="QuoteChar">
    <w:name w:val="Quote Char"/>
    <w:basedOn w:val="DefaultParagraphFont"/>
    <w:link w:val="Quote"/>
    <w:uiPriority w:val="39"/>
    <w:rsid w:val="00F527CC"/>
    <w:rPr>
      <w:lang w:val="en-US"/>
    </w:rPr>
  </w:style>
  <w:style w:type="paragraph" w:styleId="TOC1">
    <w:name w:val="toc 1"/>
    <w:basedOn w:val="Normal"/>
    <w:next w:val="Normal"/>
    <w:autoRedefine/>
    <w:uiPriority w:val="39"/>
    <w:rsid w:val="00F527CC"/>
    <w:pPr>
      <w:tabs>
        <w:tab w:val="left" w:pos="567"/>
        <w:tab w:val="right" w:pos="9628"/>
      </w:tabs>
      <w:spacing w:before="540" w:after="100" w:line="420" w:lineRule="atLeast"/>
      <w:ind w:left="567" w:right="567" w:hanging="567"/>
    </w:pPr>
    <w:rPr>
      <w:noProof/>
      <w:sz w:val="36"/>
      <w:szCs w:val="36"/>
    </w:rPr>
  </w:style>
  <w:style w:type="paragraph" w:styleId="TOC2">
    <w:name w:val="toc 2"/>
    <w:basedOn w:val="Normal"/>
    <w:next w:val="Normal"/>
    <w:autoRedefine/>
    <w:uiPriority w:val="39"/>
    <w:rsid w:val="00F527CC"/>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F527CC"/>
    <w:rPr>
      <w:color w:val="0563C1" w:themeColor="hyperlink"/>
      <w:u w:val="single"/>
      <w:lang w:val="en-US"/>
    </w:rPr>
  </w:style>
  <w:style w:type="paragraph" w:styleId="TOC3">
    <w:name w:val="toc 3"/>
    <w:basedOn w:val="Normal"/>
    <w:next w:val="Normal"/>
    <w:autoRedefine/>
    <w:uiPriority w:val="39"/>
    <w:semiHidden/>
    <w:unhideWhenUsed/>
    <w:rsid w:val="00F527CC"/>
    <w:pPr>
      <w:spacing w:after="100"/>
      <w:ind w:left="440"/>
    </w:pPr>
  </w:style>
  <w:style w:type="paragraph" w:styleId="TOC4">
    <w:name w:val="toc 4"/>
    <w:basedOn w:val="Normal"/>
    <w:next w:val="Normal"/>
    <w:autoRedefine/>
    <w:uiPriority w:val="39"/>
    <w:semiHidden/>
    <w:unhideWhenUsed/>
    <w:rsid w:val="00F527CC"/>
    <w:pPr>
      <w:spacing w:after="100"/>
      <w:ind w:left="660"/>
    </w:pPr>
  </w:style>
  <w:style w:type="paragraph" w:customStyle="1" w:styleId="Heading1NonNumbNoTOC">
    <w:name w:val="Heading 1 Non Numb No TOC"/>
    <w:basedOn w:val="Normal"/>
    <w:next w:val="Normal"/>
    <w:uiPriority w:val="10"/>
    <w:unhideWhenUsed/>
    <w:qFormat/>
    <w:rsid w:val="00F527CC"/>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F527CC"/>
    <w:pPr>
      <w:spacing w:before="200" w:after="200"/>
      <w:contextualSpacing/>
      <w:jc w:val="center"/>
    </w:pPr>
    <w:rPr>
      <w:bCs/>
      <w:color w:val="1E1E1E" w:themeColor="background2"/>
      <w:kern w:val="40"/>
      <w:sz w:val="80"/>
      <w:szCs w:val="80"/>
    </w:rPr>
  </w:style>
  <w:style w:type="paragraph" w:customStyle="1" w:styleId="CoverPageDate">
    <w:name w:val="Cover Page Date"/>
    <w:basedOn w:val="Normal"/>
    <w:uiPriority w:val="53"/>
    <w:qFormat/>
    <w:rsid w:val="00F527CC"/>
    <w:pPr>
      <w:jc w:val="center"/>
    </w:pPr>
    <w:rPr>
      <w:b/>
      <w:caps/>
    </w:rPr>
  </w:style>
  <w:style w:type="paragraph" w:styleId="BalloonText">
    <w:name w:val="Balloon Text"/>
    <w:basedOn w:val="Normal"/>
    <w:link w:val="BalloonTextChar"/>
    <w:uiPriority w:val="99"/>
    <w:semiHidden/>
    <w:unhideWhenUsed/>
    <w:rsid w:val="00F52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CC"/>
    <w:rPr>
      <w:rFonts w:ascii="Segoe UI" w:hAnsi="Segoe UI" w:cs="Segoe UI"/>
      <w:sz w:val="18"/>
      <w:szCs w:val="18"/>
      <w:lang w:val="en-US"/>
    </w:rPr>
  </w:style>
  <w:style w:type="paragraph" w:styleId="BodyTextIndent">
    <w:name w:val="Body Text Indent"/>
    <w:basedOn w:val="Normal"/>
    <w:link w:val="BodyTextIndentChar"/>
    <w:uiPriority w:val="34"/>
    <w:rsid w:val="00F527CC"/>
    <w:pPr>
      <w:ind w:left="397"/>
    </w:pPr>
    <w:rPr>
      <w:noProof/>
    </w:rPr>
  </w:style>
  <w:style w:type="character" w:customStyle="1" w:styleId="BodyTextIndentChar">
    <w:name w:val="Body Text Indent Char"/>
    <w:basedOn w:val="DefaultParagraphFont"/>
    <w:link w:val="BodyTextIndent"/>
    <w:uiPriority w:val="34"/>
    <w:rsid w:val="00F527CC"/>
    <w:rPr>
      <w:noProof/>
      <w:lang w:val="en-US"/>
    </w:rPr>
  </w:style>
  <w:style w:type="paragraph" w:styleId="BodyTextIndent2">
    <w:name w:val="Body Text Indent 2"/>
    <w:basedOn w:val="BodyTextIndent"/>
    <w:link w:val="BodyTextIndent2Char"/>
    <w:uiPriority w:val="34"/>
    <w:rsid w:val="00F527CC"/>
    <w:pPr>
      <w:ind w:left="794"/>
    </w:pPr>
  </w:style>
  <w:style w:type="character" w:customStyle="1" w:styleId="BodyTextIndent2Char">
    <w:name w:val="Body Text Indent 2 Char"/>
    <w:basedOn w:val="DefaultParagraphFont"/>
    <w:link w:val="BodyTextIndent2"/>
    <w:uiPriority w:val="34"/>
    <w:rsid w:val="00F527CC"/>
    <w:rPr>
      <w:noProof/>
      <w:lang w:val="en-US"/>
    </w:rPr>
  </w:style>
  <w:style w:type="paragraph" w:customStyle="1" w:styleId="HeaderHidden">
    <w:name w:val="HeaderHidden"/>
    <w:basedOn w:val="Header"/>
    <w:uiPriority w:val="5"/>
    <w:qFormat/>
    <w:rsid w:val="00F527CC"/>
    <w:rPr>
      <w:color w:val="FFFFFF" w:themeColor="text2"/>
    </w:rPr>
  </w:style>
  <w:style w:type="character" w:customStyle="1" w:styleId="Heading3Char">
    <w:name w:val="Heading 3 Char"/>
    <w:basedOn w:val="DefaultParagraphFont"/>
    <w:link w:val="Heading3"/>
    <w:uiPriority w:val="9"/>
    <w:semiHidden/>
    <w:rsid w:val="00F527CC"/>
    <w:rPr>
      <w:rFonts w:eastAsiaTheme="majorEastAsia" w:cs="Arial"/>
      <w:b/>
      <w:szCs w:val="24"/>
      <w:lang w:val="en-US"/>
    </w:rPr>
  </w:style>
  <w:style w:type="character" w:customStyle="1" w:styleId="Heading4Char">
    <w:name w:val="Heading 4 Char"/>
    <w:basedOn w:val="DefaultParagraphFont"/>
    <w:link w:val="Heading4"/>
    <w:uiPriority w:val="9"/>
    <w:semiHidden/>
    <w:rsid w:val="00F527CC"/>
    <w:rPr>
      <w:rFonts w:eastAsiaTheme="majorEastAsia" w:cs="Arial"/>
      <w:i/>
      <w:iCs/>
      <w:color w:val="939599" w:themeColor="accent1" w:themeShade="BF"/>
      <w:lang w:val="en-US"/>
    </w:rPr>
  </w:style>
  <w:style w:type="character" w:customStyle="1" w:styleId="Heading5Char">
    <w:name w:val="Heading 5 Char"/>
    <w:basedOn w:val="DefaultParagraphFont"/>
    <w:link w:val="Heading5"/>
    <w:uiPriority w:val="9"/>
    <w:semiHidden/>
    <w:rsid w:val="00F527CC"/>
    <w:rPr>
      <w:rFonts w:eastAsiaTheme="majorEastAsia" w:cs="Arial"/>
      <w:color w:val="939599" w:themeColor="accent1" w:themeShade="BF"/>
      <w:lang w:val="en-US"/>
    </w:rPr>
  </w:style>
  <w:style w:type="character" w:customStyle="1" w:styleId="Heading6Char">
    <w:name w:val="Heading 6 Char"/>
    <w:basedOn w:val="DefaultParagraphFont"/>
    <w:link w:val="Heading6"/>
    <w:uiPriority w:val="9"/>
    <w:semiHidden/>
    <w:rsid w:val="00F527CC"/>
    <w:rPr>
      <w:rFonts w:eastAsiaTheme="majorEastAsia" w:cs="Arial"/>
      <w:color w:val="616266" w:themeColor="accent1" w:themeShade="7F"/>
      <w:lang w:val="en-US"/>
    </w:rPr>
  </w:style>
  <w:style w:type="character" w:customStyle="1" w:styleId="Heading7Char">
    <w:name w:val="Heading 7 Char"/>
    <w:basedOn w:val="DefaultParagraphFont"/>
    <w:link w:val="Heading7"/>
    <w:uiPriority w:val="9"/>
    <w:semiHidden/>
    <w:rsid w:val="00F527CC"/>
    <w:rPr>
      <w:rFonts w:eastAsiaTheme="majorEastAsia" w:cs="Arial"/>
      <w:i/>
      <w:iCs/>
      <w:color w:val="616266" w:themeColor="accent1" w:themeShade="7F"/>
      <w:lang w:val="en-US"/>
    </w:rPr>
  </w:style>
  <w:style w:type="character" w:customStyle="1" w:styleId="Heading8Char">
    <w:name w:val="Heading 8 Char"/>
    <w:basedOn w:val="DefaultParagraphFont"/>
    <w:link w:val="Heading8"/>
    <w:uiPriority w:val="9"/>
    <w:semiHidden/>
    <w:rsid w:val="00F527CC"/>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F527CC"/>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F527CC"/>
    <w:pPr>
      <w:numPr>
        <w:numId w:val="15"/>
      </w:numPr>
    </w:pPr>
  </w:style>
  <w:style w:type="numbering" w:styleId="1ai">
    <w:name w:val="Outline List 1"/>
    <w:basedOn w:val="NoList"/>
    <w:uiPriority w:val="99"/>
    <w:semiHidden/>
    <w:unhideWhenUsed/>
    <w:rsid w:val="00F527CC"/>
    <w:pPr>
      <w:numPr>
        <w:numId w:val="16"/>
      </w:numPr>
    </w:pPr>
  </w:style>
  <w:style w:type="numbering" w:styleId="ArticleSection">
    <w:name w:val="Outline List 3"/>
    <w:basedOn w:val="NoList"/>
    <w:uiPriority w:val="99"/>
    <w:semiHidden/>
    <w:unhideWhenUsed/>
    <w:rsid w:val="00F527CC"/>
    <w:pPr>
      <w:numPr>
        <w:numId w:val="17"/>
      </w:numPr>
    </w:pPr>
  </w:style>
  <w:style w:type="paragraph" w:styleId="Bibliography">
    <w:name w:val="Bibliography"/>
    <w:basedOn w:val="Normal"/>
    <w:next w:val="Normal"/>
    <w:uiPriority w:val="37"/>
    <w:semiHidden/>
    <w:unhideWhenUsed/>
    <w:rsid w:val="00F527CC"/>
  </w:style>
  <w:style w:type="paragraph" w:styleId="BlockText">
    <w:name w:val="Block Text"/>
    <w:basedOn w:val="Normal"/>
    <w:uiPriority w:val="99"/>
    <w:semiHidden/>
    <w:unhideWhenUsed/>
    <w:rsid w:val="00F527CC"/>
    <w:pPr>
      <w:pBdr>
        <w:top w:val="single" w:sz="2" w:space="10" w:color="C7C8CA" w:themeColor="accent1" w:frame="1"/>
        <w:left w:val="single" w:sz="2" w:space="10" w:color="C7C8CA" w:themeColor="accent1" w:frame="1"/>
        <w:bottom w:val="single" w:sz="2" w:space="10" w:color="C7C8CA" w:themeColor="accent1" w:frame="1"/>
        <w:right w:val="single" w:sz="2" w:space="10" w:color="C7C8CA" w:themeColor="accent1" w:frame="1"/>
      </w:pBdr>
      <w:ind w:left="1152" w:right="1152"/>
    </w:pPr>
    <w:rPr>
      <w:rFonts w:eastAsiaTheme="minorEastAsia" w:cs="Arial"/>
      <w:i/>
      <w:iCs/>
      <w:color w:val="C7C8CA" w:themeColor="accent1"/>
    </w:rPr>
  </w:style>
  <w:style w:type="paragraph" w:styleId="BodyText">
    <w:name w:val="Body Text"/>
    <w:basedOn w:val="Normal"/>
    <w:link w:val="BodyTextChar"/>
    <w:uiPriority w:val="99"/>
    <w:semiHidden/>
    <w:unhideWhenUsed/>
    <w:rsid w:val="00F527CC"/>
  </w:style>
  <w:style w:type="character" w:customStyle="1" w:styleId="BodyTextChar">
    <w:name w:val="Body Text Char"/>
    <w:basedOn w:val="DefaultParagraphFont"/>
    <w:link w:val="BodyText"/>
    <w:uiPriority w:val="99"/>
    <w:semiHidden/>
    <w:rsid w:val="00F527CC"/>
    <w:rPr>
      <w:lang w:val="en-US"/>
    </w:rPr>
  </w:style>
  <w:style w:type="paragraph" w:styleId="BodyText2">
    <w:name w:val="Body Text 2"/>
    <w:basedOn w:val="Normal"/>
    <w:link w:val="BodyText2Char"/>
    <w:uiPriority w:val="99"/>
    <w:semiHidden/>
    <w:unhideWhenUsed/>
    <w:rsid w:val="00F527CC"/>
    <w:pPr>
      <w:spacing w:line="480" w:lineRule="auto"/>
    </w:pPr>
  </w:style>
  <w:style w:type="character" w:customStyle="1" w:styleId="BodyText2Char">
    <w:name w:val="Body Text 2 Char"/>
    <w:basedOn w:val="DefaultParagraphFont"/>
    <w:link w:val="BodyText2"/>
    <w:uiPriority w:val="99"/>
    <w:semiHidden/>
    <w:rsid w:val="00F527CC"/>
    <w:rPr>
      <w:lang w:val="en-US"/>
    </w:rPr>
  </w:style>
  <w:style w:type="paragraph" w:styleId="BodyText3">
    <w:name w:val="Body Text 3"/>
    <w:basedOn w:val="Normal"/>
    <w:link w:val="BodyText3Char"/>
    <w:uiPriority w:val="99"/>
    <w:semiHidden/>
    <w:unhideWhenUsed/>
    <w:rsid w:val="00F527CC"/>
    <w:rPr>
      <w:sz w:val="16"/>
      <w:szCs w:val="16"/>
    </w:rPr>
  </w:style>
  <w:style w:type="character" w:customStyle="1" w:styleId="BodyText3Char">
    <w:name w:val="Body Text 3 Char"/>
    <w:basedOn w:val="DefaultParagraphFont"/>
    <w:link w:val="BodyText3"/>
    <w:uiPriority w:val="99"/>
    <w:semiHidden/>
    <w:rsid w:val="00F527CC"/>
    <w:rPr>
      <w:sz w:val="16"/>
      <w:szCs w:val="16"/>
      <w:lang w:val="en-US"/>
    </w:rPr>
  </w:style>
  <w:style w:type="paragraph" w:styleId="BodyTextFirstIndent">
    <w:name w:val="Body Text First Indent"/>
    <w:basedOn w:val="BodyText"/>
    <w:link w:val="BodyTextFirstIndentChar"/>
    <w:uiPriority w:val="99"/>
    <w:semiHidden/>
    <w:unhideWhenUsed/>
    <w:rsid w:val="00F527CC"/>
    <w:pPr>
      <w:ind w:firstLine="360"/>
    </w:pPr>
  </w:style>
  <w:style w:type="character" w:customStyle="1" w:styleId="BodyTextFirstIndentChar">
    <w:name w:val="Body Text First Indent Char"/>
    <w:basedOn w:val="BodyTextChar"/>
    <w:link w:val="BodyTextFirstIndent"/>
    <w:uiPriority w:val="99"/>
    <w:semiHidden/>
    <w:rsid w:val="00F527CC"/>
    <w:rPr>
      <w:lang w:val="en-US"/>
    </w:rPr>
  </w:style>
  <w:style w:type="paragraph" w:styleId="BodyTextFirstIndent2">
    <w:name w:val="Body Text First Indent 2"/>
    <w:basedOn w:val="BodyTextIndent"/>
    <w:link w:val="BodyTextFirstIndent2Char"/>
    <w:uiPriority w:val="99"/>
    <w:semiHidden/>
    <w:unhideWhenUsed/>
    <w:rsid w:val="00F527CC"/>
    <w:pPr>
      <w:ind w:left="360" w:firstLine="360"/>
    </w:pPr>
  </w:style>
  <w:style w:type="character" w:customStyle="1" w:styleId="BodyTextFirstIndent2Char">
    <w:name w:val="Body Text First Indent 2 Char"/>
    <w:basedOn w:val="BodyTextIndentChar"/>
    <w:link w:val="BodyTextFirstIndent2"/>
    <w:uiPriority w:val="99"/>
    <w:semiHidden/>
    <w:rsid w:val="00F527CC"/>
    <w:rPr>
      <w:noProof/>
      <w:lang w:val="en-US"/>
    </w:rPr>
  </w:style>
  <w:style w:type="paragraph" w:styleId="BodyTextIndent3">
    <w:name w:val="Body Text Indent 3"/>
    <w:basedOn w:val="Normal"/>
    <w:link w:val="BodyTextIndent3Char"/>
    <w:uiPriority w:val="99"/>
    <w:semiHidden/>
    <w:unhideWhenUsed/>
    <w:rsid w:val="00F527CC"/>
    <w:pPr>
      <w:ind w:left="283"/>
    </w:pPr>
    <w:rPr>
      <w:sz w:val="16"/>
      <w:szCs w:val="16"/>
    </w:rPr>
  </w:style>
  <w:style w:type="character" w:customStyle="1" w:styleId="BodyTextIndent3Char">
    <w:name w:val="Body Text Indent 3 Char"/>
    <w:basedOn w:val="DefaultParagraphFont"/>
    <w:link w:val="BodyTextIndent3"/>
    <w:uiPriority w:val="99"/>
    <w:semiHidden/>
    <w:rsid w:val="00F527CC"/>
    <w:rPr>
      <w:sz w:val="16"/>
      <w:szCs w:val="16"/>
      <w:lang w:val="en-US"/>
    </w:rPr>
  </w:style>
  <w:style w:type="character" w:styleId="BookTitle">
    <w:name w:val="Book Title"/>
    <w:basedOn w:val="DefaultParagraphFont"/>
    <w:uiPriority w:val="33"/>
    <w:qFormat/>
    <w:rsid w:val="00F527CC"/>
    <w:rPr>
      <w:b/>
      <w:bCs/>
      <w:i/>
      <w:iCs/>
      <w:spacing w:val="5"/>
      <w:lang w:val="en-US"/>
    </w:rPr>
  </w:style>
  <w:style w:type="paragraph" w:styleId="Caption">
    <w:name w:val="caption"/>
    <w:basedOn w:val="Normal"/>
    <w:next w:val="Normal"/>
    <w:uiPriority w:val="35"/>
    <w:unhideWhenUsed/>
    <w:qFormat/>
    <w:rsid w:val="00F527CC"/>
    <w:pPr>
      <w:spacing w:after="200" w:line="240" w:lineRule="auto"/>
    </w:pPr>
    <w:rPr>
      <w:i/>
      <w:iCs/>
      <w:color w:val="FFFFFF" w:themeColor="text2"/>
      <w:sz w:val="18"/>
      <w:szCs w:val="18"/>
    </w:rPr>
  </w:style>
  <w:style w:type="paragraph" w:styleId="Closing">
    <w:name w:val="Closing"/>
    <w:basedOn w:val="Normal"/>
    <w:link w:val="ClosingChar"/>
    <w:uiPriority w:val="99"/>
    <w:semiHidden/>
    <w:unhideWhenUsed/>
    <w:rsid w:val="00F527CC"/>
    <w:pPr>
      <w:spacing w:after="0" w:line="240" w:lineRule="auto"/>
      <w:ind w:left="4252"/>
    </w:pPr>
  </w:style>
  <w:style w:type="character" w:customStyle="1" w:styleId="ClosingChar">
    <w:name w:val="Closing Char"/>
    <w:basedOn w:val="DefaultParagraphFont"/>
    <w:link w:val="Closing"/>
    <w:uiPriority w:val="99"/>
    <w:semiHidden/>
    <w:rsid w:val="00F527CC"/>
    <w:rPr>
      <w:lang w:val="en-US"/>
    </w:rPr>
  </w:style>
  <w:style w:type="table" w:styleId="ColorfulGrid">
    <w:name w:val="Colorful Grid"/>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3F3F4" w:themeFill="accent1" w:themeFillTint="33"/>
    </w:tcPr>
    <w:tblStylePr w:type="firstRow">
      <w:rPr>
        <w:b/>
        <w:bCs/>
      </w:rPr>
      <w:tblPr/>
      <w:tcPr>
        <w:shd w:val="clear" w:color="auto" w:fill="E8E8E9" w:themeFill="accent1" w:themeFillTint="66"/>
      </w:tcPr>
    </w:tblStylePr>
    <w:tblStylePr w:type="lastRow">
      <w:rPr>
        <w:b/>
        <w:bCs/>
        <w:color w:val="404040" w:themeColor="text1"/>
      </w:rPr>
      <w:tblPr/>
      <w:tcPr>
        <w:shd w:val="clear" w:color="auto" w:fill="E8E8E9" w:themeFill="accent1" w:themeFillTint="66"/>
      </w:tcPr>
    </w:tblStylePr>
    <w:tblStylePr w:type="firstCol">
      <w:rPr>
        <w:color w:val="FFFFFF" w:themeColor="background1"/>
      </w:rPr>
      <w:tblPr/>
      <w:tcPr>
        <w:shd w:val="clear" w:color="auto" w:fill="939599" w:themeFill="accent1" w:themeFillShade="BF"/>
      </w:tcPr>
    </w:tblStylePr>
    <w:tblStylePr w:type="lastCol">
      <w:rPr>
        <w:color w:val="FFFFFF" w:themeColor="background1"/>
      </w:rPr>
      <w:tblPr/>
      <w:tcPr>
        <w:shd w:val="clear" w:color="auto" w:fill="939599" w:themeFill="accent1" w:themeFillShade="BF"/>
      </w:tc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ColorfulGrid-Accent2">
    <w:name w:val="Colorful Grid Accent 2"/>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9E9EA" w:themeFill="accent2" w:themeFillTint="33"/>
    </w:tcPr>
    <w:tblStylePr w:type="firstRow">
      <w:rPr>
        <w:b/>
        <w:bCs/>
      </w:rPr>
      <w:tblPr/>
      <w:tcPr>
        <w:shd w:val="clear" w:color="auto" w:fill="D3D4D5" w:themeFill="accent2" w:themeFillTint="66"/>
      </w:tcPr>
    </w:tblStylePr>
    <w:tblStylePr w:type="lastRow">
      <w:rPr>
        <w:b/>
        <w:bCs/>
        <w:color w:val="404040" w:themeColor="text1"/>
      </w:rPr>
      <w:tblPr/>
      <w:tcPr>
        <w:shd w:val="clear" w:color="auto" w:fill="D3D4D5" w:themeFill="accent2" w:themeFillTint="66"/>
      </w:tcPr>
    </w:tblStylePr>
    <w:tblStylePr w:type="firstCol">
      <w:rPr>
        <w:color w:val="FFFFFF" w:themeColor="background1"/>
      </w:rPr>
      <w:tblPr/>
      <w:tcPr>
        <w:shd w:val="clear" w:color="auto" w:fill="6D6F72" w:themeFill="accent2" w:themeFillShade="BF"/>
      </w:tcPr>
    </w:tblStylePr>
    <w:tblStylePr w:type="lastCol">
      <w:rPr>
        <w:color w:val="FFFFFF" w:themeColor="background1"/>
      </w:rPr>
      <w:tblPr/>
      <w:tcPr>
        <w:shd w:val="clear" w:color="auto" w:fill="6D6F72" w:themeFill="accent2" w:themeFillShade="BF"/>
      </w:tc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ColorfulGrid-Accent3">
    <w:name w:val="Colorful Grid Accent 3"/>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40404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ColorfulGrid-Accent4">
    <w:name w:val="Colorful Grid Accent 4"/>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7CFD2" w:themeFill="accent4" w:themeFillTint="33"/>
    </w:tcPr>
    <w:tblStylePr w:type="firstRow">
      <w:rPr>
        <w:b/>
        <w:bCs/>
      </w:rPr>
      <w:tblPr/>
      <w:tcPr>
        <w:shd w:val="clear" w:color="auto" w:fill="F0A0A5" w:themeFill="accent4" w:themeFillTint="66"/>
      </w:tcPr>
    </w:tblStylePr>
    <w:tblStylePr w:type="lastRow">
      <w:rPr>
        <w:b/>
        <w:bCs/>
        <w:color w:val="404040" w:themeColor="text1"/>
      </w:rPr>
      <w:tblPr/>
      <w:tcPr>
        <w:shd w:val="clear" w:color="auto" w:fill="F0A0A5" w:themeFill="accent4" w:themeFillTint="66"/>
      </w:tcPr>
    </w:tblStylePr>
    <w:tblStylePr w:type="firstCol">
      <w:rPr>
        <w:color w:val="FFFFFF" w:themeColor="background1"/>
      </w:rPr>
      <w:tblPr/>
      <w:tcPr>
        <w:shd w:val="clear" w:color="auto" w:fill="991820" w:themeFill="accent4" w:themeFillShade="BF"/>
      </w:tcPr>
    </w:tblStylePr>
    <w:tblStylePr w:type="lastCol">
      <w:rPr>
        <w:color w:val="FFFFFF" w:themeColor="background1"/>
      </w:rPr>
      <w:tblPr/>
      <w:tcPr>
        <w:shd w:val="clear" w:color="auto" w:fill="991820" w:themeFill="accent4" w:themeFillShade="BF"/>
      </w:tc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ColorfulGrid-Accent5">
    <w:name w:val="Colorful Grid Accent 5"/>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BBDCFF" w:themeFill="accent5" w:themeFillTint="33"/>
    </w:tcPr>
    <w:tblStylePr w:type="firstRow">
      <w:rPr>
        <w:b/>
        <w:bCs/>
      </w:rPr>
      <w:tblPr/>
      <w:tcPr>
        <w:shd w:val="clear" w:color="auto" w:fill="77BAFF" w:themeFill="accent5" w:themeFillTint="66"/>
      </w:tcPr>
    </w:tblStylePr>
    <w:tblStylePr w:type="lastRow">
      <w:rPr>
        <w:b/>
        <w:bCs/>
        <w:color w:val="404040" w:themeColor="text1"/>
      </w:rPr>
      <w:tblPr/>
      <w:tcPr>
        <w:shd w:val="clear" w:color="auto" w:fill="77BAFF" w:themeFill="accent5" w:themeFillTint="66"/>
      </w:tcPr>
    </w:tblStylePr>
    <w:tblStylePr w:type="firstCol">
      <w:rPr>
        <w:color w:val="FFFFFF" w:themeColor="background1"/>
      </w:rPr>
      <w:tblPr/>
      <w:tcPr>
        <w:shd w:val="clear" w:color="auto" w:fill="003F7F" w:themeFill="accent5" w:themeFillShade="BF"/>
      </w:tcPr>
    </w:tblStylePr>
    <w:tblStylePr w:type="lastCol">
      <w:rPr>
        <w:color w:val="FFFFFF" w:themeColor="background1"/>
      </w:rPr>
      <w:tblPr/>
      <w:tcPr>
        <w:shd w:val="clear" w:color="auto" w:fill="003F7F" w:themeFill="accent5" w:themeFillShade="BF"/>
      </w:tc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ColorfulGrid-Accent6">
    <w:name w:val="Colorful Grid Accent 6"/>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FEDD2" w:themeFill="accent6" w:themeFillTint="33"/>
    </w:tcPr>
    <w:tblStylePr w:type="firstRow">
      <w:rPr>
        <w:b/>
        <w:bCs/>
      </w:rPr>
      <w:tblPr/>
      <w:tcPr>
        <w:shd w:val="clear" w:color="auto" w:fill="FFDCA6" w:themeFill="accent6" w:themeFillTint="66"/>
      </w:tcPr>
    </w:tblStylePr>
    <w:tblStylePr w:type="lastRow">
      <w:rPr>
        <w:b/>
        <w:bCs/>
        <w:color w:val="404040" w:themeColor="text1"/>
      </w:rPr>
      <w:tblPr/>
      <w:tcPr>
        <w:shd w:val="clear" w:color="auto" w:fill="FFDCA6" w:themeFill="accent6" w:themeFillTint="66"/>
      </w:tcPr>
    </w:tblStylePr>
    <w:tblStylePr w:type="firstCol">
      <w:rPr>
        <w:color w:val="FFFFFF" w:themeColor="background1"/>
      </w:rPr>
      <w:tblPr/>
      <w:tcPr>
        <w:shd w:val="clear" w:color="auto" w:fill="D88400" w:themeFill="accent6" w:themeFillShade="BF"/>
      </w:tcPr>
    </w:tblStylePr>
    <w:tblStylePr w:type="lastCol">
      <w:rPr>
        <w:color w:val="FFFFFF" w:themeColor="background1"/>
      </w:rPr>
      <w:tblPr/>
      <w:tcPr>
        <w:shd w:val="clear" w:color="auto" w:fill="D88400" w:themeFill="accent6" w:themeFillShade="BF"/>
      </w:tc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ColorfulList">
    <w:name w:val="Colorful List"/>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9F9F9" w:themeFill="accen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2" w:themeFill="accent1" w:themeFillTint="3F"/>
      </w:tcPr>
    </w:tblStylePr>
    <w:tblStylePr w:type="band1Horz">
      <w:tblPr/>
      <w:tcPr>
        <w:shd w:val="clear" w:color="auto" w:fill="F3F3F4" w:themeFill="accent1" w:themeFillTint="33"/>
      </w:tcPr>
    </w:tblStylePr>
  </w:style>
  <w:style w:type="table" w:styleId="ColorfulList-Accent2">
    <w:name w:val="Colorful List Accent 2"/>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4F4F4" w:themeFill="accent2"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2" w:themeFillTint="3F"/>
      </w:tcPr>
    </w:tblStylePr>
    <w:tblStylePr w:type="band1Horz">
      <w:tblPr/>
      <w:tcPr>
        <w:shd w:val="clear" w:color="auto" w:fill="E9E9EA" w:themeFill="accent2" w:themeFillTint="33"/>
      </w:tcPr>
    </w:tblStylePr>
  </w:style>
  <w:style w:type="table" w:styleId="ColorfulList-Accent3">
    <w:name w:val="Colorful List Accent 3"/>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A31922" w:themeFill="accent4" w:themeFillShade="CC"/>
      </w:tcPr>
    </w:tblStylePr>
    <w:tblStylePr w:type="lastRow">
      <w:rPr>
        <w:b/>
        <w:bCs/>
        <w:color w:val="A31922"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ColorfulList-Accent4">
    <w:name w:val="Colorful List Accent 4"/>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BE7E8"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7" w:themeFill="accent4" w:themeFillTint="3F"/>
      </w:tcPr>
    </w:tblStylePr>
    <w:tblStylePr w:type="band1Horz">
      <w:tblPr/>
      <w:tcPr>
        <w:shd w:val="clear" w:color="auto" w:fill="F7CFD2" w:themeFill="accent4" w:themeFillTint="33"/>
      </w:tcPr>
    </w:tblStylePr>
  </w:style>
  <w:style w:type="table" w:styleId="ColorfulList-Accent5">
    <w:name w:val="Colorful List Accent 5"/>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DDEEFF" w:themeFill="accent5" w:themeFillTint="19"/>
    </w:tcPr>
    <w:tblStylePr w:type="firstRow">
      <w:rPr>
        <w:b/>
        <w:bCs/>
        <w:color w:val="FFFFFF" w:themeColor="background1"/>
      </w:rPr>
      <w:tblPr/>
      <w:tcPr>
        <w:tcBorders>
          <w:bottom w:val="single" w:sz="12" w:space="0" w:color="FFFFFF" w:themeColor="background1"/>
        </w:tcBorders>
        <w:shd w:val="clear" w:color="auto" w:fill="E78D00" w:themeFill="accent6" w:themeFillShade="CC"/>
      </w:tcPr>
    </w:tblStylePr>
    <w:tblStylePr w:type="lastRow">
      <w:rPr>
        <w:b/>
        <w:bCs/>
        <w:color w:val="E78D00"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4FF" w:themeFill="accent5" w:themeFillTint="3F"/>
      </w:tcPr>
    </w:tblStylePr>
    <w:tblStylePr w:type="band1Horz">
      <w:tblPr/>
      <w:tcPr>
        <w:shd w:val="clear" w:color="auto" w:fill="BBDCFF" w:themeFill="accent5" w:themeFillTint="33"/>
      </w:tcPr>
    </w:tblStylePr>
  </w:style>
  <w:style w:type="table" w:styleId="ColorfulList-Accent6">
    <w:name w:val="Colorful List Accent 6"/>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FF6E9" w:themeFill="accent6" w:themeFillTint="19"/>
    </w:tcPr>
    <w:tblStylePr w:type="firstRow">
      <w:rPr>
        <w:b/>
        <w:bCs/>
        <w:color w:val="FFFFFF" w:themeColor="background1"/>
      </w:rPr>
      <w:tblPr/>
      <w:tcPr>
        <w:tcBorders>
          <w:bottom w:val="single" w:sz="12" w:space="0" w:color="FFFFFF" w:themeColor="background1"/>
        </w:tcBorders>
        <w:shd w:val="clear" w:color="auto" w:fill="004388" w:themeFill="accent5" w:themeFillShade="CC"/>
      </w:tcPr>
    </w:tblStylePr>
    <w:tblStylePr w:type="lastRow">
      <w:rPr>
        <w:b/>
        <w:bCs/>
        <w:color w:val="004388"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C8" w:themeFill="accent6" w:themeFillTint="3F"/>
      </w:tcPr>
    </w:tblStylePr>
    <w:tblStylePr w:type="band1Horz">
      <w:tblPr/>
      <w:tcPr>
        <w:shd w:val="clear" w:color="auto" w:fill="FFEDD2" w:themeFill="accent6" w:themeFillTint="33"/>
      </w:tcPr>
    </w:tblStylePr>
  </w:style>
  <w:style w:type="table" w:styleId="ColorfulShading">
    <w:name w:val="Colorful Shading"/>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C7C8CA" w:themeColor="accent1"/>
        <w:bottom w:val="single" w:sz="4" w:space="0" w:color="C7C8CA" w:themeColor="accent1"/>
        <w:right w:val="single" w:sz="4" w:space="0" w:color="C7C8CA" w:themeColor="accent1"/>
        <w:insideH w:val="single" w:sz="4" w:space="0" w:color="FFFFFF" w:themeColor="background1"/>
        <w:insideV w:val="single" w:sz="4" w:space="0" w:color="FFFFFF" w:themeColor="background1"/>
      </w:tblBorders>
    </w:tblPr>
    <w:tcPr>
      <w:shd w:val="clear" w:color="auto" w:fill="F9F9F9" w:themeFill="accen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77B" w:themeFill="accent1" w:themeFillShade="99"/>
      </w:tcPr>
    </w:tblStylePr>
    <w:tblStylePr w:type="firstCol">
      <w:rPr>
        <w:color w:val="FFFFFF" w:themeColor="background1"/>
      </w:rPr>
      <w:tblPr/>
      <w:tcPr>
        <w:tcBorders>
          <w:top w:val="nil"/>
          <w:left w:val="nil"/>
          <w:bottom w:val="nil"/>
          <w:right w:val="nil"/>
          <w:insideH w:val="single" w:sz="4" w:space="0" w:color="75777B" w:themeColor="accent1" w:themeShade="99"/>
          <w:insideV w:val="nil"/>
        </w:tcBorders>
        <w:shd w:val="clear" w:color="auto" w:fill="7577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5777B" w:themeFill="accent1" w:themeFillShade="99"/>
      </w:tcPr>
    </w:tblStylePr>
    <w:tblStylePr w:type="band1Vert">
      <w:tblPr/>
      <w:tcPr>
        <w:shd w:val="clear" w:color="auto" w:fill="E8E8E9" w:themeFill="accent1" w:themeFillTint="66"/>
      </w:tcPr>
    </w:tblStylePr>
    <w:tblStylePr w:type="band1Horz">
      <w:tblPr/>
      <w:tcPr>
        <w:shd w:val="clear" w:color="auto" w:fill="E3E3E4"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939598" w:themeColor="accent2"/>
        <w:bottom w:val="single" w:sz="4" w:space="0" w:color="939598" w:themeColor="accent2"/>
        <w:right w:val="single" w:sz="4" w:space="0" w:color="939598" w:themeColor="accent2"/>
        <w:insideH w:val="single" w:sz="4" w:space="0" w:color="FFFFFF" w:themeColor="background1"/>
        <w:insideV w:val="single" w:sz="4" w:space="0" w:color="FFFFFF" w:themeColor="background1"/>
      </w:tblBorders>
    </w:tblPr>
    <w:tcPr>
      <w:shd w:val="clear" w:color="auto" w:fill="F4F4F4" w:themeFill="accent2"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2" w:themeFillShade="99"/>
      </w:tcPr>
    </w:tblStylePr>
    <w:tblStylePr w:type="firstCol">
      <w:rPr>
        <w:color w:val="FFFFFF" w:themeColor="background1"/>
      </w:rPr>
      <w:tblPr/>
      <w:tcPr>
        <w:tcBorders>
          <w:top w:val="nil"/>
          <w:left w:val="nil"/>
          <w:bottom w:val="nil"/>
          <w:right w:val="nil"/>
          <w:insideH w:val="single" w:sz="4" w:space="0" w:color="57595B" w:themeColor="accent2" w:themeShade="99"/>
          <w:insideV w:val="nil"/>
        </w:tcBorders>
        <w:shd w:val="clear" w:color="auto" w:fill="5759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2" w:themeFillShade="99"/>
      </w:tcPr>
    </w:tblStylePr>
    <w:tblStylePr w:type="band1Vert">
      <w:tblPr/>
      <w:tcPr>
        <w:shd w:val="clear" w:color="auto" w:fill="D3D4D5" w:themeFill="accent2" w:themeFillTint="66"/>
      </w:tcPr>
    </w:tblStylePr>
    <w:tblStylePr w:type="band1Horz">
      <w:tblPr/>
      <w:tcPr>
        <w:shd w:val="clear" w:color="auto" w:fill="C9CACB"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CD202C"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ColorfulShading-Accent4">
    <w:name w:val="Colorful Shading Accent 4"/>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636466" w:themeColor="accent3"/>
        <w:left w:val="single" w:sz="4" w:space="0" w:color="CD202C" w:themeColor="accent4"/>
        <w:bottom w:val="single" w:sz="4" w:space="0" w:color="CD202C" w:themeColor="accent4"/>
        <w:right w:val="single" w:sz="4" w:space="0" w:color="CD202C" w:themeColor="accent4"/>
        <w:insideH w:val="single" w:sz="4" w:space="0" w:color="FFFFFF" w:themeColor="background1"/>
        <w:insideV w:val="single" w:sz="4" w:space="0" w:color="FFFFFF" w:themeColor="background1"/>
      </w:tblBorders>
    </w:tblPr>
    <w:tcPr>
      <w:shd w:val="clear" w:color="auto" w:fill="FBE7E8"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A" w:themeFill="accent4" w:themeFillShade="99"/>
      </w:tcPr>
    </w:tblStylePr>
    <w:tblStylePr w:type="firstCol">
      <w:rPr>
        <w:color w:val="FFFFFF" w:themeColor="background1"/>
      </w:rPr>
      <w:tblPr/>
      <w:tcPr>
        <w:tcBorders>
          <w:top w:val="nil"/>
          <w:left w:val="nil"/>
          <w:bottom w:val="nil"/>
          <w:right w:val="nil"/>
          <w:insideH w:val="single" w:sz="4" w:space="0" w:color="7A131A" w:themeColor="accent4" w:themeShade="99"/>
          <w:insideV w:val="nil"/>
        </w:tcBorders>
        <w:shd w:val="clear" w:color="auto" w:fill="7A13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131A" w:themeFill="accent4" w:themeFillShade="99"/>
      </w:tcPr>
    </w:tblStylePr>
    <w:tblStylePr w:type="band1Vert">
      <w:tblPr/>
      <w:tcPr>
        <w:shd w:val="clear" w:color="auto" w:fill="F0A0A5" w:themeFill="accent4" w:themeFillTint="66"/>
      </w:tcPr>
    </w:tblStylePr>
    <w:tblStylePr w:type="band1Horz">
      <w:tblPr/>
      <w:tcPr>
        <w:shd w:val="clear" w:color="auto" w:fill="EC898F"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FFAA22" w:themeColor="accent6"/>
        <w:left w:val="single" w:sz="4" w:space="0" w:color="0055AA" w:themeColor="accent5"/>
        <w:bottom w:val="single" w:sz="4" w:space="0" w:color="0055AA" w:themeColor="accent5"/>
        <w:right w:val="single" w:sz="4" w:space="0" w:color="0055AA" w:themeColor="accent5"/>
        <w:insideH w:val="single" w:sz="4" w:space="0" w:color="FFFFFF" w:themeColor="background1"/>
        <w:insideV w:val="single" w:sz="4" w:space="0" w:color="FFFFFF" w:themeColor="background1"/>
      </w:tblBorders>
    </w:tblPr>
    <w:tcPr>
      <w:shd w:val="clear" w:color="auto" w:fill="DDEEFF" w:themeFill="accent5" w:themeFillTint="19"/>
    </w:tcPr>
    <w:tblStylePr w:type="firstRow">
      <w:rPr>
        <w:b/>
        <w:bCs/>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6" w:themeFill="accent5" w:themeFillShade="99"/>
      </w:tcPr>
    </w:tblStylePr>
    <w:tblStylePr w:type="firstCol">
      <w:rPr>
        <w:color w:val="FFFFFF" w:themeColor="background1"/>
      </w:rPr>
      <w:tblPr/>
      <w:tcPr>
        <w:tcBorders>
          <w:top w:val="nil"/>
          <w:left w:val="nil"/>
          <w:bottom w:val="nil"/>
          <w:right w:val="nil"/>
          <w:insideH w:val="single" w:sz="4" w:space="0" w:color="003266" w:themeColor="accent5" w:themeShade="99"/>
          <w:insideV w:val="nil"/>
        </w:tcBorders>
        <w:shd w:val="clear" w:color="auto" w:fill="0032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266" w:themeFill="accent5" w:themeFillShade="99"/>
      </w:tcPr>
    </w:tblStylePr>
    <w:tblStylePr w:type="band1Vert">
      <w:tblPr/>
      <w:tcPr>
        <w:shd w:val="clear" w:color="auto" w:fill="77BAFF" w:themeFill="accent5" w:themeFillTint="66"/>
      </w:tcPr>
    </w:tblStylePr>
    <w:tblStylePr w:type="band1Horz">
      <w:tblPr/>
      <w:tcPr>
        <w:shd w:val="clear" w:color="auto" w:fill="55AAFF"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0055AA" w:themeColor="accent5"/>
        <w:left w:val="single" w:sz="4" w:space="0" w:color="FFAA22" w:themeColor="accent6"/>
        <w:bottom w:val="single" w:sz="4" w:space="0" w:color="FFAA22" w:themeColor="accent6"/>
        <w:right w:val="single" w:sz="4" w:space="0" w:color="FFAA22" w:themeColor="accent6"/>
        <w:insideH w:val="single" w:sz="4" w:space="0" w:color="FFFFFF" w:themeColor="background1"/>
        <w:insideV w:val="single" w:sz="4" w:space="0" w:color="FFFFFF" w:themeColor="background1"/>
      </w:tblBorders>
    </w:tblPr>
    <w:tcPr>
      <w:shd w:val="clear" w:color="auto" w:fill="FFF6E9" w:themeFill="accent6" w:themeFillTint="19"/>
    </w:tcPr>
    <w:tblStylePr w:type="firstRow">
      <w:rPr>
        <w:b/>
        <w:bCs/>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6A00" w:themeFill="accent6" w:themeFillShade="99"/>
      </w:tcPr>
    </w:tblStylePr>
    <w:tblStylePr w:type="firstCol">
      <w:rPr>
        <w:color w:val="FFFFFF" w:themeColor="background1"/>
      </w:rPr>
      <w:tblPr/>
      <w:tcPr>
        <w:tcBorders>
          <w:top w:val="nil"/>
          <w:left w:val="nil"/>
          <w:bottom w:val="nil"/>
          <w:right w:val="nil"/>
          <w:insideH w:val="single" w:sz="4" w:space="0" w:color="AD6A00" w:themeColor="accent6" w:themeShade="99"/>
          <w:insideV w:val="nil"/>
        </w:tcBorders>
        <w:shd w:val="clear" w:color="auto" w:fill="AD6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D6A00" w:themeFill="accent6" w:themeFillShade="99"/>
      </w:tcPr>
    </w:tblStylePr>
    <w:tblStylePr w:type="band1Vert">
      <w:tblPr/>
      <w:tcPr>
        <w:shd w:val="clear" w:color="auto" w:fill="FFDCA6" w:themeFill="accent6" w:themeFillTint="66"/>
      </w:tcPr>
    </w:tblStylePr>
    <w:tblStylePr w:type="band1Horz">
      <w:tblPr/>
      <w:tcPr>
        <w:shd w:val="clear" w:color="auto" w:fill="FFD490"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unhideWhenUsed/>
    <w:rsid w:val="00F527CC"/>
    <w:rPr>
      <w:sz w:val="16"/>
      <w:szCs w:val="16"/>
      <w:lang w:val="en-US"/>
    </w:rPr>
  </w:style>
  <w:style w:type="paragraph" w:styleId="CommentText">
    <w:name w:val="annotation text"/>
    <w:basedOn w:val="Normal"/>
    <w:link w:val="CommentTextChar"/>
    <w:uiPriority w:val="99"/>
    <w:unhideWhenUsed/>
    <w:rsid w:val="00F527CC"/>
    <w:pPr>
      <w:spacing w:line="240" w:lineRule="auto"/>
    </w:pPr>
    <w:rPr>
      <w:sz w:val="20"/>
      <w:szCs w:val="20"/>
    </w:rPr>
  </w:style>
  <w:style w:type="character" w:customStyle="1" w:styleId="CommentTextChar">
    <w:name w:val="Comment Text Char"/>
    <w:basedOn w:val="DefaultParagraphFont"/>
    <w:link w:val="CommentText"/>
    <w:uiPriority w:val="99"/>
    <w:rsid w:val="00F527CC"/>
    <w:rPr>
      <w:sz w:val="20"/>
      <w:szCs w:val="20"/>
      <w:lang w:val="en-US"/>
    </w:rPr>
  </w:style>
  <w:style w:type="paragraph" w:styleId="CommentSubject">
    <w:name w:val="annotation subject"/>
    <w:basedOn w:val="CommentText"/>
    <w:next w:val="CommentText"/>
    <w:link w:val="CommentSubjectChar"/>
    <w:uiPriority w:val="99"/>
    <w:semiHidden/>
    <w:unhideWhenUsed/>
    <w:rsid w:val="00F527CC"/>
    <w:rPr>
      <w:b/>
      <w:bCs/>
    </w:rPr>
  </w:style>
  <w:style w:type="character" w:customStyle="1" w:styleId="CommentSubjectChar">
    <w:name w:val="Comment Subject Char"/>
    <w:basedOn w:val="CommentTextChar"/>
    <w:link w:val="CommentSubject"/>
    <w:uiPriority w:val="99"/>
    <w:semiHidden/>
    <w:rsid w:val="00F527CC"/>
    <w:rPr>
      <w:b/>
      <w:bCs/>
      <w:sz w:val="20"/>
      <w:szCs w:val="20"/>
      <w:lang w:val="en-US"/>
    </w:rPr>
  </w:style>
  <w:style w:type="table" w:styleId="DarkList">
    <w:name w:val="Dark List"/>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7C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162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3959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39599" w:themeFill="accent1" w:themeFillShade="BF"/>
      </w:tcPr>
    </w:tblStylePr>
    <w:tblStylePr w:type="band1Vert">
      <w:tblPr/>
      <w:tcPr>
        <w:tcBorders>
          <w:top w:val="nil"/>
          <w:left w:val="nil"/>
          <w:bottom w:val="nil"/>
          <w:right w:val="nil"/>
          <w:insideH w:val="nil"/>
          <w:insideV w:val="nil"/>
        </w:tcBorders>
        <w:shd w:val="clear" w:color="auto" w:fill="939599" w:themeFill="accent1" w:themeFillShade="BF"/>
      </w:tcPr>
    </w:tblStylePr>
    <w:tblStylePr w:type="band1Horz">
      <w:tblPr/>
      <w:tcPr>
        <w:tcBorders>
          <w:top w:val="nil"/>
          <w:left w:val="nil"/>
          <w:bottom w:val="nil"/>
          <w:right w:val="nil"/>
          <w:insideH w:val="nil"/>
          <w:insideV w:val="nil"/>
        </w:tcBorders>
        <w:shd w:val="clear" w:color="auto" w:fill="939599" w:themeFill="accent1" w:themeFillShade="BF"/>
      </w:tcPr>
    </w:tblStylePr>
  </w:style>
  <w:style w:type="table" w:styleId="DarkList-Accent2">
    <w:name w:val="Dark List Accent 2"/>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9395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2" w:themeFillShade="BF"/>
      </w:tcPr>
    </w:tblStylePr>
    <w:tblStylePr w:type="band1Vert">
      <w:tblPr/>
      <w:tcPr>
        <w:tcBorders>
          <w:top w:val="nil"/>
          <w:left w:val="nil"/>
          <w:bottom w:val="nil"/>
          <w:right w:val="nil"/>
          <w:insideH w:val="nil"/>
          <w:insideV w:val="nil"/>
        </w:tcBorders>
        <w:shd w:val="clear" w:color="auto" w:fill="6D6F72" w:themeFill="accent2" w:themeFillShade="BF"/>
      </w:tcPr>
    </w:tblStylePr>
    <w:tblStylePr w:type="band1Horz">
      <w:tblPr/>
      <w:tcPr>
        <w:tcBorders>
          <w:top w:val="nil"/>
          <w:left w:val="nil"/>
          <w:bottom w:val="nil"/>
          <w:right w:val="nil"/>
          <w:insideH w:val="nil"/>
          <w:insideV w:val="nil"/>
        </w:tcBorders>
        <w:shd w:val="clear" w:color="auto" w:fill="6D6F72" w:themeFill="accent2" w:themeFillShade="BF"/>
      </w:tcPr>
    </w:tblStylePr>
  </w:style>
  <w:style w:type="table" w:styleId="DarkList-Accent3">
    <w:name w:val="Dark List Accent 3"/>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DarkList-Accent4">
    <w:name w:val="Dark List Accent 4"/>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D20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610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918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91820" w:themeFill="accent4" w:themeFillShade="BF"/>
      </w:tcPr>
    </w:tblStylePr>
    <w:tblStylePr w:type="band1Vert">
      <w:tblPr/>
      <w:tcPr>
        <w:tcBorders>
          <w:top w:val="nil"/>
          <w:left w:val="nil"/>
          <w:bottom w:val="nil"/>
          <w:right w:val="nil"/>
          <w:insideH w:val="nil"/>
          <w:insideV w:val="nil"/>
        </w:tcBorders>
        <w:shd w:val="clear" w:color="auto" w:fill="991820" w:themeFill="accent4" w:themeFillShade="BF"/>
      </w:tcPr>
    </w:tblStylePr>
    <w:tblStylePr w:type="band1Horz">
      <w:tblPr/>
      <w:tcPr>
        <w:tcBorders>
          <w:top w:val="nil"/>
          <w:left w:val="nil"/>
          <w:bottom w:val="nil"/>
          <w:right w:val="nil"/>
          <w:insideH w:val="nil"/>
          <w:insideV w:val="nil"/>
        </w:tcBorders>
        <w:shd w:val="clear" w:color="auto" w:fill="991820" w:themeFill="accent4" w:themeFillShade="BF"/>
      </w:tcPr>
    </w:tblStylePr>
  </w:style>
  <w:style w:type="table" w:styleId="DarkList-Accent5">
    <w:name w:val="Dark List Accent 5"/>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0055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002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3F7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3F7F" w:themeFill="accent5" w:themeFillShade="BF"/>
      </w:tcPr>
    </w:tblStylePr>
    <w:tblStylePr w:type="band1Vert">
      <w:tblPr/>
      <w:tcPr>
        <w:tcBorders>
          <w:top w:val="nil"/>
          <w:left w:val="nil"/>
          <w:bottom w:val="nil"/>
          <w:right w:val="nil"/>
          <w:insideH w:val="nil"/>
          <w:insideV w:val="nil"/>
        </w:tcBorders>
        <w:shd w:val="clear" w:color="auto" w:fill="003F7F" w:themeFill="accent5" w:themeFillShade="BF"/>
      </w:tcPr>
    </w:tblStylePr>
    <w:tblStylePr w:type="band1Horz">
      <w:tblPr/>
      <w:tcPr>
        <w:tcBorders>
          <w:top w:val="nil"/>
          <w:left w:val="nil"/>
          <w:bottom w:val="nil"/>
          <w:right w:val="nil"/>
          <w:insideH w:val="nil"/>
          <w:insideV w:val="nil"/>
        </w:tcBorders>
        <w:shd w:val="clear" w:color="auto" w:fill="003F7F" w:themeFill="accent5" w:themeFillShade="BF"/>
      </w:tcPr>
    </w:tblStylePr>
  </w:style>
  <w:style w:type="table" w:styleId="DarkList-Accent6">
    <w:name w:val="Dark List Accent 6"/>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FFAA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8F57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88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88400" w:themeFill="accent6" w:themeFillShade="BF"/>
      </w:tcPr>
    </w:tblStylePr>
    <w:tblStylePr w:type="band1Vert">
      <w:tblPr/>
      <w:tcPr>
        <w:tcBorders>
          <w:top w:val="nil"/>
          <w:left w:val="nil"/>
          <w:bottom w:val="nil"/>
          <w:right w:val="nil"/>
          <w:insideH w:val="nil"/>
          <w:insideV w:val="nil"/>
        </w:tcBorders>
        <w:shd w:val="clear" w:color="auto" w:fill="D88400" w:themeFill="accent6" w:themeFillShade="BF"/>
      </w:tcPr>
    </w:tblStylePr>
    <w:tblStylePr w:type="band1Horz">
      <w:tblPr/>
      <w:tcPr>
        <w:tcBorders>
          <w:top w:val="nil"/>
          <w:left w:val="nil"/>
          <w:bottom w:val="nil"/>
          <w:right w:val="nil"/>
          <w:insideH w:val="nil"/>
          <w:insideV w:val="nil"/>
        </w:tcBorders>
        <w:shd w:val="clear" w:color="auto" w:fill="D88400" w:themeFill="accent6" w:themeFillShade="BF"/>
      </w:tcPr>
    </w:tblStylePr>
  </w:style>
  <w:style w:type="paragraph" w:styleId="DocumentMap">
    <w:name w:val="Document Map"/>
    <w:basedOn w:val="Normal"/>
    <w:link w:val="DocumentMapChar"/>
    <w:uiPriority w:val="99"/>
    <w:semiHidden/>
    <w:unhideWhenUsed/>
    <w:rsid w:val="00F527C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27C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527CC"/>
    <w:pPr>
      <w:spacing w:after="0" w:line="240" w:lineRule="auto"/>
    </w:pPr>
  </w:style>
  <w:style w:type="character" w:customStyle="1" w:styleId="E-mailSignatureChar">
    <w:name w:val="E-mail Signature Char"/>
    <w:basedOn w:val="DefaultParagraphFont"/>
    <w:link w:val="E-mailSignature"/>
    <w:uiPriority w:val="99"/>
    <w:semiHidden/>
    <w:rsid w:val="00F527CC"/>
    <w:rPr>
      <w:lang w:val="en-US"/>
    </w:rPr>
  </w:style>
  <w:style w:type="character" w:styleId="Emphasis">
    <w:name w:val="Emphasis"/>
    <w:basedOn w:val="DefaultParagraphFont"/>
    <w:uiPriority w:val="20"/>
    <w:qFormat/>
    <w:rsid w:val="00F527CC"/>
    <w:rPr>
      <w:i/>
      <w:iCs/>
      <w:lang w:val="en-US"/>
    </w:rPr>
  </w:style>
  <w:style w:type="paragraph" w:styleId="EnvelopeAddress">
    <w:name w:val="envelope address"/>
    <w:basedOn w:val="Normal"/>
    <w:uiPriority w:val="99"/>
    <w:semiHidden/>
    <w:unhideWhenUsed/>
    <w:rsid w:val="00F527CC"/>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F527CC"/>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F527CC"/>
    <w:rPr>
      <w:color w:val="954F72" w:themeColor="followedHyperlink"/>
      <w:u w:val="single"/>
      <w:lang w:val="en-US"/>
    </w:rPr>
  </w:style>
  <w:style w:type="table" w:styleId="GridTable1Light">
    <w:name w:val="Grid Table 1 Light"/>
    <w:basedOn w:val="TableNormal"/>
    <w:uiPriority w:val="46"/>
    <w:rsid w:val="00F527CC"/>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27CC"/>
    <w:pPr>
      <w:spacing w:after="0" w:line="240" w:lineRule="auto"/>
    </w:pPr>
    <w:tblPr>
      <w:tblStyleRowBandSize w:val="1"/>
      <w:tblStyleColBandSize w:val="1"/>
      <w:tblBorders>
        <w:top w:val="single" w:sz="4" w:space="0" w:color="E8E8E9" w:themeColor="accent1" w:themeTint="66"/>
        <w:left w:val="single" w:sz="4" w:space="0" w:color="E8E8E9" w:themeColor="accent1" w:themeTint="66"/>
        <w:bottom w:val="single" w:sz="4" w:space="0" w:color="E8E8E9" w:themeColor="accent1" w:themeTint="66"/>
        <w:right w:val="single" w:sz="4" w:space="0" w:color="E8E8E9" w:themeColor="accent1" w:themeTint="66"/>
        <w:insideH w:val="single" w:sz="4" w:space="0" w:color="E8E8E9" w:themeColor="accent1" w:themeTint="66"/>
        <w:insideV w:val="single" w:sz="4" w:space="0" w:color="E8E8E9" w:themeColor="accent1" w:themeTint="66"/>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2" w:space="0" w:color="DDDD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527CC"/>
    <w:pPr>
      <w:spacing w:after="0" w:line="240" w:lineRule="auto"/>
    </w:pPr>
    <w:tblPr>
      <w:tblStyleRowBandSize w:val="1"/>
      <w:tblStyleColBandSize w:val="1"/>
      <w:tblBorders>
        <w:top w:val="single" w:sz="4" w:space="0" w:color="D3D4D5" w:themeColor="accent2" w:themeTint="66"/>
        <w:left w:val="single" w:sz="4" w:space="0" w:color="D3D4D5" w:themeColor="accent2" w:themeTint="66"/>
        <w:bottom w:val="single" w:sz="4" w:space="0" w:color="D3D4D5" w:themeColor="accent2" w:themeTint="66"/>
        <w:right w:val="single" w:sz="4" w:space="0" w:color="D3D4D5" w:themeColor="accent2" w:themeTint="66"/>
        <w:insideH w:val="single" w:sz="4" w:space="0" w:color="D3D4D5" w:themeColor="accent2" w:themeTint="66"/>
        <w:insideV w:val="single" w:sz="4" w:space="0" w:color="D3D4D5" w:themeColor="accent2" w:themeTint="66"/>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2" w:space="0" w:color="BEBF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27CC"/>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527CC"/>
    <w:pPr>
      <w:spacing w:after="0" w:line="240" w:lineRule="auto"/>
    </w:pPr>
    <w:tblPr>
      <w:tblStyleRowBandSize w:val="1"/>
      <w:tblStyleColBandSize w:val="1"/>
      <w:tblBorders>
        <w:top w:val="single" w:sz="4" w:space="0" w:color="F0A0A5" w:themeColor="accent4" w:themeTint="66"/>
        <w:left w:val="single" w:sz="4" w:space="0" w:color="F0A0A5" w:themeColor="accent4" w:themeTint="66"/>
        <w:bottom w:val="single" w:sz="4" w:space="0" w:color="F0A0A5" w:themeColor="accent4" w:themeTint="66"/>
        <w:right w:val="single" w:sz="4" w:space="0" w:color="F0A0A5" w:themeColor="accent4" w:themeTint="66"/>
        <w:insideH w:val="single" w:sz="4" w:space="0" w:color="F0A0A5" w:themeColor="accent4" w:themeTint="66"/>
        <w:insideV w:val="single" w:sz="4" w:space="0" w:color="F0A0A5" w:themeColor="accent4" w:themeTint="66"/>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2" w:space="0" w:color="E8717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527CC"/>
    <w:pPr>
      <w:spacing w:after="0" w:line="240" w:lineRule="auto"/>
    </w:pPr>
    <w:tblPr>
      <w:tblStyleRowBandSize w:val="1"/>
      <w:tblStyleColBandSize w:val="1"/>
      <w:tblBorders>
        <w:top w:val="single" w:sz="4" w:space="0" w:color="77BAFF" w:themeColor="accent5" w:themeTint="66"/>
        <w:left w:val="single" w:sz="4" w:space="0" w:color="77BAFF" w:themeColor="accent5" w:themeTint="66"/>
        <w:bottom w:val="single" w:sz="4" w:space="0" w:color="77BAFF" w:themeColor="accent5" w:themeTint="66"/>
        <w:right w:val="single" w:sz="4" w:space="0" w:color="77BAFF" w:themeColor="accent5" w:themeTint="66"/>
        <w:insideH w:val="single" w:sz="4" w:space="0" w:color="77BAFF" w:themeColor="accent5" w:themeTint="66"/>
        <w:insideV w:val="single" w:sz="4" w:space="0" w:color="77BAFF" w:themeColor="accent5" w:themeTint="66"/>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2" w:space="0" w:color="3398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27CC"/>
    <w:pPr>
      <w:spacing w:after="0" w:line="240" w:lineRule="auto"/>
    </w:pPr>
    <w:tblPr>
      <w:tblStyleRowBandSize w:val="1"/>
      <w:tblStyleColBandSize w:val="1"/>
      <w:tblBorders>
        <w:top w:val="single" w:sz="4" w:space="0" w:color="FFDCA6" w:themeColor="accent6" w:themeTint="66"/>
        <w:left w:val="single" w:sz="4" w:space="0" w:color="FFDCA6" w:themeColor="accent6" w:themeTint="66"/>
        <w:bottom w:val="single" w:sz="4" w:space="0" w:color="FFDCA6" w:themeColor="accent6" w:themeTint="66"/>
        <w:right w:val="single" w:sz="4" w:space="0" w:color="FFDCA6" w:themeColor="accent6" w:themeTint="66"/>
        <w:insideH w:val="single" w:sz="4" w:space="0" w:color="FFDCA6" w:themeColor="accent6" w:themeTint="66"/>
        <w:insideV w:val="single" w:sz="4" w:space="0" w:color="FFDCA6" w:themeColor="accent6" w:themeTint="66"/>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2" w:space="0" w:color="FFCB7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527CC"/>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F527CC"/>
    <w:pPr>
      <w:spacing w:after="0" w:line="240" w:lineRule="auto"/>
    </w:pPr>
    <w:tblPr>
      <w:tblStyleRowBandSize w:val="1"/>
      <w:tblStyleColBandSize w:val="1"/>
      <w:tblBorders>
        <w:top w:val="single" w:sz="2" w:space="0" w:color="DDDDDF" w:themeColor="accent1" w:themeTint="99"/>
        <w:bottom w:val="single" w:sz="2" w:space="0" w:color="DDDDDF" w:themeColor="accent1" w:themeTint="99"/>
        <w:insideH w:val="single" w:sz="2" w:space="0" w:color="DDDDDF" w:themeColor="accent1" w:themeTint="99"/>
        <w:insideV w:val="single" w:sz="2" w:space="0" w:color="DDDDDF" w:themeColor="accent1" w:themeTint="99"/>
      </w:tblBorders>
    </w:tblPr>
    <w:tblStylePr w:type="firstRow">
      <w:rPr>
        <w:b/>
        <w:bCs/>
      </w:rPr>
      <w:tblPr/>
      <w:tcPr>
        <w:tcBorders>
          <w:top w:val="nil"/>
          <w:bottom w:val="single" w:sz="12" w:space="0" w:color="DDDDDF" w:themeColor="accent1" w:themeTint="99"/>
          <w:insideH w:val="nil"/>
          <w:insideV w:val="nil"/>
        </w:tcBorders>
        <w:shd w:val="clear" w:color="auto" w:fill="FFFFFF" w:themeFill="background1"/>
      </w:tcPr>
    </w:tblStylePr>
    <w:tblStylePr w:type="lastRow">
      <w:rPr>
        <w:b/>
        <w:bCs/>
      </w:rPr>
      <w:tblPr/>
      <w:tcPr>
        <w:tcBorders>
          <w:top w:val="double" w:sz="2" w:space="0" w:color="DDDD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2-Accent2">
    <w:name w:val="Grid Table 2 Accent 2"/>
    <w:basedOn w:val="TableNormal"/>
    <w:uiPriority w:val="47"/>
    <w:rsid w:val="00F527CC"/>
    <w:pPr>
      <w:spacing w:after="0" w:line="240" w:lineRule="auto"/>
    </w:pPr>
    <w:tblPr>
      <w:tblStyleRowBandSize w:val="1"/>
      <w:tblStyleColBandSize w:val="1"/>
      <w:tblBorders>
        <w:top w:val="single" w:sz="2" w:space="0" w:color="BEBFC1" w:themeColor="accent2" w:themeTint="99"/>
        <w:bottom w:val="single" w:sz="2" w:space="0" w:color="BEBFC1" w:themeColor="accent2" w:themeTint="99"/>
        <w:insideH w:val="single" w:sz="2" w:space="0" w:color="BEBFC1" w:themeColor="accent2" w:themeTint="99"/>
        <w:insideV w:val="single" w:sz="2" w:space="0" w:color="BEBFC1" w:themeColor="accent2" w:themeTint="99"/>
      </w:tblBorders>
    </w:tblPr>
    <w:tblStylePr w:type="firstRow">
      <w:rPr>
        <w:b/>
        <w:bCs/>
      </w:rPr>
      <w:tblPr/>
      <w:tcPr>
        <w:tcBorders>
          <w:top w:val="nil"/>
          <w:bottom w:val="single" w:sz="12" w:space="0" w:color="BEBFC1" w:themeColor="accent2" w:themeTint="99"/>
          <w:insideH w:val="nil"/>
          <w:insideV w:val="nil"/>
        </w:tcBorders>
        <w:shd w:val="clear" w:color="auto" w:fill="FFFFFF" w:themeFill="background1"/>
      </w:tcPr>
    </w:tblStylePr>
    <w:tblStylePr w:type="lastRow">
      <w:rPr>
        <w:b/>
        <w:bCs/>
      </w:rPr>
      <w:tblPr/>
      <w:tcPr>
        <w:tcBorders>
          <w:top w:val="double" w:sz="2" w:space="0" w:color="BEBF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2-Accent3">
    <w:name w:val="Grid Table 2 Accent 3"/>
    <w:basedOn w:val="TableNormal"/>
    <w:uiPriority w:val="47"/>
    <w:rsid w:val="00F527CC"/>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2-Accent4">
    <w:name w:val="Grid Table 2 Accent 4"/>
    <w:basedOn w:val="TableNormal"/>
    <w:uiPriority w:val="47"/>
    <w:rsid w:val="00F527CC"/>
    <w:pPr>
      <w:spacing w:after="0" w:line="240" w:lineRule="auto"/>
    </w:pPr>
    <w:tblPr>
      <w:tblStyleRowBandSize w:val="1"/>
      <w:tblStyleColBandSize w:val="1"/>
      <w:tblBorders>
        <w:top w:val="single" w:sz="2" w:space="0" w:color="E87179" w:themeColor="accent4" w:themeTint="99"/>
        <w:bottom w:val="single" w:sz="2" w:space="0" w:color="E87179" w:themeColor="accent4" w:themeTint="99"/>
        <w:insideH w:val="single" w:sz="2" w:space="0" w:color="E87179" w:themeColor="accent4" w:themeTint="99"/>
        <w:insideV w:val="single" w:sz="2" w:space="0" w:color="E87179" w:themeColor="accent4" w:themeTint="99"/>
      </w:tblBorders>
    </w:tblPr>
    <w:tblStylePr w:type="firstRow">
      <w:rPr>
        <w:b/>
        <w:bCs/>
      </w:rPr>
      <w:tblPr/>
      <w:tcPr>
        <w:tcBorders>
          <w:top w:val="nil"/>
          <w:bottom w:val="single" w:sz="12" w:space="0" w:color="E87179" w:themeColor="accent4" w:themeTint="99"/>
          <w:insideH w:val="nil"/>
          <w:insideV w:val="nil"/>
        </w:tcBorders>
        <w:shd w:val="clear" w:color="auto" w:fill="FFFFFF" w:themeFill="background1"/>
      </w:tcPr>
    </w:tblStylePr>
    <w:tblStylePr w:type="lastRow">
      <w:rPr>
        <w:b/>
        <w:bCs/>
      </w:rPr>
      <w:tblPr/>
      <w:tcPr>
        <w:tcBorders>
          <w:top w:val="double" w:sz="2" w:space="0" w:color="E871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2-Accent5">
    <w:name w:val="Grid Table 2 Accent 5"/>
    <w:basedOn w:val="TableNormal"/>
    <w:uiPriority w:val="47"/>
    <w:rsid w:val="00F527CC"/>
    <w:pPr>
      <w:spacing w:after="0" w:line="240" w:lineRule="auto"/>
    </w:pPr>
    <w:tblPr>
      <w:tblStyleRowBandSize w:val="1"/>
      <w:tblStyleColBandSize w:val="1"/>
      <w:tblBorders>
        <w:top w:val="single" w:sz="2" w:space="0" w:color="3398FF" w:themeColor="accent5" w:themeTint="99"/>
        <w:bottom w:val="single" w:sz="2" w:space="0" w:color="3398FF" w:themeColor="accent5" w:themeTint="99"/>
        <w:insideH w:val="single" w:sz="2" w:space="0" w:color="3398FF" w:themeColor="accent5" w:themeTint="99"/>
        <w:insideV w:val="single" w:sz="2" w:space="0" w:color="3398FF" w:themeColor="accent5" w:themeTint="99"/>
      </w:tblBorders>
    </w:tblPr>
    <w:tblStylePr w:type="firstRow">
      <w:rPr>
        <w:b/>
        <w:bCs/>
      </w:rPr>
      <w:tblPr/>
      <w:tcPr>
        <w:tcBorders>
          <w:top w:val="nil"/>
          <w:bottom w:val="single" w:sz="12" w:space="0" w:color="3398FF" w:themeColor="accent5" w:themeTint="99"/>
          <w:insideH w:val="nil"/>
          <w:insideV w:val="nil"/>
        </w:tcBorders>
        <w:shd w:val="clear" w:color="auto" w:fill="FFFFFF" w:themeFill="background1"/>
      </w:tcPr>
    </w:tblStylePr>
    <w:tblStylePr w:type="lastRow">
      <w:rPr>
        <w:b/>
        <w:bCs/>
      </w:rPr>
      <w:tblPr/>
      <w:tcPr>
        <w:tcBorders>
          <w:top w:val="double" w:sz="2" w:space="0" w:color="339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2-Accent6">
    <w:name w:val="Grid Table 2 Accent 6"/>
    <w:basedOn w:val="TableNormal"/>
    <w:uiPriority w:val="47"/>
    <w:rsid w:val="00F527CC"/>
    <w:pPr>
      <w:spacing w:after="0" w:line="240" w:lineRule="auto"/>
    </w:pPr>
    <w:tblPr>
      <w:tblStyleRowBandSize w:val="1"/>
      <w:tblStyleColBandSize w:val="1"/>
      <w:tblBorders>
        <w:top w:val="single" w:sz="2" w:space="0" w:color="FFCB7A" w:themeColor="accent6" w:themeTint="99"/>
        <w:bottom w:val="single" w:sz="2" w:space="0" w:color="FFCB7A" w:themeColor="accent6" w:themeTint="99"/>
        <w:insideH w:val="single" w:sz="2" w:space="0" w:color="FFCB7A" w:themeColor="accent6" w:themeTint="99"/>
        <w:insideV w:val="single" w:sz="2" w:space="0" w:color="FFCB7A" w:themeColor="accent6" w:themeTint="99"/>
      </w:tblBorders>
    </w:tblPr>
    <w:tblStylePr w:type="firstRow">
      <w:rPr>
        <w:b/>
        <w:bCs/>
      </w:rPr>
      <w:tblPr/>
      <w:tcPr>
        <w:tcBorders>
          <w:top w:val="nil"/>
          <w:bottom w:val="single" w:sz="12" w:space="0" w:color="FFCB7A" w:themeColor="accent6" w:themeTint="99"/>
          <w:insideH w:val="nil"/>
          <w:insideV w:val="nil"/>
        </w:tcBorders>
        <w:shd w:val="clear" w:color="auto" w:fill="FFFFFF" w:themeFill="background1"/>
      </w:tcPr>
    </w:tblStylePr>
    <w:tblStylePr w:type="lastRow">
      <w:rPr>
        <w:b/>
        <w:bCs/>
      </w:rPr>
      <w:tblPr/>
      <w:tcPr>
        <w:tcBorders>
          <w:top w:val="double" w:sz="2" w:space="0" w:color="FFCB7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3">
    <w:name w:val="Grid Table 3"/>
    <w:basedOn w:val="TableNormal"/>
    <w:uiPriority w:val="48"/>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3-Accent2">
    <w:name w:val="Grid Table 3 Accent 2"/>
    <w:basedOn w:val="TableNormal"/>
    <w:uiPriority w:val="48"/>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3-Accent3">
    <w:name w:val="Grid Table 3 Accent 3"/>
    <w:basedOn w:val="TableNormal"/>
    <w:uiPriority w:val="48"/>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3-Accent4">
    <w:name w:val="Grid Table 3 Accent 4"/>
    <w:basedOn w:val="TableNormal"/>
    <w:uiPriority w:val="48"/>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3-Accent5">
    <w:name w:val="Grid Table 3 Accent 5"/>
    <w:basedOn w:val="TableNormal"/>
    <w:uiPriority w:val="48"/>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3-Accent6">
    <w:name w:val="Grid Table 3 Accent 6"/>
    <w:basedOn w:val="TableNormal"/>
    <w:uiPriority w:val="48"/>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table" w:styleId="GridTable4">
    <w:name w:val="Grid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insideV w:val="nil"/>
        </w:tcBorders>
        <w:shd w:val="clear" w:color="auto" w:fill="C7C8CA" w:themeFill="accent1"/>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4-Accent2">
    <w:name w:val="Grid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insideV w:val="nil"/>
        </w:tcBorders>
        <w:shd w:val="clear" w:color="auto" w:fill="939598" w:themeFill="accent2"/>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4-Accent3">
    <w:name w:val="Grid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4-Accent4">
    <w:name w:val="Grid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insideV w:val="nil"/>
        </w:tcBorders>
        <w:shd w:val="clear" w:color="auto" w:fill="CD202C" w:themeFill="accent4"/>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4-Accent5">
    <w:name w:val="Grid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insideV w:val="nil"/>
        </w:tcBorders>
        <w:shd w:val="clear" w:color="auto" w:fill="0055AA" w:themeFill="accent5"/>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4-Accent6">
    <w:name w:val="Grid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insideV w:val="nil"/>
        </w:tcBorders>
        <w:shd w:val="clear" w:color="auto" w:fill="FFAA22" w:themeFill="accent6"/>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5Dark">
    <w:name w:val="Grid Table 5 Dark"/>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8CA" w:themeFill="accent1"/>
      </w:tcPr>
    </w:tblStylePr>
    <w:tblStylePr w:type="band1Vert">
      <w:tblPr/>
      <w:tcPr>
        <w:shd w:val="clear" w:color="auto" w:fill="E8E8E9" w:themeFill="accent1" w:themeFillTint="66"/>
      </w:tcPr>
    </w:tblStylePr>
    <w:tblStylePr w:type="band1Horz">
      <w:tblPr/>
      <w:tcPr>
        <w:shd w:val="clear" w:color="auto" w:fill="E8E8E9" w:themeFill="accent1" w:themeFillTint="66"/>
      </w:tcPr>
    </w:tblStylePr>
  </w:style>
  <w:style w:type="table" w:styleId="GridTable5Dark-Accent2">
    <w:name w:val="Grid Table 5 Dark Accent 2"/>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2"/>
      </w:tcPr>
    </w:tblStylePr>
    <w:tblStylePr w:type="band1Vert">
      <w:tblPr/>
      <w:tcPr>
        <w:shd w:val="clear" w:color="auto" w:fill="D3D4D5" w:themeFill="accent2" w:themeFillTint="66"/>
      </w:tcPr>
    </w:tblStylePr>
    <w:tblStylePr w:type="band1Horz">
      <w:tblPr/>
      <w:tcPr>
        <w:shd w:val="clear" w:color="auto" w:fill="D3D4D5" w:themeFill="accent2" w:themeFillTint="66"/>
      </w:tcPr>
    </w:tblStylePr>
  </w:style>
  <w:style w:type="table" w:styleId="GridTable5Dark-Accent3">
    <w:name w:val="Grid Table 5 Dark Accent 3"/>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GridTable5Dark-Accent4">
    <w:name w:val="Grid Table 5 Dark Accent 4"/>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F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20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20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20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202C" w:themeFill="accent4"/>
      </w:tcPr>
    </w:tblStylePr>
    <w:tblStylePr w:type="band1Vert">
      <w:tblPr/>
      <w:tcPr>
        <w:shd w:val="clear" w:color="auto" w:fill="F0A0A5" w:themeFill="accent4" w:themeFillTint="66"/>
      </w:tcPr>
    </w:tblStylePr>
    <w:tblStylePr w:type="band1Horz">
      <w:tblPr/>
      <w:tcPr>
        <w:shd w:val="clear" w:color="auto" w:fill="F0A0A5" w:themeFill="accent4" w:themeFillTint="66"/>
      </w:tcPr>
    </w:tblStylePr>
  </w:style>
  <w:style w:type="table" w:styleId="GridTable5Dark-Accent5">
    <w:name w:val="Grid Table 5 Dark Accent 5"/>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C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AA" w:themeFill="accent5"/>
      </w:tcPr>
    </w:tblStylePr>
    <w:tblStylePr w:type="band1Vert">
      <w:tblPr/>
      <w:tcPr>
        <w:shd w:val="clear" w:color="auto" w:fill="77BAFF" w:themeFill="accent5" w:themeFillTint="66"/>
      </w:tcPr>
    </w:tblStylePr>
    <w:tblStylePr w:type="band1Horz">
      <w:tblPr/>
      <w:tcPr>
        <w:shd w:val="clear" w:color="auto" w:fill="77BAFF" w:themeFill="accent5" w:themeFillTint="66"/>
      </w:tcPr>
    </w:tblStylePr>
  </w:style>
  <w:style w:type="table" w:styleId="GridTable5Dark-Accent6">
    <w:name w:val="Grid Table 5 Dark Accent 6"/>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22" w:themeFill="accent6"/>
      </w:tcPr>
    </w:tblStylePr>
    <w:tblStylePr w:type="band1Vert">
      <w:tblPr/>
      <w:tcPr>
        <w:shd w:val="clear" w:color="auto" w:fill="FFDCA6" w:themeFill="accent6" w:themeFillTint="66"/>
      </w:tcPr>
    </w:tblStylePr>
    <w:tblStylePr w:type="band1Horz">
      <w:tblPr/>
      <w:tcPr>
        <w:shd w:val="clear" w:color="auto" w:fill="FFDCA6" w:themeFill="accent6" w:themeFillTint="66"/>
      </w:tcPr>
    </w:tblStylePr>
  </w:style>
  <w:style w:type="table" w:styleId="GridTable6Colorful">
    <w:name w:val="Grid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6Colorful-Accent2">
    <w:name w:val="Grid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6Colorful-Accent3">
    <w:name w:val="Grid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6Colorful-Accent4">
    <w:name w:val="Grid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6Colorful-Accent5">
    <w:name w:val="Grid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6Colorful-Accent6">
    <w:name w:val="Grid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7Colorful">
    <w:name w:val="Grid Table 7 Colorful"/>
    <w:basedOn w:val="TableNormal"/>
    <w:uiPriority w:val="52"/>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7Colorful-Accent2">
    <w:name w:val="Grid Table 7 Colorful Accent 2"/>
    <w:basedOn w:val="TableNormal"/>
    <w:uiPriority w:val="52"/>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7Colorful-Accent3">
    <w:name w:val="Grid Table 7 Colorful Accent 3"/>
    <w:basedOn w:val="TableNormal"/>
    <w:uiPriority w:val="52"/>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7Colorful-Accent4">
    <w:name w:val="Grid Table 7 Colorful Accent 4"/>
    <w:basedOn w:val="TableNormal"/>
    <w:uiPriority w:val="52"/>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7Colorful-Accent5">
    <w:name w:val="Grid Table 7 Colorful Accent 5"/>
    <w:basedOn w:val="TableNormal"/>
    <w:uiPriority w:val="52"/>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7Colorful-Accent6">
    <w:name w:val="Grid Table 7 Colorful Accent 6"/>
    <w:basedOn w:val="TableNormal"/>
    <w:uiPriority w:val="52"/>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character" w:styleId="HTMLAcronym">
    <w:name w:val="HTML Acronym"/>
    <w:basedOn w:val="DefaultParagraphFont"/>
    <w:uiPriority w:val="99"/>
    <w:semiHidden/>
    <w:unhideWhenUsed/>
    <w:rsid w:val="00F527CC"/>
    <w:rPr>
      <w:lang w:val="en-US"/>
    </w:rPr>
  </w:style>
  <w:style w:type="paragraph" w:styleId="HTMLAddress">
    <w:name w:val="HTML Address"/>
    <w:basedOn w:val="Normal"/>
    <w:link w:val="HTMLAddressChar"/>
    <w:uiPriority w:val="99"/>
    <w:semiHidden/>
    <w:unhideWhenUsed/>
    <w:rsid w:val="00F527CC"/>
    <w:pPr>
      <w:spacing w:after="0" w:line="240" w:lineRule="auto"/>
    </w:pPr>
    <w:rPr>
      <w:i/>
      <w:iCs/>
    </w:rPr>
  </w:style>
  <w:style w:type="character" w:customStyle="1" w:styleId="HTMLAddressChar">
    <w:name w:val="HTML Address Char"/>
    <w:basedOn w:val="DefaultParagraphFont"/>
    <w:link w:val="HTMLAddress"/>
    <w:uiPriority w:val="99"/>
    <w:semiHidden/>
    <w:rsid w:val="00F527CC"/>
    <w:rPr>
      <w:i/>
      <w:iCs/>
      <w:lang w:val="en-US"/>
    </w:rPr>
  </w:style>
  <w:style w:type="character" w:styleId="HTMLCite">
    <w:name w:val="HTML Cite"/>
    <w:basedOn w:val="DefaultParagraphFont"/>
    <w:uiPriority w:val="99"/>
    <w:semiHidden/>
    <w:unhideWhenUsed/>
    <w:rsid w:val="00F527CC"/>
    <w:rPr>
      <w:i/>
      <w:iCs/>
      <w:lang w:val="en-US"/>
    </w:rPr>
  </w:style>
  <w:style w:type="character" w:styleId="HTMLCode">
    <w:name w:val="HTML Code"/>
    <w:basedOn w:val="DefaultParagraphFont"/>
    <w:uiPriority w:val="99"/>
    <w:semiHidden/>
    <w:unhideWhenUsed/>
    <w:rsid w:val="00F527CC"/>
    <w:rPr>
      <w:rFonts w:ascii="Consolas" w:hAnsi="Consolas"/>
      <w:sz w:val="20"/>
      <w:szCs w:val="20"/>
      <w:lang w:val="en-US"/>
    </w:rPr>
  </w:style>
  <w:style w:type="character" w:styleId="HTMLDefinition">
    <w:name w:val="HTML Definition"/>
    <w:basedOn w:val="DefaultParagraphFont"/>
    <w:uiPriority w:val="99"/>
    <w:semiHidden/>
    <w:unhideWhenUsed/>
    <w:rsid w:val="00F527CC"/>
    <w:rPr>
      <w:i/>
      <w:iCs/>
      <w:lang w:val="en-US"/>
    </w:rPr>
  </w:style>
  <w:style w:type="character" w:styleId="HTMLKeyboard">
    <w:name w:val="HTML Keyboard"/>
    <w:basedOn w:val="DefaultParagraphFont"/>
    <w:uiPriority w:val="99"/>
    <w:semiHidden/>
    <w:unhideWhenUsed/>
    <w:rsid w:val="00F527CC"/>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F527C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27CC"/>
    <w:rPr>
      <w:rFonts w:ascii="Consolas" w:hAnsi="Consolas"/>
      <w:sz w:val="20"/>
      <w:szCs w:val="20"/>
      <w:lang w:val="en-US"/>
    </w:rPr>
  </w:style>
  <w:style w:type="character" w:styleId="HTMLSample">
    <w:name w:val="HTML Sample"/>
    <w:basedOn w:val="DefaultParagraphFont"/>
    <w:uiPriority w:val="99"/>
    <w:semiHidden/>
    <w:unhideWhenUsed/>
    <w:rsid w:val="00F527CC"/>
    <w:rPr>
      <w:rFonts w:ascii="Consolas" w:hAnsi="Consolas"/>
      <w:sz w:val="24"/>
      <w:szCs w:val="24"/>
      <w:lang w:val="en-US"/>
    </w:rPr>
  </w:style>
  <w:style w:type="character" w:styleId="HTMLTypewriter">
    <w:name w:val="HTML Typewriter"/>
    <w:basedOn w:val="DefaultParagraphFont"/>
    <w:uiPriority w:val="99"/>
    <w:semiHidden/>
    <w:unhideWhenUsed/>
    <w:rsid w:val="00F527CC"/>
    <w:rPr>
      <w:rFonts w:ascii="Consolas" w:hAnsi="Consolas"/>
      <w:sz w:val="20"/>
      <w:szCs w:val="20"/>
      <w:lang w:val="en-US"/>
    </w:rPr>
  </w:style>
  <w:style w:type="character" w:styleId="HTMLVariable">
    <w:name w:val="HTML Variable"/>
    <w:basedOn w:val="DefaultParagraphFont"/>
    <w:uiPriority w:val="99"/>
    <w:semiHidden/>
    <w:unhideWhenUsed/>
    <w:rsid w:val="00F527CC"/>
    <w:rPr>
      <w:i/>
      <w:iCs/>
      <w:lang w:val="en-US"/>
    </w:rPr>
  </w:style>
  <w:style w:type="paragraph" w:styleId="Index1">
    <w:name w:val="index 1"/>
    <w:basedOn w:val="Normal"/>
    <w:next w:val="Normal"/>
    <w:autoRedefine/>
    <w:uiPriority w:val="99"/>
    <w:semiHidden/>
    <w:unhideWhenUsed/>
    <w:rsid w:val="00F527CC"/>
    <w:pPr>
      <w:spacing w:after="0" w:line="240" w:lineRule="auto"/>
      <w:ind w:left="220" w:hanging="220"/>
    </w:pPr>
  </w:style>
  <w:style w:type="paragraph" w:styleId="Index2">
    <w:name w:val="index 2"/>
    <w:basedOn w:val="Normal"/>
    <w:next w:val="Normal"/>
    <w:autoRedefine/>
    <w:uiPriority w:val="99"/>
    <w:semiHidden/>
    <w:unhideWhenUsed/>
    <w:rsid w:val="00F527CC"/>
    <w:pPr>
      <w:spacing w:after="0" w:line="240" w:lineRule="auto"/>
      <w:ind w:left="440" w:hanging="220"/>
    </w:pPr>
  </w:style>
  <w:style w:type="paragraph" w:styleId="Index3">
    <w:name w:val="index 3"/>
    <w:basedOn w:val="Normal"/>
    <w:next w:val="Normal"/>
    <w:autoRedefine/>
    <w:uiPriority w:val="99"/>
    <w:semiHidden/>
    <w:unhideWhenUsed/>
    <w:rsid w:val="00F527CC"/>
    <w:pPr>
      <w:spacing w:after="0" w:line="240" w:lineRule="auto"/>
      <w:ind w:left="660" w:hanging="220"/>
    </w:pPr>
  </w:style>
  <w:style w:type="paragraph" w:styleId="Index4">
    <w:name w:val="index 4"/>
    <w:basedOn w:val="Normal"/>
    <w:next w:val="Normal"/>
    <w:autoRedefine/>
    <w:uiPriority w:val="99"/>
    <w:semiHidden/>
    <w:unhideWhenUsed/>
    <w:rsid w:val="00F527CC"/>
    <w:pPr>
      <w:spacing w:after="0" w:line="240" w:lineRule="auto"/>
      <w:ind w:left="880" w:hanging="220"/>
    </w:pPr>
  </w:style>
  <w:style w:type="paragraph" w:styleId="Index5">
    <w:name w:val="index 5"/>
    <w:basedOn w:val="Normal"/>
    <w:next w:val="Normal"/>
    <w:autoRedefine/>
    <w:uiPriority w:val="99"/>
    <w:semiHidden/>
    <w:unhideWhenUsed/>
    <w:rsid w:val="00F527CC"/>
    <w:pPr>
      <w:spacing w:after="0" w:line="240" w:lineRule="auto"/>
      <w:ind w:left="1100" w:hanging="220"/>
    </w:pPr>
  </w:style>
  <w:style w:type="paragraph" w:styleId="Index6">
    <w:name w:val="index 6"/>
    <w:basedOn w:val="Normal"/>
    <w:next w:val="Normal"/>
    <w:autoRedefine/>
    <w:uiPriority w:val="99"/>
    <w:semiHidden/>
    <w:unhideWhenUsed/>
    <w:rsid w:val="00F527CC"/>
    <w:pPr>
      <w:spacing w:after="0" w:line="240" w:lineRule="auto"/>
      <w:ind w:left="1320" w:hanging="220"/>
    </w:pPr>
  </w:style>
  <w:style w:type="paragraph" w:styleId="Index7">
    <w:name w:val="index 7"/>
    <w:basedOn w:val="Normal"/>
    <w:next w:val="Normal"/>
    <w:autoRedefine/>
    <w:uiPriority w:val="99"/>
    <w:semiHidden/>
    <w:unhideWhenUsed/>
    <w:rsid w:val="00F527CC"/>
    <w:pPr>
      <w:spacing w:after="0" w:line="240" w:lineRule="auto"/>
      <w:ind w:left="1540" w:hanging="220"/>
    </w:pPr>
  </w:style>
  <w:style w:type="paragraph" w:styleId="Index8">
    <w:name w:val="index 8"/>
    <w:basedOn w:val="Normal"/>
    <w:next w:val="Normal"/>
    <w:autoRedefine/>
    <w:uiPriority w:val="99"/>
    <w:semiHidden/>
    <w:unhideWhenUsed/>
    <w:rsid w:val="00F527CC"/>
    <w:pPr>
      <w:spacing w:after="0" w:line="240" w:lineRule="auto"/>
      <w:ind w:left="1760" w:hanging="220"/>
    </w:pPr>
  </w:style>
  <w:style w:type="paragraph" w:styleId="Index9">
    <w:name w:val="index 9"/>
    <w:basedOn w:val="Normal"/>
    <w:next w:val="Normal"/>
    <w:autoRedefine/>
    <w:uiPriority w:val="99"/>
    <w:semiHidden/>
    <w:unhideWhenUsed/>
    <w:rsid w:val="00F527CC"/>
    <w:pPr>
      <w:spacing w:after="0" w:line="240" w:lineRule="auto"/>
      <w:ind w:left="1980" w:hanging="220"/>
    </w:pPr>
  </w:style>
  <w:style w:type="paragraph" w:styleId="IndexHeading">
    <w:name w:val="index heading"/>
    <w:basedOn w:val="Normal"/>
    <w:next w:val="Index1"/>
    <w:uiPriority w:val="99"/>
    <w:semiHidden/>
    <w:unhideWhenUsed/>
    <w:rsid w:val="00F527CC"/>
    <w:rPr>
      <w:rFonts w:eastAsiaTheme="majorEastAsia" w:cs="Arial"/>
      <w:b/>
      <w:bCs/>
    </w:rPr>
  </w:style>
  <w:style w:type="character" w:styleId="IntenseEmphasis">
    <w:name w:val="Intense Emphasis"/>
    <w:basedOn w:val="DefaultParagraphFont"/>
    <w:uiPriority w:val="21"/>
    <w:qFormat/>
    <w:rsid w:val="00F527CC"/>
    <w:rPr>
      <w:i/>
      <w:iCs/>
      <w:color w:val="C7C8CA" w:themeColor="accent1"/>
      <w:lang w:val="en-US"/>
    </w:rPr>
  </w:style>
  <w:style w:type="paragraph" w:styleId="IntenseQuote">
    <w:name w:val="Intense Quote"/>
    <w:basedOn w:val="Normal"/>
    <w:next w:val="Normal"/>
    <w:link w:val="IntenseQuoteChar"/>
    <w:uiPriority w:val="30"/>
    <w:qFormat/>
    <w:rsid w:val="00F527CC"/>
    <w:pPr>
      <w:pBdr>
        <w:top w:val="single" w:sz="4" w:space="10" w:color="C7C8CA" w:themeColor="accent1"/>
        <w:bottom w:val="single" w:sz="4" w:space="10" w:color="C7C8CA" w:themeColor="accent1"/>
      </w:pBdr>
      <w:spacing w:before="360" w:after="360"/>
      <w:ind w:left="864" w:right="864"/>
      <w:jc w:val="center"/>
    </w:pPr>
    <w:rPr>
      <w:i/>
      <w:iCs/>
      <w:color w:val="C7C8CA" w:themeColor="accent1"/>
    </w:rPr>
  </w:style>
  <w:style w:type="character" w:customStyle="1" w:styleId="IntenseQuoteChar">
    <w:name w:val="Intense Quote Char"/>
    <w:basedOn w:val="DefaultParagraphFont"/>
    <w:link w:val="IntenseQuote"/>
    <w:uiPriority w:val="30"/>
    <w:rsid w:val="00F527CC"/>
    <w:rPr>
      <w:i/>
      <w:iCs/>
      <w:color w:val="C7C8CA" w:themeColor="accent1"/>
      <w:lang w:val="en-US"/>
    </w:rPr>
  </w:style>
  <w:style w:type="character" w:styleId="IntenseReference">
    <w:name w:val="Intense Reference"/>
    <w:basedOn w:val="DefaultParagraphFont"/>
    <w:uiPriority w:val="32"/>
    <w:qFormat/>
    <w:rsid w:val="00F527CC"/>
    <w:rPr>
      <w:b/>
      <w:bCs/>
      <w:smallCaps/>
      <w:color w:val="C7C8CA" w:themeColor="accent1"/>
      <w:spacing w:val="5"/>
      <w:lang w:val="en-US"/>
    </w:rPr>
  </w:style>
  <w:style w:type="table" w:styleId="LightGrid">
    <w:name w:val="Light Grid"/>
    <w:basedOn w:val="TableNormal"/>
    <w:uiPriority w:val="62"/>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18" w:space="0" w:color="C7C8CA" w:themeColor="accent1"/>
          <w:right w:val="single" w:sz="8" w:space="0" w:color="C7C8CA" w:themeColor="accent1"/>
          <w:insideH w:val="nil"/>
          <w:insideV w:val="single" w:sz="8" w:space="0" w:color="C7C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insideH w:val="nil"/>
          <w:insideV w:val="single" w:sz="8" w:space="0" w:color="C7C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shd w:val="clear" w:color="auto" w:fill="F1F1F2" w:themeFill="accent1" w:themeFillTint="3F"/>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shd w:val="clear" w:color="auto" w:fill="F1F1F2" w:themeFill="accent1" w:themeFillTint="3F"/>
      </w:tcPr>
    </w:tblStylePr>
    <w:tblStylePr w:type="band2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tcPr>
    </w:tblStylePr>
  </w:style>
  <w:style w:type="table" w:styleId="LightGrid-Accent2">
    <w:name w:val="Light Grid Accent 2"/>
    <w:basedOn w:val="TableNormal"/>
    <w:uiPriority w:val="62"/>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18" w:space="0" w:color="939598" w:themeColor="accent2"/>
          <w:right w:val="single" w:sz="8" w:space="0" w:color="939598" w:themeColor="accent2"/>
          <w:insideH w:val="nil"/>
          <w:insideV w:val="single" w:sz="8" w:space="0" w:color="9395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insideH w:val="nil"/>
          <w:insideV w:val="single" w:sz="8" w:space="0" w:color="9395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shd w:val="clear" w:color="auto" w:fill="E4E4E5" w:themeFill="accent2" w:themeFillTint="3F"/>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shd w:val="clear" w:color="auto" w:fill="E4E4E5" w:themeFill="accent2" w:themeFillTint="3F"/>
      </w:tcPr>
    </w:tblStylePr>
    <w:tblStylePr w:type="band2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tcPr>
    </w:tblStylePr>
  </w:style>
  <w:style w:type="table" w:styleId="LightGrid-Accent3">
    <w:name w:val="Light Grid Accent 3"/>
    <w:basedOn w:val="TableNormal"/>
    <w:uiPriority w:val="62"/>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LightGrid-Accent4">
    <w:name w:val="Light Grid Accent 4"/>
    <w:basedOn w:val="TableNormal"/>
    <w:uiPriority w:val="62"/>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18" w:space="0" w:color="CD202C" w:themeColor="accent4"/>
          <w:right w:val="single" w:sz="8" w:space="0" w:color="CD202C" w:themeColor="accent4"/>
          <w:insideH w:val="nil"/>
          <w:insideV w:val="single" w:sz="8" w:space="0" w:color="CD20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insideH w:val="nil"/>
          <w:insideV w:val="single" w:sz="8" w:space="0" w:color="CD20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shd w:val="clear" w:color="auto" w:fill="F6C4C7" w:themeFill="accent4" w:themeFillTint="3F"/>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shd w:val="clear" w:color="auto" w:fill="F6C4C7" w:themeFill="accent4" w:themeFillTint="3F"/>
      </w:tcPr>
    </w:tblStylePr>
    <w:tblStylePr w:type="band2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tcPr>
    </w:tblStylePr>
  </w:style>
  <w:style w:type="table" w:styleId="LightGrid-Accent5">
    <w:name w:val="Light Grid Accent 5"/>
    <w:basedOn w:val="TableNormal"/>
    <w:uiPriority w:val="62"/>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18" w:space="0" w:color="0055AA" w:themeColor="accent5"/>
          <w:right w:val="single" w:sz="8" w:space="0" w:color="0055AA" w:themeColor="accent5"/>
          <w:insideH w:val="nil"/>
          <w:insideV w:val="single" w:sz="8" w:space="0" w:color="0055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insideH w:val="nil"/>
          <w:insideV w:val="single" w:sz="8" w:space="0" w:color="0055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shd w:val="clear" w:color="auto" w:fill="ABD4FF" w:themeFill="accent5" w:themeFillTint="3F"/>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shd w:val="clear" w:color="auto" w:fill="ABD4FF" w:themeFill="accent5" w:themeFillTint="3F"/>
      </w:tcPr>
    </w:tblStylePr>
    <w:tblStylePr w:type="band2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tcPr>
    </w:tblStylePr>
  </w:style>
  <w:style w:type="table" w:styleId="LightGrid-Accent6">
    <w:name w:val="Light Grid Accent 6"/>
    <w:basedOn w:val="TableNormal"/>
    <w:uiPriority w:val="62"/>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18" w:space="0" w:color="FFAA22" w:themeColor="accent6"/>
          <w:right w:val="single" w:sz="8" w:space="0" w:color="FFAA22" w:themeColor="accent6"/>
          <w:insideH w:val="nil"/>
          <w:insideV w:val="single" w:sz="8" w:space="0" w:color="FFAA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insideH w:val="nil"/>
          <w:insideV w:val="single" w:sz="8" w:space="0" w:color="FFAA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shd w:val="clear" w:color="auto" w:fill="FFE9C8" w:themeFill="accent6" w:themeFillTint="3F"/>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shd w:val="clear" w:color="auto" w:fill="FFE9C8" w:themeFill="accent6" w:themeFillTint="3F"/>
      </w:tcPr>
    </w:tblStylePr>
    <w:tblStylePr w:type="band2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tcPr>
    </w:tblStylePr>
  </w:style>
  <w:style w:type="table" w:styleId="LightList">
    <w:name w:val="Light List"/>
    <w:basedOn w:val="TableNormal"/>
    <w:uiPriority w:val="61"/>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pPr>
        <w:spacing w:before="0" w:after="0" w:line="240" w:lineRule="auto"/>
      </w:pPr>
      <w:rPr>
        <w:b/>
        <w:bCs/>
        <w:color w:val="FFFFFF" w:themeColor="background1"/>
      </w:rPr>
      <w:tblPr/>
      <w:tcPr>
        <w:shd w:val="clear" w:color="auto" w:fill="C7C8CA" w:themeFill="accent1"/>
      </w:tcPr>
    </w:tblStylePr>
    <w:tblStylePr w:type="lastRow">
      <w:pPr>
        <w:spacing w:before="0" w:after="0" w:line="240" w:lineRule="auto"/>
      </w:pPr>
      <w:rPr>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tcBorders>
      </w:tcPr>
    </w:tblStylePr>
    <w:tblStylePr w:type="firstCol">
      <w:rPr>
        <w:b/>
        <w:bCs/>
      </w:rPr>
    </w:tblStylePr>
    <w:tblStylePr w:type="lastCol">
      <w:rPr>
        <w:b/>
        <w:bCs/>
      </w:r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style>
  <w:style w:type="table" w:styleId="LightList-Accent2">
    <w:name w:val="Light List Accent 2"/>
    <w:basedOn w:val="TableNormal"/>
    <w:uiPriority w:val="61"/>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pPr>
        <w:spacing w:before="0" w:after="0" w:line="240" w:lineRule="auto"/>
      </w:pPr>
      <w:rPr>
        <w:b/>
        <w:bCs/>
        <w:color w:val="FFFFFF" w:themeColor="background1"/>
      </w:rPr>
      <w:tblPr/>
      <w:tcPr>
        <w:shd w:val="clear" w:color="auto" w:fill="939598" w:themeFill="accent2"/>
      </w:tcPr>
    </w:tblStylePr>
    <w:tblStylePr w:type="lastRow">
      <w:pPr>
        <w:spacing w:before="0" w:after="0" w:line="240" w:lineRule="auto"/>
      </w:pPr>
      <w:rPr>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tcBorders>
      </w:tcPr>
    </w:tblStylePr>
    <w:tblStylePr w:type="firstCol">
      <w:rPr>
        <w:b/>
        <w:bCs/>
      </w:rPr>
    </w:tblStylePr>
    <w:tblStylePr w:type="lastCol">
      <w:rPr>
        <w:b/>
        <w:bCs/>
      </w:r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style>
  <w:style w:type="table" w:styleId="LightList-Accent3">
    <w:name w:val="Light List Accent 3"/>
    <w:basedOn w:val="TableNormal"/>
    <w:uiPriority w:val="61"/>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ghtList-Accent4">
    <w:name w:val="Light List Accent 4"/>
    <w:basedOn w:val="TableNormal"/>
    <w:uiPriority w:val="61"/>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pPr>
        <w:spacing w:before="0" w:after="0" w:line="240" w:lineRule="auto"/>
      </w:pPr>
      <w:rPr>
        <w:b/>
        <w:bCs/>
        <w:color w:val="FFFFFF" w:themeColor="background1"/>
      </w:rPr>
      <w:tblPr/>
      <w:tcPr>
        <w:shd w:val="clear" w:color="auto" w:fill="CD202C" w:themeFill="accent4"/>
      </w:tcPr>
    </w:tblStylePr>
    <w:tblStylePr w:type="lastRow">
      <w:pPr>
        <w:spacing w:before="0" w:after="0" w:line="240" w:lineRule="auto"/>
      </w:pPr>
      <w:rPr>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tcBorders>
      </w:tcPr>
    </w:tblStylePr>
    <w:tblStylePr w:type="firstCol">
      <w:rPr>
        <w:b/>
        <w:bCs/>
      </w:rPr>
    </w:tblStylePr>
    <w:tblStylePr w:type="lastCol">
      <w:rPr>
        <w:b/>
        <w:bCs/>
      </w:r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style>
  <w:style w:type="table" w:styleId="LightList-Accent5">
    <w:name w:val="Light List Accent 5"/>
    <w:basedOn w:val="TableNormal"/>
    <w:uiPriority w:val="61"/>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pPr>
        <w:spacing w:before="0" w:after="0" w:line="240" w:lineRule="auto"/>
      </w:pPr>
      <w:rPr>
        <w:b/>
        <w:bCs/>
        <w:color w:val="FFFFFF" w:themeColor="background1"/>
      </w:rPr>
      <w:tblPr/>
      <w:tcPr>
        <w:shd w:val="clear" w:color="auto" w:fill="0055AA" w:themeFill="accent5"/>
      </w:tcPr>
    </w:tblStylePr>
    <w:tblStylePr w:type="lastRow">
      <w:pPr>
        <w:spacing w:before="0" w:after="0" w:line="240" w:lineRule="auto"/>
      </w:pPr>
      <w:rPr>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tcBorders>
      </w:tcPr>
    </w:tblStylePr>
    <w:tblStylePr w:type="firstCol">
      <w:rPr>
        <w:b/>
        <w:bCs/>
      </w:rPr>
    </w:tblStylePr>
    <w:tblStylePr w:type="lastCol">
      <w:rPr>
        <w:b/>
        <w:bCs/>
      </w:r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style>
  <w:style w:type="table" w:styleId="LightList-Accent6">
    <w:name w:val="Light List Accent 6"/>
    <w:basedOn w:val="TableNormal"/>
    <w:uiPriority w:val="61"/>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pPr>
        <w:spacing w:before="0" w:after="0" w:line="240" w:lineRule="auto"/>
      </w:pPr>
      <w:rPr>
        <w:b/>
        <w:bCs/>
        <w:color w:val="FFFFFF" w:themeColor="background1"/>
      </w:rPr>
      <w:tblPr/>
      <w:tcPr>
        <w:shd w:val="clear" w:color="auto" w:fill="FFAA22" w:themeFill="accent6"/>
      </w:tcPr>
    </w:tblStylePr>
    <w:tblStylePr w:type="lastRow">
      <w:pPr>
        <w:spacing w:before="0" w:after="0" w:line="240" w:lineRule="auto"/>
      </w:pPr>
      <w:rPr>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tcBorders>
      </w:tcPr>
    </w:tblStylePr>
    <w:tblStylePr w:type="firstCol">
      <w:rPr>
        <w:b/>
        <w:bCs/>
      </w:rPr>
    </w:tblStylePr>
    <w:tblStylePr w:type="lastCol">
      <w:rPr>
        <w:b/>
        <w:bCs/>
      </w:r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style>
  <w:style w:type="table" w:styleId="LightShading">
    <w:name w:val="Light Shading"/>
    <w:basedOn w:val="TableNormal"/>
    <w:uiPriority w:val="60"/>
    <w:semiHidden/>
    <w:unhideWhenUsed/>
    <w:rsid w:val="00F527CC"/>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F527CC"/>
    <w:pPr>
      <w:spacing w:after="0" w:line="240" w:lineRule="auto"/>
    </w:pPr>
    <w:rPr>
      <w:color w:val="939599" w:themeColor="accent1" w:themeShade="BF"/>
    </w:rPr>
    <w:tblPr>
      <w:tblStyleRowBandSize w:val="1"/>
      <w:tblStyleColBandSize w:val="1"/>
      <w:tblBorders>
        <w:top w:val="single" w:sz="8" w:space="0" w:color="C7C8CA" w:themeColor="accent1"/>
        <w:bottom w:val="single" w:sz="8" w:space="0" w:color="C7C8CA" w:themeColor="accent1"/>
      </w:tblBorders>
    </w:tblPr>
    <w:tblStylePr w:type="fir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la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left w:val="nil"/>
          <w:right w:val="nil"/>
          <w:insideH w:val="nil"/>
          <w:insideV w:val="nil"/>
        </w:tcBorders>
        <w:shd w:val="clear" w:color="auto" w:fill="F1F1F2" w:themeFill="accent1" w:themeFillTint="3F"/>
      </w:tcPr>
    </w:tblStylePr>
  </w:style>
  <w:style w:type="table" w:styleId="LightShading-Accent2">
    <w:name w:val="Light Shading Accent 2"/>
    <w:basedOn w:val="TableNormal"/>
    <w:uiPriority w:val="60"/>
    <w:semiHidden/>
    <w:unhideWhenUsed/>
    <w:rsid w:val="00F527CC"/>
    <w:pPr>
      <w:spacing w:after="0" w:line="240" w:lineRule="auto"/>
    </w:pPr>
    <w:rPr>
      <w:color w:val="6D6F72" w:themeColor="accent2" w:themeShade="BF"/>
    </w:rPr>
    <w:tblPr>
      <w:tblStyleRowBandSize w:val="1"/>
      <w:tblStyleColBandSize w:val="1"/>
      <w:tblBorders>
        <w:top w:val="single" w:sz="8" w:space="0" w:color="939598" w:themeColor="accent2"/>
        <w:bottom w:val="single" w:sz="8" w:space="0" w:color="939598" w:themeColor="accent2"/>
      </w:tblBorders>
    </w:tblPr>
    <w:tblStylePr w:type="fir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la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left w:val="nil"/>
          <w:right w:val="nil"/>
          <w:insideH w:val="nil"/>
          <w:insideV w:val="nil"/>
        </w:tcBorders>
        <w:shd w:val="clear" w:color="auto" w:fill="E4E4E5" w:themeFill="accent2" w:themeFillTint="3F"/>
      </w:tcPr>
    </w:tblStylePr>
  </w:style>
  <w:style w:type="table" w:styleId="LightShading-Accent3">
    <w:name w:val="Light Shading Accent 3"/>
    <w:basedOn w:val="TableNormal"/>
    <w:uiPriority w:val="60"/>
    <w:semiHidden/>
    <w:unhideWhenUsed/>
    <w:rsid w:val="00F527CC"/>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LightShading-Accent4">
    <w:name w:val="Light Shading Accent 4"/>
    <w:basedOn w:val="TableNormal"/>
    <w:uiPriority w:val="60"/>
    <w:semiHidden/>
    <w:unhideWhenUsed/>
    <w:rsid w:val="00F527CC"/>
    <w:pPr>
      <w:spacing w:after="0" w:line="240" w:lineRule="auto"/>
    </w:pPr>
    <w:rPr>
      <w:color w:val="991820" w:themeColor="accent4" w:themeShade="BF"/>
    </w:rPr>
    <w:tblPr>
      <w:tblStyleRowBandSize w:val="1"/>
      <w:tblStyleColBandSize w:val="1"/>
      <w:tblBorders>
        <w:top w:val="single" w:sz="8" w:space="0" w:color="CD202C" w:themeColor="accent4"/>
        <w:bottom w:val="single" w:sz="8" w:space="0" w:color="CD202C" w:themeColor="accent4"/>
      </w:tblBorders>
    </w:tblPr>
    <w:tblStylePr w:type="fir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la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left w:val="nil"/>
          <w:right w:val="nil"/>
          <w:insideH w:val="nil"/>
          <w:insideV w:val="nil"/>
        </w:tcBorders>
        <w:shd w:val="clear" w:color="auto" w:fill="F6C4C7" w:themeFill="accent4" w:themeFillTint="3F"/>
      </w:tcPr>
    </w:tblStylePr>
  </w:style>
  <w:style w:type="table" w:styleId="LightShading-Accent5">
    <w:name w:val="Light Shading Accent 5"/>
    <w:basedOn w:val="TableNormal"/>
    <w:uiPriority w:val="60"/>
    <w:semiHidden/>
    <w:unhideWhenUsed/>
    <w:rsid w:val="00F527CC"/>
    <w:pPr>
      <w:spacing w:after="0" w:line="240" w:lineRule="auto"/>
    </w:pPr>
    <w:rPr>
      <w:color w:val="003F7F" w:themeColor="accent5" w:themeShade="BF"/>
    </w:rPr>
    <w:tblPr>
      <w:tblStyleRowBandSize w:val="1"/>
      <w:tblStyleColBandSize w:val="1"/>
      <w:tblBorders>
        <w:top w:val="single" w:sz="8" w:space="0" w:color="0055AA" w:themeColor="accent5"/>
        <w:bottom w:val="single" w:sz="8" w:space="0" w:color="0055AA" w:themeColor="accent5"/>
      </w:tblBorders>
    </w:tblPr>
    <w:tblStylePr w:type="fir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la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left w:val="nil"/>
          <w:right w:val="nil"/>
          <w:insideH w:val="nil"/>
          <w:insideV w:val="nil"/>
        </w:tcBorders>
        <w:shd w:val="clear" w:color="auto" w:fill="ABD4FF" w:themeFill="accent5" w:themeFillTint="3F"/>
      </w:tcPr>
    </w:tblStylePr>
  </w:style>
  <w:style w:type="table" w:styleId="LightShading-Accent6">
    <w:name w:val="Light Shading Accent 6"/>
    <w:basedOn w:val="TableNormal"/>
    <w:uiPriority w:val="60"/>
    <w:semiHidden/>
    <w:unhideWhenUsed/>
    <w:rsid w:val="00F527CC"/>
    <w:pPr>
      <w:spacing w:after="0" w:line="240" w:lineRule="auto"/>
    </w:pPr>
    <w:rPr>
      <w:color w:val="D88400" w:themeColor="accent6" w:themeShade="BF"/>
    </w:rPr>
    <w:tblPr>
      <w:tblStyleRowBandSize w:val="1"/>
      <w:tblStyleColBandSize w:val="1"/>
      <w:tblBorders>
        <w:top w:val="single" w:sz="8" w:space="0" w:color="FFAA22" w:themeColor="accent6"/>
        <w:bottom w:val="single" w:sz="8" w:space="0" w:color="FFAA22" w:themeColor="accent6"/>
      </w:tblBorders>
    </w:tblPr>
    <w:tblStylePr w:type="fir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la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left w:val="nil"/>
          <w:right w:val="nil"/>
          <w:insideH w:val="nil"/>
          <w:insideV w:val="nil"/>
        </w:tcBorders>
        <w:shd w:val="clear" w:color="auto" w:fill="FFE9C8" w:themeFill="accent6" w:themeFillTint="3F"/>
      </w:tcPr>
    </w:tblStylePr>
  </w:style>
  <w:style w:type="character" w:styleId="LineNumber">
    <w:name w:val="line number"/>
    <w:basedOn w:val="DefaultParagraphFont"/>
    <w:uiPriority w:val="99"/>
    <w:semiHidden/>
    <w:unhideWhenUsed/>
    <w:rsid w:val="00F527CC"/>
    <w:rPr>
      <w:lang w:val="en-US"/>
    </w:rPr>
  </w:style>
  <w:style w:type="paragraph" w:styleId="List">
    <w:name w:val="List"/>
    <w:basedOn w:val="Normal"/>
    <w:uiPriority w:val="99"/>
    <w:semiHidden/>
    <w:unhideWhenUsed/>
    <w:rsid w:val="00F527CC"/>
    <w:pPr>
      <w:ind w:left="283" w:hanging="283"/>
      <w:contextualSpacing/>
    </w:pPr>
  </w:style>
  <w:style w:type="paragraph" w:styleId="List2">
    <w:name w:val="List 2"/>
    <w:basedOn w:val="Normal"/>
    <w:uiPriority w:val="99"/>
    <w:semiHidden/>
    <w:unhideWhenUsed/>
    <w:rsid w:val="00F527CC"/>
    <w:pPr>
      <w:ind w:left="566" w:hanging="283"/>
      <w:contextualSpacing/>
    </w:pPr>
  </w:style>
  <w:style w:type="paragraph" w:styleId="List3">
    <w:name w:val="List 3"/>
    <w:basedOn w:val="Normal"/>
    <w:uiPriority w:val="99"/>
    <w:semiHidden/>
    <w:unhideWhenUsed/>
    <w:rsid w:val="00F527CC"/>
    <w:pPr>
      <w:ind w:left="849" w:hanging="283"/>
      <w:contextualSpacing/>
    </w:pPr>
  </w:style>
  <w:style w:type="paragraph" w:styleId="List4">
    <w:name w:val="List 4"/>
    <w:basedOn w:val="Normal"/>
    <w:uiPriority w:val="99"/>
    <w:semiHidden/>
    <w:unhideWhenUsed/>
    <w:rsid w:val="00F527CC"/>
    <w:pPr>
      <w:ind w:left="1132" w:hanging="283"/>
      <w:contextualSpacing/>
    </w:pPr>
  </w:style>
  <w:style w:type="paragraph" w:styleId="List5">
    <w:name w:val="List 5"/>
    <w:basedOn w:val="Normal"/>
    <w:uiPriority w:val="99"/>
    <w:semiHidden/>
    <w:unhideWhenUsed/>
    <w:rsid w:val="00F527CC"/>
    <w:pPr>
      <w:ind w:left="1415" w:hanging="283"/>
      <w:contextualSpacing/>
    </w:pPr>
  </w:style>
  <w:style w:type="paragraph" w:styleId="ListBullet">
    <w:name w:val="List Bullet"/>
    <w:basedOn w:val="Normal"/>
    <w:uiPriority w:val="99"/>
    <w:semiHidden/>
    <w:unhideWhenUsed/>
    <w:rsid w:val="00F527CC"/>
    <w:pPr>
      <w:numPr>
        <w:numId w:val="1"/>
      </w:numPr>
      <w:contextualSpacing/>
    </w:pPr>
  </w:style>
  <w:style w:type="paragraph" w:styleId="ListBullet2">
    <w:name w:val="List Bullet 2"/>
    <w:basedOn w:val="Normal"/>
    <w:uiPriority w:val="99"/>
    <w:semiHidden/>
    <w:unhideWhenUsed/>
    <w:rsid w:val="00F527CC"/>
    <w:pPr>
      <w:numPr>
        <w:numId w:val="2"/>
      </w:numPr>
      <w:contextualSpacing/>
    </w:pPr>
  </w:style>
  <w:style w:type="paragraph" w:styleId="ListBullet3">
    <w:name w:val="List Bullet 3"/>
    <w:basedOn w:val="Normal"/>
    <w:uiPriority w:val="99"/>
    <w:semiHidden/>
    <w:unhideWhenUsed/>
    <w:rsid w:val="00F527CC"/>
    <w:pPr>
      <w:numPr>
        <w:numId w:val="3"/>
      </w:numPr>
      <w:contextualSpacing/>
    </w:pPr>
  </w:style>
  <w:style w:type="paragraph" w:styleId="ListBullet4">
    <w:name w:val="List Bullet 4"/>
    <w:basedOn w:val="Normal"/>
    <w:uiPriority w:val="99"/>
    <w:semiHidden/>
    <w:unhideWhenUsed/>
    <w:rsid w:val="00F527CC"/>
    <w:pPr>
      <w:numPr>
        <w:numId w:val="4"/>
      </w:numPr>
      <w:contextualSpacing/>
    </w:pPr>
  </w:style>
  <w:style w:type="paragraph" w:styleId="ListBullet5">
    <w:name w:val="List Bullet 5"/>
    <w:basedOn w:val="Normal"/>
    <w:uiPriority w:val="99"/>
    <w:semiHidden/>
    <w:unhideWhenUsed/>
    <w:rsid w:val="00F527CC"/>
    <w:pPr>
      <w:numPr>
        <w:numId w:val="5"/>
      </w:numPr>
      <w:contextualSpacing/>
    </w:pPr>
  </w:style>
  <w:style w:type="paragraph" w:styleId="ListContinue">
    <w:name w:val="List Continue"/>
    <w:basedOn w:val="Normal"/>
    <w:uiPriority w:val="99"/>
    <w:semiHidden/>
    <w:unhideWhenUsed/>
    <w:rsid w:val="00F527CC"/>
    <w:pPr>
      <w:ind w:left="283"/>
      <w:contextualSpacing/>
    </w:pPr>
  </w:style>
  <w:style w:type="paragraph" w:styleId="ListContinue2">
    <w:name w:val="List Continue 2"/>
    <w:basedOn w:val="Normal"/>
    <w:uiPriority w:val="99"/>
    <w:semiHidden/>
    <w:unhideWhenUsed/>
    <w:rsid w:val="00F527CC"/>
    <w:pPr>
      <w:ind w:left="566"/>
      <w:contextualSpacing/>
    </w:pPr>
  </w:style>
  <w:style w:type="paragraph" w:styleId="ListContinue3">
    <w:name w:val="List Continue 3"/>
    <w:basedOn w:val="Normal"/>
    <w:uiPriority w:val="99"/>
    <w:semiHidden/>
    <w:unhideWhenUsed/>
    <w:rsid w:val="00F527CC"/>
    <w:pPr>
      <w:ind w:left="849"/>
      <w:contextualSpacing/>
    </w:pPr>
  </w:style>
  <w:style w:type="paragraph" w:styleId="ListContinue4">
    <w:name w:val="List Continue 4"/>
    <w:basedOn w:val="Normal"/>
    <w:uiPriority w:val="99"/>
    <w:semiHidden/>
    <w:unhideWhenUsed/>
    <w:rsid w:val="00F527CC"/>
    <w:pPr>
      <w:ind w:left="1132"/>
      <w:contextualSpacing/>
    </w:pPr>
  </w:style>
  <w:style w:type="paragraph" w:styleId="ListContinue5">
    <w:name w:val="List Continue 5"/>
    <w:basedOn w:val="Normal"/>
    <w:uiPriority w:val="99"/>
    <w:semiHidden/>
    <w:unhideWhenUsed/>
    <w:rsid w:val="00F527CC"/>
    <w:pPr>
      <w:ind w:left="1415"/>
      <w:contextualSpacing/>
    </w:pPr>
  </w:style>
  <w:style w:type="paragraph" w:styleId="ListNumber">
    <w:name w:val="List Number"/>
    <w:basedOn w:val="Normal"/>
    <w:uiPriority w:val="99"/>
    <w:semiHidden/>
    <w:unhideWhenUsed/>
    <w:rsid w:val="00F527CC"/>
    <w:pPr>
      <w:numPr>
        <w:numId w:val="6"/>
      </w:numPr>
      <w:contextualSpacing/>
    </w:pPr>
  </w:style>
  <w:style w:type="paragraph" w:styleId="ListNumber2">
    <w:name w:val="List Number 2"/>
    <w:basedOn w:val="Normal"/>
    <w:uiPriority w:val="99"/>
    <w:semiHidden/>
    <w:unhideWhenUsed/>
    <w:rsid w:val="00F527CC"/>
    <w:pPr>
      <w:numPr>
        <w:numId w:val="7"/>
      </w:numPr>
      <w:contextualSpacing/>
    </w:pPr>
  </w:style>
  <w:style w:type="paragraph" w:styleId="ListNumber3">
    <w:name w:val="List Number 3"/>
    <w:basedOn w:val="Normal"/>
    <w:uiPriority w:val="99"/>
    <w:semiHidden/>
    <w:unhideWhenUsed/>
    <w:rsid w:val="00F527CC"/>
    <w:pPr>
      <w:numPr>
        <w:numId w:val="8"/>
      </w:numPr>
      <w:contextualSpacing/>
    </w:pPr>
  </w:style>
  <w:style w:type="paragraph" w:styleId="ListNumber4">
    <w:name w:val="List Number 4"/>
    <w:basedOn w:val="Normal"/>
    <w:uiPriority w:val="99"/>
    <w:semiHidden/>
    <w:unhideWhenUsed/>
    <w:rsid w:val="00F527CC"/>
    <w:pPr>
      <w:numPr>
        <w:numId w:val="9"/>
      </w:numPr>
      <w:contextualSpacing/>
    </w:pPr>
  </w:style>
  <w:style w:type="paragraph" w:styleId="ListNumber5">
    <w:name w:val="List Number 5"/>
    <w:basedOn w:val="Normal"/>
    <w:uiPriority w:val="99"/>
    <w:semiHidden/>
    <w:unhideWhenUsed/>
    <w:rsid w:val="00F527CC"/>
    <w:pPr>
      <w:numPr>
        <w:numId w:val="10"/>
      </w:numPr>
      <w:contextualSpacing/>
    </w:p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qFormat/>
    <w:rsid w:val="00F527CC"/>
    <w:pPr>
      <w:ind w:left="720"/>
      <w:contextualSpacing/>
    </w:pPr>
  </w:style>
  <w:style w:type="table" w:styleId="ListTable1Light">
    <w:name w:val="List Table 1 Light"/>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DDDDDF" w:themeColor="accent1" w:themeTint="99"/>
        </w:tcBorders>
      </w:tcPr>
    </w:tblStylePr>
    <w:tblStylePr w:type="lastRow">
      <w:rPr>
        <w:b/>
        <w:bCs/>
      </w:rPr>
      <w:tblPr/>
      <w:tcPr>
        <w:tcBorders>
          <w:top w:val="sing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1Light-Accent2">
    <w:name w:val="List Table 1 Light Accent 2"/>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BEBFC1" w:themeColor="accent2" w:themeTint="99"/>
        </w:tcBorders>
      </w:tcPr>
    </w:tblStylePr>
    <w:tblStylePr w:type="lastRow">
      <w:rPr>
        <w:b/>
        <w:bCs/>
      </w:rPr>
      <w:tblPr/>
      <w:tcPr>
        <w:tcBorders>
          <w:top w:val="sing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1Light-Accent3">
    <w:name w:val="List Table 1 Light Accent 3"/>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1Light-Accent4">
    <w:name w:val="List Table 1 Light Accent 4"/>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E87179" w:themeColor="accent4" w:themeTint="99"/>
        </w:tcBorders>
      </w:tcPr>
    </w:tblStylePr>
    <w:tblStylePr w:type="lastRow">
      <w:rPr>
        <w:b/>
        <w:bCs/>
      </w:rPr>
      <w:tblPr/>
      <w:tcPr>
        <w:tcBorders>
          <w:top w:val="sing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1Light-Accent5">
    <w:name w:val="List Table 1 Light Accent 5"/>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3398FF" w:themeColor="accent5" w:themeTint="99"/>
        </w:tcBorders>
      </w:tcPr>
    </w:tblStylePr>
    <w:tblStylePr w:type="lastRow">
      <w:rPr>
        <w:b/>
        <w:bCs/>
      </w:rPr>
      <w:tblPr/>
      <w:tcPr>
        <w:tcBorders>
          <w:top w:val="sing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1Light-Accent6">
    <w:name w:val="List Table 1 Light Accent 6"/>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FFCB7A" w:themeColor="accent6" w:themeTint="99"/>
        </w:tcBorders>
      </w:tcPr>
    </w:tblStylePr>
    <w:tblStylePr w:type="lastRow">
      <w:rPr>
        <w:b/>
        <w:bCs/>
      </w:rPr>
      <w:tblPr/>
      <w:tcPr>
        <w:tcBorders>
          <w:top w:val="sing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2">
    <w:name w:val="List Table 2"/>
    <w:basedOn w:val="TableNormal"/>
    <w:uiPriority w:val="47"/>
    <w:rsid w:val="00F527CC"/>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F527CC"/>
    <w:pPr>
      <w:spacing w:after="0" w:line="240" w:lineRule="auto"/>
    </w:pPr>
    <w:tblPr>
      <w:tblStyleRowBandSize w:val="1"/>
      <w:tblStyleColBandSize w:val="1"/>
      <w:tblBorders>
        <w:top w:val="single" w:sz="4" w:space="0" w:color="DDDDDF" w:themeColor="accent1" w:themeTint="99"/>
        <w:bottom w:val="single" w:sz="4" w:space="0" w:color="DDDDDF" w:themeColor="accent1" w:themeTint="99"/>
        <w:insideH w:val="single" w:sz="4" w:space="0" w:color="DDDD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2-Accent2">
    <w:name w:val="List Table 2 Accent 2"/>
    <w:basedOn w:val="TableNormal"/>
    <w:uiPriority w:val="47"/>
    <w:rsid w:val="00F527CC"/>
    <w:pPr>
      <w:spacing w:after="0" w:line="240" w:lineRule="auto"/>
    </w:pPr>
    <w:tblPr>
      <w:tblStyleRowBandSize w:val="1"/>
      <w:tblStyleColBandSize w:val="1"/>
      <w:tblBorders>
        <w:top w:val="single" w:sz="4" w:space="0" w:color="BEBFC1" w:themeColor="accent2" w:themeTint="99"/>
        <w:bottom w:val="single" w:sz="4" w:space="0" w:color="BEBFC1" w:themeColor="accent2" w:themeTint="99"/>
        <w:insideH w:val="single" w:sz="4" w:space="0" w:color="BEBFC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2-Accent3">
    <w:name w:val="List Table 2 Accent 3"/>
    <w:basedOn w:val="TableNormal"/>
    <w:uiPriority w:val="47"/>
    <w:rsid w:val="00F527CC"/>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2-Accent4">
    <w:name w:val="List Table 2 Accent 4"/>
    <w:basedOn w:val="TableNormal"/>
    <w:uiPriority w:val="47"/>
    <w:rsid w:val="00F527CC"/>
    <w:pPr>
      <w:spacing w:after="0" w:line="240" w:lineRule="auto"/>
    </w:pPr>
    <w:tblPr>
      <w:tblStyleRowBandSize w:val="1"/>
      <w:tblStyleColBandSize w:val="1"/>
      <w:tblBorders>
        <w:top w:val="single" w:sz="4" w:space="0" w:color="E87179" w:themeColor="accent4" w:themeTint="99"/>
        <w:bottom w:val="single" w:sz="4" w:space="0" w:color="E87179" w:themeColor="accent4" w:themeTint="99"/>
        <w:insideH w:val="single" w:sz="4" w:space="0" w:color="E8717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2-Accent5">
    <w:name w:val="List Table 2 Accent 5"/>
    <w:basedOn w:val="TableNormal"/>
    <w:uiPriority w:val="47"/>
    <w:rsid w:val="00F527CC"/>
    <w:pPr>
      <w:spacing w:after="0" w:line="240" w:lineRule="auto"/>
    </w:pPr>
    <w:tblPr>
      <w:tblStyleRowBandSize w:val="1"/>
      <w:tblStyleColBandSize w:val="1"/>
      <w:tblBorders>
        <w:top w:val="single" w:sz="4" w:space="0" w:color="3398FF" w:themeColor="accent5" w:themeTint="99"/>
        <w:bottom w:val="single" w:sz="4" w:space="0" w:color="3398FF" w:themeColor="accent5" w:themeTint="99"/>
        <w:insideH w:val="single" w:sz="4" w:space="0" w:color="339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2-Accent6">
    <w:name w:val="List Table 2 Accent 6"/>
    <w:basedOn w:val="TableNormal"/>
    <w:uiPriority w:val="47"/>
    <w:rsid w:val="00F527CC"/>
    <w:pPr>
      <w:spacing w:after="0" w:line="240" w:lineRule="auto"/>
    </w:pPr>
    <w:tblPr>
      <w:tblStyleRowBandSize w:val="1"/>
      <w:tblStyleColBandSize w:val="1"/>
      <w:tblBorders>
        <w:top w:val="single" w:sz="4" w:space="0" w:color="FFCB7A" w:themeColor="accent6" w:themeTint="99"/>
        <w:bottom w:val="single" w:sz="4" w:space="0" w:color="FFCB7A" w:themeColor="accent6" w:themeTint="99"/>
        <w:insideH w:val="single" w:sz="4" w:space="0" w:color="FFCB7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3">
    <w:name w:val="List Table 3"/>
    <w:basedOn w:val="TableNormal"/>
    <w:uiPriority w:val="48"/>
    <w:rsid w:val="00F527CC"/>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F527CC"/>
    <w:pPr>
      <w:spacing w:after="0" w:line="240" w:lineRule="auto"/>
    </w:pPr>
    <w:tblPr>
      <w:tblStyleRowBandSize w:val="1"/>
      <w:tblStyleColBandSize w:val="1"/>
      <w:tblBorders>
        <w:top w:val="single" w:sz="4" w:space="0" w:color="C7C8CA" w:themeColor="accent1"/>
        <w:left w:val="single" w:sz="4" w:space="0" w:color="C7C8CA" w:themeColor="accent1"/>
        <w:bottom w:val="single" w:sz="4" w:space="0" w:color="C7C8CA" w:themeColor="accent1"/>
        <w:right w:val="single" w:sz="4" w:space="0" w:color="C7C8CA" w:themeColor="accent1"/>
      </w:tblBorders>
    </w:tblPr>
    <w:tblStylePr w:type="firstRow">
      <w:rPr>
        <w:b/>
        <w:bCs/>
        <w:color w:val="FFFFFF" w:themeColor="background1"/>
      </w:rPr>
      <w:tblPr/>
      <w:tcPr>
        <w:shd w:val="clear" w:color="auto" w:fill="C7C8CA" w:themeFill="accent1"/>
      </w:tcPr>
    </w:tblStylePr>
    <w:tblStylePr w:type="lastRow">
      <w:rPr>
        <w:b/>
        <w:bCs/>
      </w:rPr>
      <w:tblPr/>
      <w:tcPr>
        <w:tcBorders>
          <w:top w:val="double" w:sz="4" w:space="0" w:color="C7C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8CA" w:themeColor="accent1"/>
          <w:right w:val="single" w:sz="4" w:space="0" w:color="C7C8CA" w:themeColor="accent1"/>
        </w:tcBorders>
      </w:tcPr>
    </w:tblStylePr>
    <w:tblStylePr w:type="band1Horz">
      <w:tblPr/>
      <w:tcPr>
        <w:tcBorders>
          <w:top w:val="single" w:sz="4" w:space="0" w:color="C7C8CA" w:themeColor="accent1"/>
          <w:bottom w:val="single" w:sz="4" w:space="0" w:color="C7C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8CA" w:themeColor="accent1"/>
          <w:left w:val="nil"/>
        </w:tcBorders>
      </w:tcPr>
    </w:tblStylePr>
    <w:tblStylePr w:type="swCell">
      <w:tblPr/>
      <w:tcPr>
        <w:tcBorders>
          <w:top w:val="double" w:sz="4" w:space="0" w:color="C7C8CA" w:themeColor="accent1"/>
          <w:right w:val="nil"/>
        </w:tcBorders>
      </w:tcPr>
    </w:tblStylePr>
  </w:style>
  <w:style w:type="table" w:styleId="ListTable3-Accent2">
    <w:name w:val="List Table 3 Accent 2"/>
    <w:basedOn w:val="TableNormal"/>
    <w:uiPriority w:val="48"/>
    <w:rsid w:val="00F527CC"/>
    <w:pPr>
      <w:spacing w:after="0" w:line="240" w:lineRule="auto"/>
    </w:pPr>
    <w:tblPr>
      <w:tblStyleRowBandSize w:val="1"/>
      <w:tblStyleColBandSize w:val="1"/>
      <w:tblBorders>
        <w:top w:val="single" w:sz="4" w:space="0" w:color="939598" w:themeColor="accent2"/>
        <w:left w:val="single" w:sz="4" w:space="0" w:color="939598" w:themeColor="accent2"/>
        <w:bottom w:val="single" w:sz="4" w:space="0" w:color="939598" w:themeColor="accent2"/>
        <w:right w:val="single" w:sz="4" w:space="0" w:color="939598" w:themeColor="accent2"/>
      </w:tblBorders>
    </w:tblPr>
    <w:tblStylePr w:type="firstRow">
      <w:rPr>
        <w:b/>
        <w:bCs/>
        <w:color w:val="FFFFFF" w:themeColor="background1"/>
      </w:rPr>
      <w:tblPr/>
      <w:tcPr>
        <w:shd w:val="clear" w:color="auto" w:fill="939598" w:themeFill="accent2"/>
      </w:tcPr>
    </w:tblStylePr>
    <w:tblStylePr w:type="lastRow">
      <w:rPr>
        <w:b/>
        <w:bCs/>
      </w:rPr>
      <w:tblPr/>
      <w:tcPr>
        <w:tcBorders>
          <w:top w:val="double" w:sz="4" w:space="0" w:color="9395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8" w:themeColor="accent2"/>
          <w:right w:val="single" w:sz="4" w:space="0" w:color="939598" w:themeColor="accent2"/>
        </w:tcBorders>
      </w:tcPr>
    </w:tblStylePr>
    <w:tblStylePr w:type="band1Horz">
      <w:tblPr/>
      <w:tcPr>
        <w:tcBorders>
          <w:top w:val="single" w:sz="4" w:space="0" w:color="939598" w:themeColor="accent2"/>
          <w:bottom w:val="single" w:sz="4" w:space="0" w:color="9395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8" w:themeColor="accent2"/>
          <w:left w:val="nil"/>
        </w:tcBorders>
      </w:tcPr>
    </w:tblStylePr>
    <w:tblStylePr w:type="swCell">
      <w:tblPr/>
      <w:tcPr>
        <w:tcBorders>
          <w:top w:val="double" w:sz="4" w:space="0" w:color="939598" w:themeColor="accent2"/>
          <w:right w:val="nil"/>
        </w:tcBorders>
      </w:tcPr>
    </w:tblStylePr>
  </w:style>
  <w:style w:type="table" w:styleId="ListTable3-Accent3">
    <w:name w:val="List Table 3 Accent 3"/>
    <w:basedOn w:val="TableNormal"/>
    <w:uiPriority w:val="48"/>
    <w:rsid w:val="00F527CC"/>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ListTable3-Accent4">
    <w:name w:val="List Table 3 Accent 4"/>
    <w:basedOn w:val="TableNormal"/>
    <w:uiPriority w:val="48"/>
    <w:rsid w:val="00F527CC"/>
    <w:pPr>
      <w:spacing w:after="0" w:line="240" w:lineRule="auto"/>
    </w:pPr>
    <w:tblPr>
      <w:tblStyleRowBandSize w:val="1"/>
      <w:tblStyleColBandSize w:val="1"/>
      <w:tblBorders>
        <w:top w:val="single" w:sz="4" w:space="0" w:color="CD202C" w:themeColor="accent4"/>
        <w:left w:val="single" w:sz="4" w:space="0" w:color="CD202C" w:themeColor="accent4"/>
        <w:bottom w:val="single" w:sz="4" w:space="0" w:color="CD202C" w:themeColor="accent4"/>
        <w:right w:val="single" w:sz="4" w:space="0" w:color="CD202C" w:themeColor="accent4"/>
      </w:tblBorders>
    </w:tblPr>
    <w:tblStylePr w:type="firstRow">
      <w:rPr>
        <w:b/>
        <w:bCs/>
        <w:color w:val="FFFFFF" w:themeColor="background1"/>
      </w:rPr>
      <w:tblPr/>
      <w:tcPr>
        <w:shd w:val="clear" w:color="auto" w:fill="CD202C" w:themeFill="accent4"/>
      </w:tcPr>
    </w:tblStylePr>
    <w:tblStylePr w:type="lastRow">
      <w:rPr>
        <w:b/>
        <w:bCs/>
      </w:rPr>
      <w:tblPr/>
      <w:tcPr>
        <w:tcBorders>
          <w:top w:val="double" w:sz="4" w:space="0" w:color="CD20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202C" w:themeColor="accent4"/>
          <w:right w:val="single" w:sz="4" w:space="0" w:color="CD202C" w:themeColor="accent4"/>
        </w:tcBorders>
      </w:tcPr>
    </w:tblStylePr>
    <w:tblStylePr w:type="band1Horz">
      <w:tblPr/>
      <w:tcPr>
        <w:tcBorders>
          <w:top w:val="single" w:sz="4" w:space="0" w:color="CD202C" w:themeColor="accent4"/>
          <w:bottom w:val="single" w:sz="4" w:space="0" w:color="CD20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202C" w:themeColor="accent4"/>
          <w:left w:val="nil"/>
        </w:tcBorders>
      </w:tcPr>
    </w:tblStylePr>
    <w:tblStylePr w:type="swCell">
      <w:tblPr/>
      <w:tcPr>
        <w:tcBorders>
          <w:top w:val="double" w:sz="4" w:space="0" w:color="CD202C" w:themeColor="accent4"/>
          <w:right w:val="nil"/>
        </w:tcBorders>
      </w:tcPr>
    </w:tblStylePr>
  </w:style>
  <w:style w:type="table" w:styleId="ListTable3-Accent5">
    <w:name w:val="List Table 3 Accent 5"/>
    <w:basedOn w:val="TableNormal"/>
    <w:uiPriority w:val="48"/>
    <w:rsid w:val="00F527CC"/>
    <w:pPr>
      <w:spacing w:after="0" w:line="240" w:lineRule="auto"/>
    </w:pPr>
    <w:tblPr>
      <w:tblStyleRowBandSize w:val="1"/>
      <w:tblStyleColBandSize w:val="1"/>
      <w:tblBorders>
        <w:top w:val="single" w:sz="4" w:space="0" w:color="0055AA" w:themeColor="accent5"/>
        <w:left w:val="single" w:sz="4" w:space="0" w:color="0055AA" w:themeColor="accent5"/>
        <w:bottom w:val="single" w:sz="4" w:space="0" w:color="0055AA" w:themeColor="accent5"/>
        <w:right w:val="single" w:sz="4" w:space="0" w:color="0055AA" w:themeColor="accent5"/>
      </w:tblBorders>
    </w:tblPr>
    <w:tblStylePr w:type="firstRow">
      <w:rPr>
        <w:b/>
        <w:bCs/>
        <w:color w:val="FFFFFF" w:themeColor="background1"/>
      </w:rPr>
      <w:tblPr/>
      <w:tcPr>
        <w:shd w:val="clear" w:color="auto" w:fill="0055AA" w:themeFill="accent5"/>
      </w:tcPr>
    </w:tblStylePr>
    <w:tblStylePr w:type="lastRow">
      <w:rPr>
        <w:b/>
        <w:bCs/>
      </w:rPr>
      <w:tblPr/>
      <w:tcPr>
        <w:tcBorders>
          <w:top w:val="double" w:sz="4" w:space="0" w:color="0055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AA" w:themeColor="accent5"/>
          <w:right w:val="single" w:sz="4" w:space="0" w:color="0055AA" w:themeColor="accent5"/>
        </w:tcBorders>
      </w:tcPr>
    </w:tblStylePr>
    <w:tblStylePr w:type="band1Horz">
      <w:tblPr/>
      <w:tcPr>
        <w:tcBorders>
          <w:top w:val="single" w:sz="4" w:space="0" w:color="0055AA" w:themeColor="accent5"/>
          <w:bottom w:val="single" w:sz="4" w:space="0" w:color="0055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AA" w:themeColor="accent5"/>
          <w:left w:val="nil"/>
        </w:tcBorders>
      </w:tcPr>
    </w:tblStylePr>
    <w:tblStylePr w:type="swCell">
      <w:tblPr/>
      <w:tcPr>
        <w:tcBorders>
          <w:top w:val="double" w:sz="4" w:space="0" w:color="0055AA" w:themeColor="accent5"/>
          <w:right w:val="nil"/>
        </w:tcBorders>
      </w:tcPr>
    </w:tblStylePr>
  </w:style>
  <w:style w:type="table" w:styleId="ListTable3-Accent6">
    <w:name w:val="List Table 3 Accent 6"/>
    <w:basedOn w:val="TableNormal"/>
    <w:uiPriority w:val="48"/>
    <w:rsid w:val="00F527CC"/>
    <w:pPr>
      <w:spacing w:after="0" w:line="240" w:lineRule="auto"/>
    </w:pPr>
    <w:tblPr>
      <w:tblStyleRowBandSize w:val="1"/>
      <w:tblStyleColBandSize w:val="1"/>
      <w:tblBorders>
        <w:top w:val="single" w:sz="4" w:space="0" w:color="FFAA22" w:themeColor="accent6"/>
        <w:left w:val="single" w:sz="4" w:space="0" w:color="FFAA22" w:themeColor="accent6"/>
        <w:bottom w:val="single" w:sz="4" w:space="0" w:color="FFAA22" w:themeColor="accent6"/>
        <w:right w:val="single" w:sz="4" w:space="0" w:color="FFAA22" w:themeColor="accent6"/>
      </w:tblBorders>
    </w:tblPr>
    <w:tblStylePr w:type="firstRow">
      <w:rPr>
        <w:b/>
        <w:bCs/>
        <w:color w:val="FFFFFF" w:themeColor="background1"/>
      </w:rPr>
      <w:tblPr/>
      <w:tcPr>
        <w:shd w:val="clear" w:color="auto" w:fill="FFAA22" w:themeFill="accent6"/>
      </w:tcPr>
    </w:tblStylePr>
    <w:tblStylePr w:type="lastRow">
      <w:rPr>
        <w:b/>
        <w:bCs/>
      </w:rPr>
      <w:tblPr/>
      <w:tcPr>
        <w:tcBorders>
          <w:top w:val="double" w:sz="4" w:space="0" w:color="FFAA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22" w:themeColor="accent6"/>
          <w:right w:val="single" w:sz="4" w:space="0" w:color="FFAA22" w:themeColor="accent6"/>
        </w:tcBorders>
      </w:tcPr>
    </w:tblStylePr>
    <w:tblStylePr w:type="band1Horz">
      <w:tblPr/>
      <w:tcPr>
        <w:tcBorders>
          <w:top w:val="single" w:sz="4" w:space="0" w:color="FFAA22" w:themeColor="accent6"/>
          <w:bottom w:val="single" w:sz="4" w:space="0" w:color="FFAA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22" w:themeColor="accent6"/>
          <w:left w:val="nil"/>
        </w:tcBorders>
      </w:tcPr>
    </w:tblStylePr>
    <w:tblStylePr w:type="swCell">
      <w:tblPr/>
      <w:tcPr>
        <w:tcBorders>
          <w:top w:val="double" w:sz="4" w:space="0" w:color="FFAA22" w:themeColor="accent6"/>
          <w:right w:val="nil"/>
        </w:tcBorders>
      </w:tcPr>
    </w:tblStylePr>
  </w:style>
  <w:style w:type="table" w:styleId="ListTable4">
    <w:name w:val="List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tcBorders>
        <w:shd w:val="clear" w:color="auto" w:fill="C7C8CA" w:themeFill="accent1"/>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4-Accent2">
    <w:name w:val="List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tcBorders>
        <w:shd w:val="clear" w:color="auto" w:fill="939598" w:themeFill="accent2"/>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4-Accent3">
    <w:name w:val="List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4-Accent4">
    <w:name w:val="List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tcBorders>
        <w:shd w:val="clear" w:color="auto" w:fill="CD202C" w:themeFill="accent4"/>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4-Accent5">
    <w:name w:val="List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tcBorders>
        <w:shd w:val="clear" w:color="auto" w:fill="0055AA" w:themeFill="accent5"/>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4-Accent6">
    <w:name w:val="List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tcBorders>
        <w:shd w:val="clear" w:color="auto" w:fill="FFAA22" w:themeFill="accent6"/>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5Dark">
    <w:name w:val="List Table 5 Dark"/>
    <w:basedOn w:val="TableNormal"/>
    <w:uiPriority w:val="50"/>
    <w:rsid w:val="00F527CC"/>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527CC"/>
    <w:pPr>
      <w:spacing w:after="0" w:line="240" w:lineRule="auto"/>
    </w:pPr>
    <w:rPr>
      <w:color w:val="FFFFFF" w:themeColor="background1"/>
    </w:rPr>
    <w:tblPr>
      <w:tblStyleRowBandSize w:val="1"/>
      <w:tblStyleColBandSize w:val="1"/>
      <w:tblBorders>
        <w:top w:val="single" w:sz="24" w:space="0" w:color="C7C8CA" w:themeColor="accent1"/>
        <w:left w:val="single" w:sz="24" w:space="0" w:color="C7C8CA" w:themeColor="accent1"/>
        <w:bottom w:val="single" w:sz="24" w:space="0" w:color="C7C8CA" w:themeColor="accent1"/>
        <w:right w:val="single" w:sz="24" w:space="0" w:color="C7C8CA" w:themeColor="accent1"/>
      </w:tblBorders>
    </w:tblPr>
    <w:tcPr>
      <w:shd w:val="clear" w:color="auto" w:fill="C7C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527CC"/>
    <w:pPr>
      <w:spacing w:after="0" w:line="240" w:lineRule="auto"/>
    </w:pPr>
    <w:rPr>
      <w:color w:val="FFFFFF" w:themeColor="background1"/>
    </w:rPr>
    <w:tblPr>
      <w:tblStyleRowBandSize w:val="1"/>
      <w:tblStyleColBandSize w:val="1"/>
      <w:tblBorders>
        <w:top w:val="single" w:sz="24" w:space="0" w:color="939598" w:themeColor="accent2"/>
        <w:left w:val="single" w:sz="24" w:space="0" w:color="939598" w:themeColor="accent2"/>
        <w:bottom w:val="single" w:sz="24" w:space="0" w:color="939598" w:themeColor="accent2"/>
        <w:right w:val="single" w:sz="24" w:space="0" w:color="939598" w:themeColor="accent2"/>
      </w:tblBorders>
    </w:tblPr>
    <w:tcPr>
      <w:shd w:val="clear" w:color="auto" w:fill="9395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527CC"/>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527CC"/>
    <w:pPr>
      <w:spacing w:after="0" w:line="240" w:lineRule="auto"/>
    </w:pPr>
    <w:rPr>
      <w:color w:val="FFFFFF" w:themeColor="background1"/>
    </w:rPr>
    <w:tblPr>
      <w:tblStyleRowBandSize w:val="1"/>
      <w:tblStyleColBandSize w:val="1"/>
      <w:tblBorders>
        <w:top w:val="single" w:sz="24" w:space="0" w:color="CD202C" w:themeColor="accent4"/>
        <w:left w:val="single" w:sz="24" w:space="0" w:color="CD202C" w:themeColor="accent4"/>
        <w:bottom w:val="single" w:sz="24" w:space="0" w:color="CD202C" w:themeColor="accent4"/>
        <w:right w:val="single" w:sz="24" w:space="0" w:color="CD202C" w:themeColor="accent4"/>
      </w:tblBorders>
    </w:tblPr>
    <w:tcPr>
      <w:shd w:val="clear" w:color="auto" w:fill="CD20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527CC"/>
    <w:pPr>
      <w:spacing w:after="0" w:line="240" w:lineRule="auto"/>
    </w:pPr>
    <w:rPr>
      <w:color w:val="FFFFFF" w:themeColor="background1"/>
    </w:rPr>
    <w:tblPr>
      <w:tblStyleRowBandSize w:val="1"/>
      <w:tblStyleColBandSize w:val="1"/>
      <w:tblBorders>
        <w:top w:val="single" w:sz="24" w:space="0" w:color="0055AA" w:themeColor="accent5"/>
        <w:left w:val="single" w:sz="24" w:space="0" w:color="0055AA" w:themeColor="accent5"/>
        <w:bottom w:val="single" w:sz="24" w:space="0" w:color="0055AA" w:themeColor="accent5"/>
        <w:right w:val="single" w:sz="24" w:space="0" w:color="0055AA" w:themeColor="accent5"/>
      </w:tblBorders>
    </w:tblPr>
    <w:tcPr>
      <w:shd w:val="clear" w:color="auto" w:fill="0055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527CC"/>
    <w:pPr>
      <w:spacing w:after="0" w:line="240" w:lineRule="auto"/>
    </w:pPr>
    <w:rPr>
      <w:color w:val="FFFFFF" w:themeColor="background1"/>
    </w:rPr>
    <w:tblPr>
      <w:tblStyleRowBandSize w:val="1"/>
      <w:tblStyleColBandSize w:val="1"/>
      <w:tblBorders>
        <w:top w:val="single" w:sz="24" w:space="0" w:color="FFAA22" w:themeColor="accent6"/>
        <w:left w:val="single" w:sz="24" w:space="0" w:color="FFAA22" w:themeColor="accent6"/>
        <w:bottom w:val="single" w:sz="24" w:space="0" w:color="FFAA22" w:themeColor="accent6"/>
        <w:right w:val="single" w:sz="24" w:space="0" w:color="FFAA22" w:themeColor="accent6"/>
      </w:tblBorders>
    </w:tblPr>
    <w:tcPr>
      <w:shd w:val="clear" w:color="auto" w:fill="FFAA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C7C8CA" w:themeColor="accent1"/>
        <w:bottom w:val="single" w:sz="4" w:space="0" w:color="C7C8CA" w:themeColor="accent1"/>
      </w:tblBorders>
    </w:tblPr>
    <w:tblStylePr w:type="firstRow">
      <w:rPr>
        <w:b/>
        <w:bCs/>
      </w:rPr>
      <w:tblPr/>
      <w:tcPr>
        <w:tcBorders>
          <w:bottom w:val="single" w:sz="4" w:space="0" w:color="C7C8CA" w:themeColor="accent1"/>
        </w:tcBorders>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6Colorful-Accent2">
    <w:name w:val="List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939598" w:themeColor="accent2"/>
        <w:bottom w:val="single" w:sz="4" w:space="0" w:color="939598" w:themeColor="accent2"/>
      </w:tblBorders>
    </w:tblPr>
    <w:tblStylePr w:type="firstRow">
      <w:rPr>
        <w:b/>
        <w:bCs/>
      </w:rPr>
      <w:tblPr/>
      <w:tcPr>
        <w:tcBorders>
          <w:bottom w:val="single" w:sz="4" w:space="0" w:color="939598" w:themeColor="accent2"/>
        </w:tcBorders>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6Colorful-Accent3">
    <w:name w:val="List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6Colorful-Accent4">
    <w:name w:val="List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CD202C" w:themeColor="accent4"/>
        <w:bottom w:val="single" w:sz="4" w:space="0" w:color="CD202C" w:themeColor="accent4"/>
      </w:tblBorders>
    </w:tblPr>
    <w:tblStylePr w:type="firstRow">
      <w:rPr>
        <w:b/>
        <w:bCs/>
      </w:rPr>
      <w:tblPr/>
      <w:tcPr>
        <w:tcBorders>
          <w:bottom w:val="single" w:sz="4" w:space="0" w:color="CD202C" w:themeColor="accent4"/>
        </w:tcBorders>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6Colorful-Accent5">
    <w:name w:val="List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0055AA" w:themeColor="accent5"/>
        <w:bottom w:val="single" w:sz="4" w:space="0" w:color="0055AA" w:themeColor="accent5"/>
      </w:tblBorders>
    </w:tblPr>
    <w:tblStylePr w:type="firstRow">
      <w:rPr>
        <w:b/>
        <w:bCs/>
      </w:rPr>
      <w:tblPr/>
      <w:tcPr>
        <w:tcBorders>
          <w:bottom w:val="single" w:sz="4" w:space="0" w:color="0055AA" w:themeColor="accent5"/>
        </w:tcBorders>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6Colorful-Accent6">
    <w:name w:val="List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AA22" w:themeColor="accent6"/>
        <w:bottom w:val="single" w:sz="4" w:space="0" w:color="FFAA22" w:themeColor="accent6"/>
      </w:tblBorders>
    </w:tblPr>
    <w:tblStylePr w:type="firstRow">
      <w:rPr>
        <w:b/>
        <w:bCs/>
      </w:rPr>
      <w:tblPr/>
      <w:tcPr>
        <w:tcBorders>
          <w:bottom w:val="single" w:sz="4" w:space="0" w:color="FFAA22" w:themeColor="accent6"/>
        </w:tcBorders>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7Colorful">
    <w:name w:val="List Table 7 Colorful"/>
    <w:basedOn w:val="TableNormal"/>
    <w:uiPriority w:val="52"/>
    <w:rsid w:val="00F527CC"/>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527CC"/>
    <w:pPr>
      <w:spacing w:after="0" w:line="240" w:lineRule="auto"/>
    </w:pPr>
    <w:rPr>
      <w:color w:val="93959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8CA" w:themeColor="accent1"/>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527CC"/>
    <w:pPr>
      <w:spacing w:after="0" w:line="240" w:lineRule="auto"/>
    </w:pPr>
    <w:rPr>
      <w:color w:val="6D6F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95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8" w:themeColor="accent2"/>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527CC"/>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527CC"/>
    <w:pPr>
      <w:spacing w:after="0" w:line="240" w:lineRule="auto"/>
    </w:pPr>
    <w:rPr>
      <w:color w:val="9918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20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20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20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202C" w:themeColor="accent4"/>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527CC"/>
    <w:pPr>
      <w:spacing w:after="0" w:line="240" w:lineRule="auto"/>
    </w:pPr>
    <w:rPr>
      <w:color w:val="003F7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AA" w:themeColor="accent5"/>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527CC"/>
    <w:pPr>
      <w:spacing w:after="0" w:line="240" w:lineRule="auto"/>
    </w:pPr>
    <w:rPr>
      <w:color w:val="D884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A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22" w:themeColor="accent6"/>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527CC"/>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527CC"/>
    <w:rPr>
      <w:rFonts w:ascii="Consolas" w:hAnsi="Consolas"/>
      <w:sz w:val="20"/>
      <w:szCs w:val="20"/>
      <w:lang w:val="en-US"/>
    </w:rPr>
  </w:style>
  <w:style w:type="table" w:styleId="MediumGrid1">
    <w:name w:val="Medium Grid 1"/>
    <w:basedOn w:val="TableNormal"/>
    <w:uiPriority w:val="67"/>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insideV w:val="single" w:sz="8" w:space="0" w:color="D5D5D7" w:themeColor="accent1" w:themeTint="BF"/>
      </w:tblBorders>
    </w:tblPr>
    <w:tcPr>
      <w:shd w:val="clear" w:color="auto" w:fill="F1F1F2" w:themeFill="accent1" w:themeFillTint="3F"/>
    </w:tcPr>
    <w:tblStylePr w:type="firstRow">
      <w:rPr>
        <w:b/>
        <w:bCs/>
      </w:rPr>
    </w:tblStylePr>
    <w:tblStylePr w:type="lastRow">
      <w:rPr>
        <w:b/>
        <w:bCs/>
      </w:rPr>
      <w:tblPr/>
      <w:tcPr>
        <w:tcBorders>
          <w:top w:val="single" w:sz="18" w:space="0" w:color="D5D5D7" w:themeColor="accent1" w:themeTint="BF"/>
        </w:tcBorders>
      </w:tcPr>
    </w:tblStylePr>
    <w:tblStylePr w:type="firstCol">
      <w:rPr>
        <w:b/>
        <w:bCs/>
      </w:rPr>
    </w:tblStylePr>
    <w:tblStylePr w:type="lastCol">
      <w:rPr>
        <w:b/>
        <w:bCs/>
      </w:r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MediumGrid1-Accent2">
    <w:name w:val="Medium Grid 1 Accent 2"/>
    <w:basedOn w:val="TableNormal"/>
    <w:uiPriority w:val="67"/>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insideV w:val="single" w:sz="8" w:space="0" w:color="ADAFB1" w:themeColor="accent2" w:themeTint="BF"/>
      </w:tblBorders>
    </w:tblPr>
    <w:tcPr>
      <w:shd w:val="clear" w:color="auto" w:fill="E4E4E5" w:themeFill="accent2" w:themeFillTint="3F"/>
    </w:tcPr>
    <w:tblStylePr w:type="firstRow">
      <w:rPr>
        <w:b/>
        <w:bCs/>
      </w:rPr>
    </w:tblStylePr>
    <w:tblStylePr w:type="lastRow">
      <w:rPr>
        <w:b/>
        <w:bCs/>
      </w:rPr>
      <w:tblPr/>
      <w:tcPr>
        <w:tcBorders>
          <w:top w:val="single" w:sz="18" w:space="0" w:color="ADAFB1" w:themeColor="accent2" w:themeTint="BF"/>
        </w:tcBorders>
      </w:tcPr>
    </w:tblStylePr>
    <w:tblStylePr w:type="firstCol">
      <w:rPr>
        <w:b/>
        <w:bCs/>
      </w:rPr>
    </w:tblStylePr>
    <w:tblStylePr w:type="lastCol">
      <w:rPr>
        <w:b/>
        <w:bCs/>
      </w:r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MediumGrid1-Accent3">
    <w:name w:val="Medium Grid 1 Accent 3"/>
    <w:basedOn w:val="TableNormal"/>
    <w:uiPriority w:val="67"/>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MediumGrid1-Accent4">
    <w:name w:val="Medium Grid 1 Accent 4"/>
    <w:basedOn w:val="TableNormal"/>
    <w:uiPriority w:val="67"/>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insideV w:val="single" w:sz="8" w:space="0" w:color="E34E57" w:themeColor="accent4" w:themeTint="BF"/>
      </w:tblBorders>
    </w:tblPr>
    <w:tcPr>
      <w:shd w:val="clear" w:color="auto" w:fill="F6C4C7" w:themeFill="accent4" w:themeFillTint="3F"/>
    </w:tcPr>
    <w:tblStylePr w:type="firstRow">
      <w:rPr>
        <w:b/>
        <w:bCs/>
      </w:rPr>
    </w:tblStylePr>
    <w:tblStylePr w:type="lastRow">
      <w:rPr>
        <w:b/>
        <w:bCs/>
      </w:rPr>
      <w:tblPr/>
      <w:tcPr>
        <w:tcBorders>
          <w:top w:val="single" w:sz="18" w:space="0" w:color="E34E57" w:themeColor="accent4" w:themeTint="BF"/>
        </w:tcBorders>
      </w:tcPr>
    </w:tblStylePr>
    <w:tblStylePr w:type="firstCol">
      <w:rPr>
        <w:b/>
        <w:bCs/>
      </w:rPr>
    </w:tblStylePr>
    <w:tblStylePr w:type="lastCol">
      <w:rPr>
        <w:b/>
        <w:bCs/>
      </w:r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MediumGrid1-Accent5">
    <w:name w:val="Medium Grid 1 Accent 5"/>
    <w:basedOn w:val="TableNormal"/>
    <w:uiPriority w:val="67"/>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insideV w:val="single" w:sz="8" w:space="0" w:color="007FFF" w:themeColor="accent5" w:themeTint="BF"/>
      </w:tblBorders>
    </w:tblPr>
    <w:tcPr>
      <w:shd w:val="clear" w:color="auto" w:fill="ABD4FF" w:themeFill="accent5" w:themeFillTint="3F"/>
    </w:tcPr>
    <w:tblStylePr w:type="firstRow">
      <w:rPr>
        <w:b/>
        <w:bCs/>
      </w:rPr>
    </w:tblStylePr>
    <w:tblStylePr w:type="lastRow">
      <w:rPr>
        <w:b/>
        <w:bCs/>
      </w:rPr>
      <w:tblPr/>
      <w:tcPr>
        <w:tcBorders>
          <w:top w:val="single" w:sz="18" w:space="0" w:color="007FFF" w:themeColor="accent5" w:themeTint="BF"/>
        </w:tcBorders>
      </w:tcPr>
    </w:tblStylePr>
    <w:tblStylePr w:type="firstCol">
      <w:rPr>
        <w:b/>
        <w:bCs/>
      </w:rPr>
    </w:tblStylePr>
    <w:tblStylePr w:type="lastCol">
      <w:rPr>
        <w:b/>
        <w:bCs/>
      </w:r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MediumGrid1-Accent6">
    <w:name w:val="Medium Grid 1 Accent 6"/>
    <w:basedOn w:val="TableNormal"/>
    <w:uiPriority w:val="67"/>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insideV w:val="single" w:sz="8" w:space="0" w:color="FFBE59" w:themeColor="accent6" w:themeTint="BF"/>
      </w:tblBorders>
    </w:tblPr>
    <w:tcPr>
      <w:shd w:val="clear" w:color="auto" w:fill="FFE9C8" w:themeFill="accent6" w:themeFillTint="3F"/>
    </w:tcPr>
    <w:tblStylePr w:type="firstRow">
      <w:rPr>
        <w:b/>
        <w:bCs/>
      </w:rPr>
    </w:tblStylePr>
    <w:tblStylePr w:type="lastRow">
      <w:rPr>
        <w:b/>
        <w:bCs/>
      </w:rPr>
      <w:tblPr/>
      <w:tcPr>
        <w:tcBorders>
          <w:top w:val="single" w:sz="18" w:space="0" w:color="FFBE59" w:themeColor="accent6" w:themeTint="BF"/>
        </w:tcBorders>
      </w:tcPr>
    </w:tblStylePr>
    <w:tblStylePr w:type="firstCol">
      <w:rPr>
        <w:b/>
        <w:bCs/>
      </w:rPr>
    </w:tblStylePr>
    <w:tblStylePr w:type="lastCol">
      <w:rPr>
        <w:b/>
        <w:bCs/>
      </w:r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MediumGrid2">
    <w:name w:val="Medium Grid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cPr>
      <w:shd w:val="clear" w:color="auto" w:fill="F1F1F2" w:themeFill="accent1" w:themeFillTint="3F"/>
    </w:tcPr>
    <w:tblStylePr w:type="firstRow">
      <w:rPr>
        <w:b/>
        <w:bCs/>
        <w:color w:val="404040" w:themeColor="text1"/>
      </w:rPr>
      <w:tblPr/>
      <w:tcPr>
        <w:shd w:val="clear" w:color="auto" w:fill="F9F9F9"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3F3F4" w:themeFill="accent1" w:themeFillTint="33"/>
      </w:tcPr>
    </w:tblStylePr>
    <w:tblStylePr w:type="band1Vert">
      <w:tblPr/>
      <w:tcPr>
        <w:shd w:val="clear" w:color="auto" w:fill="E3E3E4" w:themeFill="accent1" w:themeFillTint="7F"/>
      </w:tcPr>
    </w:tblStylePr>
    <w:tblStylePr w:type="band1Horz">
      <w:tblPr/>
      <w:tcPr>
        <w:tcBorders>
          <w:insideH w:val="single" w:sz="6" w:space="0" w:color="C7C8CA" w:themeColor="accent1"/>
          <w:insideV w:val="single" w:sz="6" w:space="0" w:color="C7C8CA" w:themeColor="accent1"/>
        </w:tcBorders>
        <w:shd w:val="clear" w:color="auto" w:fill="E3E3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cPr>
      <w:shd w:val="clear" w:color="auto" w:fill="E4E4E5" w:themeFill="accent2" w:themeFillTint="3F"/>
    </w:tcPr>
    <w:tblStylePr w:type="firstRow">
      <w:rPr>
        <w:b/>
        <w:bCs/>
        <w:color w:val="404040" w:themeColor="text1"/>
      </w:rPr>
      <w:tblPr/>
      <w:tcPr>
        <w:shd w:val="clear" w:color="auto" w:fill="F4F4F4"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9E9EA" w:themeFill="accent2" w:themeFillTint="33"/>
      </w:tcPr>
    </w:tblStylePr>
    <w:tblStylePr w:type="band1Vert">
      <w:tblPr/>
      <w:tcPr>
        <w:shd w:val="clear" w:color="auto" w:fill="C9CACB" w:themeFill="accent2" w:themeFillTint="7F"/>
      </w:tcPr>
    </w:tblStylePr>
    <w:tblStylePr w:type="band1Horz">
      <w:tblPr/>
      <w:tcPr>
        <w:tcBorders>
          <w:insideH w:val="single" w:sz="6" w:space="0" w:color="939598" w:themeColor="accent2"/>
          <w:insideV w:val="single" w:sz="6" w:space="0" w:color="939598" w:themeColor="accent2"/>
        </w:tcBorders>
        <w:shd w:val="clear" w:color="auto" w:fill="C9CAC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404040" w:themeColor="text1"/>
      </w:rPr>
      <w:tblPr/>
      <w:tcPr>
        <w:shd w:val="clear" w:color="auto" w:fill="EFEFF0"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cPr>
      <w:shd w:val="clear" w:color="auto" w:fill="F6C4C7" w:themeFill="accent4" w:themeFillTint="3F"/>
    </w:tcPr>
    <w:tblStylePr w:type="firstRow">
      <w:rPr>
        <w:b/>
        <w:bCs/>
        <w:color w:val="404040" w:themeColor="text1"/>
      </w:rPr>
      <w:tblPr/>
      <w:tcPr>
        <w:shd w:val="clear" w:color="auto" w:fill="FBE7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7CFD2" w:themeFill="accent4" w:themeFillTint="33"/>
      </w:tcPr>
    </w:tblStylePr>
    <w:tblStylePr w:type="band1Vert">
      <w:tblPr/>
      <w:tcPr>
        <w:shd w:val="clear" w:color="auto" w:fill="EC898F" w:themeFill="accent4" w:themeFillTint="7F"/>
      </w:tcPr>
    </w:tblStylePr>
    <w:tblStylePr w:type="band1Horz">
      <w:tblPr/>
      <w:tcPr>
        <w:tcBorders>
          <w:insideH w:val="single" w:sz="6" w:space="0" w:color="CD202C" w:themeColor="accent4"/>
          <w:insideV w:val="single" w:sz="6" w:space="0" w:color="CD202C" w:themeColor="accent4"/>
        </w:tcBorders>
        <w:shd w:val="clear" w:color="auto" w:fill="EC89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cPr>
      <w:shd w:val="clear" w:color="auto" w:fill="ABD4FF" w:themeFill="accent5" w:themeFillTint="3F"/>
    </w:tcPr>
    <w:tblStylePr w:type="firstRow">
      <w:rPr>
        <w:b/>
        <w:bCs/>
        <w:color w:val="404040" w:themeColor="text1"/>
      </w:rPr>
      <w:tblPr/>
      <w:tcPr>
        <w:shd w:val="clear" w:color="auto" w:fill="DDEEFF"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BBDCFF" w:themeFill="accent5" w:themeFillTint="33"/>
      </w:tcPr>
    </w:tblStylePr>
    <w:tblStylePr w:type="band1Vert">
      <w:tblPr/>
      <w:tcPr>
        <w:shd w:val="clear" w:color="auto" w:fill="55AAFF" w:themeFill="accent5" w:themeFillTint="7F"/>
      </w:tcPr>
    </w:tblStylePr>
    <w:tblStylePr w:type="band1Horz">
      <w:tblPr/>
      <w:tcPr>
        <w:tcBorders>
          <w:insideH w:val="single" w:sz="6" w:space="0" w:color="0055AA" w:themeColor="accent5"/>
          <w:insideV w:val="single" w:sz="6" w:space="0" w:color="0055AA" w:themeColor="accent5"/>
        </w:tcBorders>
        <w:shd w:val="clear" w:color="auto" w:fill="55A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cPr>
      <w:shd w:val="clear" w:color="auto" w:fill="FFE9C8" w:themeFill="accent6" w:themeFillTint="3F"/>
    </w:tcPr>
    <w:tblStylePr w:type="firstRow">
      <w:rPr>
        <w:b/>
        <w:bCs/>
        <w:color w:val="404040" w:themeColor="text1"/>
      </w:rPr>
      <w:tblPr/>
      <w:tcPr>
        <w:shd w:val="clear" w:color="auto" w:fill="FFF6E9"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FEDD2" w:themeFill="accent6" w:themeFillTint="33"/>
      </w:tcPr>
    </w:tblStylePr>
    <w:tblStylePr w:type="band1Vert">
      <w:tblPr/>
      <w:tcPr>
        <w:shd w:val="clear" w:color="auto" w:fill="FFD490" w:themeFill="accent6" w:themeFillTint="7F"/>
      </w:tcPr>
    </w:tblStylePr>
    <w:tblStylePr w:type="band1Horz">
      <w:tblPr/>
      <w:tcPr>
        <w:tcBorders>
          <w:insideH w:val="single" w:sz="6" w:space="0" w:color="FFAA22" w:themeColor="accent6"/>
          <w:insideV w:val="single" w:sz="6" w:space="0" w:color="FFAA22" w:themeColor="accent6"/>
        </w:tcBorders>
        <w:shd w:val="clear" w:color="auto" w:fill="FFD4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4" w:themeFill="accent1" w:themeFillTint="7F"/>
      </w:tcPr>
    </w:tblStylePr>
  </w:style>
  <w:style w:type="table" w:styleId="MediumGrid3-Accent2">
    <w:name w:val="Medium Grid 3 Accent 2"/>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2" w:themeFillTint="7F"/>
      </w:tcPr>
    </w:tblStylePr>
  </w:style>
  <w:style w:type="table" w:styleId="MediumGrid3-Accent3">
    <w:name w:val="Medium Grid 3 Accent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MediumGrid3-Accent4">
    <w:name w:val="Medium Grid 3 Accent 4"/>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20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20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8F" w:themeFill="accent4" w:themeFillTint="7F"/>
      </w:tcPr>
    </w:tblStylePr>
  </w:style>
  <w:style w:type="table" w:styleId="MediumGrid3-Accent5">
    <w:name w:val="Medium Grid 3 Accent 5"/>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AFF" w:themeFill="accent5" w:themeFillTint="7F"/>
      </w:tcPr>
    </w:tblStylePr>
  </w:style>
  <w:style w:type="table" w:styleId="MediumGrid3-Accent6">
    <w:name w:val="Medium Grid 3 Accent 6"/>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90" w:themeFill="accent6" w:themeFillTint="7F"/>
      </w:tcPr>
    </w:tblStylePr>
  </w:style>
  <w:style w:type="table" w:styleId="MediumList1">
    <w:name w:val="Medium Lis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FFFFFF"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7C8CA" w:themeColor="accent1"/>
        <w:bottom w:val="single" w:sz="8" w:space="0" w:color="C7C8CA" w:themeColor="accent1"/>
      </w:tblBorders>
    </w:tblPr>
    <w:tblStylePr w:type="firstRow">
      <w:rPr>
        <w:rFonts w:asciiTheme="majorHAnsi" w:eastAsiaTheme="majorEastAsia" w:hAnsiTheme="majorHAnsi" w:cstheme="majorBidi"/>
      </w:rPr>
      <w:tblPr/>
      <w:tcPr>
        <w:tcBorders>
          <w:top w:val="nil"/>
          <w:bottom w:val="single" w:sz="8" w:space="0" w:color="C7C8CA" w:themeColor="accent1"/>
        </w:tcBorders>
      </w:tcPr>
    </w:tblStylePr>
    <w:tblStylePr w:type="lastRow">
      <w:rPr>
        <w:b/>
        <w:bCs/>
        <w:color w:val="FFFFFF" w:themeColor="text2"/>
      </w:rPr>
      <w:tblPr/>
      <w:tcPr>
        <w:tcBorders>
          <w:top w:val="single" w:sz="8" w:space="0" w:color="C7C8CA" w:themeColor="accent1"/>
          <w:bottom w:val="single" w:sz="8" w:space="0" w:color="C7C8CA" w:themeColor="accent1"/>
        </w:tcBorders>
      </w:tcPr>
    </w:tblStylePr>
    <w:tblStylePr w:type="firstCol">
      <w:rPr>
        <w:b/>
        <w:bCs/>
      </w:rPr>
    </w:tblStylePr>
    <w:tblStylePr w:type="lastCol">
      <w:rPr>
        <w:b/>
        <w:bCs/>
      </w:rPr>
      <w:tblPr/>
      <w:tcPr>
        <w:tcBorders>
          <w:top w:val="single" w:sz="8" w:space="0" w:color="C7C8CA" w:themeColor="accent1"/>
          <w:bottom w:val="single" w:sz="8" w:space="0" w:color="C7C8CA" w:themeColor="accent1"/>
        </w:tcBorders>
      </w:tcPr>
    </w:tblStylePr>
    <w:tblStylePr w:type="band1Vert">
      <w:tblPr/>
      <w:tcPr>
        <w:shd w:val="clear" w:color="auto" w:fill="F1F1F2" w:themeFill="accent1" w:themeFillTint="3F"/>
      </w:tcPr>
    </w:tblStylePr>
    <w:tblStylePr w:type="band1Horz">
      <w:tblPr/>
      <w:tcPr>
        <w:shd w:val="clear" w:color="auto" w:fill="F1F1F2" w:themeFill="accent1" w:themeFillTint="3F"/>
      </w:tcPr>
    </w:tblStylePr>
  </w:style>
  <w:style w:type="table" w:styleId="MediumList1-Accent2">
    <w:name w:val="Medium List 1 Accent 2"/>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939598" w:themeColor="accent2"/>
        <w:bottom w:val="single" w:sz="8" w:space="0" w:color="939598" w:themeColor="accent2"/>
      </w:tblBorders>
    </w:tblPr>
    <w:tblStylePr w:type="firstRow">
      <w:rPr>
        <w:rFonts w:asciiTheme="majorHAnsi" w:eastAsiaTheme="majorEastAsia" w:hAnsiTheme="majorHAnsi" w:cstheme="majorBidi"/>
      </w:rPr>
      <w:tblPr/>
      <w:tcPr>
        <w:tcBorders>
          <w:top w:val="nil"/>
          <w:bottom w:val="single" w:sz="8" w:space="0" w:color="939598" w:themeColor="accent2"/>
        </w:tcBorders>
      </w:tcPr>
    </w:tblStylePr>
    <w:tblStylePr w:type="lastRow">
      <w:rPr>
        <w:b/>
        <w:bCs/>
        <w:color w:val="FFFFFF" w:themeColor="text2"/>
      </w:rPr>
      <w:tblPr/>
      <w:tcPr>
        <w:tcBorders>
          <w:top w:val="single" w:sz="8" w:space="0" w:color="939598" w:themeColor="accent2"/>
          <w:bottom w:val="single" w:sz="8" w:space="0" w:color="939598" w:themeColor="accent2"/>
        </w:tcBorders>
      </w:tcPr>
    </w:tblStylePr>
    <w:tblStylePr w:type="firstCol">
      <w:rPr>
        <w:b/>
        <w:bCs/>
      </w:rPr>
    </w:tblStylePr>
    <w:tblStylePr w:type="lastCol">
      <w:rPr>
        <w:b/>
        <w:bCs/>
      </w:rPr>
      <w:tblPr/>
      <w:tcPr>
        <w:tcBorders>
          <w:top w:val="single" w:sz="8" w:space="0" w:color="939598" w:themeColor="accent2"/>
          <w:bottom w:val="single" w:sz="8" w:space="0" w:color="939598" w:themeColor="accent2"/>
        </w:tcBorders>
      </w:tcPr>
    </w:tblStylePr>
    <w:tblStylePr w:type="band1Vert">
      <w:tblPr/>
      <w:tcPr>
        <w:shd w:val="clear" w:color="auto" w:fill="E4E4E5" w:themeFill="accent2" w:themeFillTint="3F"/>
      </w:tcPr>
    </w:tblStylePr>
    <w:tblStylePr w:type="band1Horz">
      <w:tblPr/>
      <w:tcPr>
        <w:shd w:val="clear" w:color="auto" w:fill="E4E4E5" w:themeFill="accent2" w:themeFillTint="3F"/>
      </w:tcPr>
    </w:tblStylePr>
  </w:style>
  <w:style w:type="table" w:styleId="MediumList1-Accent3">
    <w:name w:val="Medium List 1 Accent 3"/>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FFFFFF"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MediumList1-Accent4">
    <w:name w:val="Medium List 1 Accent 4"/>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D202C" w:themeColor="accent4"/>
        <w:bottom w:val="single" w:sz="8" w:space="0" w:color="CD202C" w:themeColor="accent4"/>
      </w:tblBorders>
    </w:tblPr>
    <w:tblStylePr w:type="firstRow">
      <w:rPr>
        <w:rFonts w:asciiTheme="majorHAnsi" w:eastAsiaTheme="majorEastAsia" w:hAnsiTheme="majorHAnsi" w:cstheme="majorBidi"/>
      </w:rPr>
      <w:tblPr/>
      <w:tcPr>
        <w:tcBorders>
          <w:top w:val="nil"/>
          <w:bottom w:val="single" w:sz="8" w:space="0" w:color="CD202C" w:themeColor="accent4"/>
        </w:tcBorders>
      </w:tcPr>
    </w:tblStylePr>
    <w:tblStylePr w:type="lastRow">
      <w:rPr>
        <w:b/>
        <w:bCs/>
        <w:color w:val="FFFFFF" w:themeColor="text2"/>
      </w:rPr>
      <w:tblPr/>
      <w:tcPr>
        <w:tcBorders>
          <w:top w:val="single" w:sz="8" w:space="0" w:color="CD202C" w:themeColor="accent4"/>
          <w:bottom w:val="single" w:sz="8" w:space="0" w:color="CD202C" w:themeColor="accent4"/>
        </w:tcBorders>
      </w:tcPr>
    </w:tblStylePr>
    <w:tblStylePr w:type="firstCol">
      <w:rPr>
        <w:b/>
        <w:bCs/>
      </w:rPr>
    </w:tblStylePr>
    <w:tblStylePr w:type="lastCol">
      <w:rPr>
        <w:b/>
        <w:bCs/>
      </w:rPr>
      <w:tblPr/>
      <w:tcPr>
        <w:tcBorders>
          <w:top w:val="single" w:sz="8" w:space="0" w:color="CD202C" w:themeColor="accent4"/>
          <w:bottom w:val="single" w:sz="8" w:space="0" w:color="CD202C" w:themeColor="accent4"/>
        </w:tcBorders>
      </w:tcPr>
    </w:tblStylePr>
    <w:tblStylePr w:type="band1Vert">
      <w:tblPr/>
      <w:tcPr>
        <w:shd w:val="clear" w:color="auto" w:fill="F6C4C7" w:themeFill="accent4" w:themeFillTint="3F"/>
      </w:tcPr>
    </w:tblStylePr>
    <w:tblStylePr w:type="band1Horz">
      <w:tblPr/>
      <w:tcPr>
        <w:shd w:val="clear" w:color="auto" w:fill="F6C4C7" w:themeFill="accent4" w:themeFillTint="3F"/>
      </w:tcPr>
    </w:tblStylePr>
  </w:style>
  <w:style w:type="table" w:styleId="MediumList1-Accent5">
    <w:name w:val="Medium List 1 Accent 5"/>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0055AA" w:themeColor="accent5"/>
        <w:bottom w:val="single" w:sz="8" w:space="0" w:color="0055AA" w:themeColor="accent5"/>
      </w:tblBorders>
    </w:tblPr>
    <w:tblStylePr w:type="firstRow">
      <w:rPr>
        <w:rFonts w:asciiTheme="majorHAnsi" w:eastAsiaTheme="majorEastAsia" w:hAnsiTheme="majorHAnsi" w:cstheme="majorBidi"/>
      </w:rPr>
      <w:tblPr/>
      <w:tcPr>
        <w:tcBorders>
          <w:top w:val="nil"/>
          <w:bottom w:val="single" w:sz="8" w:space="0" w:color="0055AA" w:themeColor="accent5"/>
        </w:tcBorders>
      </w:tcPr>
    </w:tblStylePr>
    <w:tblStylePr w:type="lastRow">
      <w:rPr>
        <w:b/>
        <w:bCs/>
        <w:color w:val="FFFFFF" w:themeColor="text2"/>
      </w:rPr>
      <w:tblPr/>
      <w:tcPr>
        <w:tcBorders>
          <w:top w:val="single" w:sz="8" w:space="0" w:color="0055AA" w:themeColor="accent5"/>
          <w:bottom w:val="single" w:sz="8" w:space="0" w:color="0055AA" w:themeColor="accent5"/>
        </w:tcBorders>
      </w:tcPr>
    </w:tblStylePr>
    <w:tblStylePr w:type="firstCol">
      <w:rPr>
        <w:b/>
        <w:bCs/>
      </w:rPr>
    </w:tblStylePr>
    <w:tblStylePr w:type="lastCol">
      <w:rPr>
        <w:b/>
        <w:bCs/>
      </w:rPr>
      <w:tblPr/>
      <w:tcPr>
        <w:tcBorders>
          <w:top w:val="single" w:sz="8" w:space="0" w:color="0055AA" w:themeColor="accent5"/>
          <w:bottom w:val="single" w:sz="8" w:space="0" w:color="0055AA" w:themeColor="accent5"/>
        </w:tcBorders>
      </w:tcPr>
    </w:tblStylePr>
    <w:tblStylePr w:type="band1Vert">
      <w:tblPr/>
      <w:tcPr>
        <w:shd w:val="clear" w:color="auto" w:fill="ABD4FF" w:themeFill="accent5" w:themeFillTint="3F"/>
      </w:tcPr>
    </w:tblStylePr>
    <w:tblStylePr w:type="band1Horz">
      <w:tblPr/>
      <w:tcPr>
        <w:shd w:val="clear" w:color="auto" w:fill="ABD4FF" w:themeFill="accent5" w:themeFillTint="3F"/>
      </w:tcPr>
    </w:tblStylePr>
  </w:style>
  <w:style w:type="table" w:styleId="MediumList1-Accent6">
    <w:name w:val="Medium List 1 Accent 6"/>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FFAA22" w:themeColor="accent6"/>
        <w:bottom w:val="single" w:sz="8" w:space="0" w:color="FFAA22" w:themeColor="accent6"/>
      </w:tblBorders>
    </w:tblPr>
    <w:tblStylePr w:type="firstRow">
      <w:rPr>
        <w:rFonts w:asciiTheme="majorHAnsi" w:eastAsiaTheme="majorEastAsia" w:hAnsiTheme="majorHAnsi" w:cstheme="majorBidi"/>
      </w:rPr>
      <w:tblPr/>
      <w:tcPr>
        <w:tcBorders>
          <w:top w:val="nil"/>
          <w:bottom w:val="single" w:sz="8" w:space="0" w:color="FFAA22" w:themeColor="accent6"/>
        </w:tcBorders>
      </w:tcPr>
    </w:tblStylePr>
    <w:tblStylePr w:type="lastRow">
      <w:rPr>
        <w:b/>
        <w:bCs/>
        <w:color w:val="FFFFFF" w:themeColor="text2"/>
      </w:rPr>
      <w:tblPr/>
      <w:tcPr>
        <w:tcBorders>
          <w:top w:val="single" w:sz="8" w:space="0" w:color="FFAA22" w:themeColor="accent6"/>
          <w:bottom w:val="single" w:sz="8" w:space="0" w:color="FFAA22" w:themeColor="accent6"/>
        </w:tcBorders>
      </w:tcPr>
    </w:tblStylePr>
    <w:tblStylePr w:type="firstCol">
      <w:rPr>
        <w:b/>
        <w:bCs/>
      </w:rPr>
    </w:tblStylePr>
    <w:tblStylePr w:type="lastCol">
      <w:rPr>
        <w:b/>
        <w:bCs/>
      </w:rPr>
      <w:tblPr/>
      <w:tcPr>
        <w:tcBorders>
          <w:top w:val="single" w:sz="8" w:space="0" w:color="FFAA22" w:themeColor="accent6"/>
          <w:bottom w:val="single" w:sz="8" w:space="0" w:color="FFAA22" w:themeColor="accent6"/>
        </w:tcBorders>
      </w:tcPr>
    </w:tblStylePr>
    <w:tblStylePr w:type="band1Vert">
      <w:tblPr/>
      <w:tcPr>
        <w:shd w:val="clear" w:color="auto" w:fill="FFE9C8" w:themeFill="accent6" w:themeFillTint="3F"/>
      </w:tcPr>
    </w:tblStylePr>
    <w:tblStylePr w:type="band1Horz">
      <w:tblPr/>
      <w:tcPr>
        <w:shd w:val="clear" w:color="auto" w:fill="FFE9C8" w:themeFill="accent6" w:themeFillTint="3F"/>
      </w:tcPr>
    </w:tblStylePr>
  </w:style>
  <w:style w:type="table" w:styleId="MediumList2">
    <w:name w:val="Medium Lis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rPr>
        <w:sz w:val="24"/>
        <w:szCs w:val="24"/>
      </w:rPr>
      <w:tblPr/>
      <w:tcPr>
        <w:tcBorders>
          <w:top w:val="nil"/>
          <w:left w:val="nil"/>
          <w:bottom w:val="single" w:sz="24" w:space="0" w:color="C7C8C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8CA" w:themeColor="accent1"/>
          <w:insideH w:val="nil"/>
          <w:insideV w:val="nil"/>
        </w:tcBorders>
        <w:shd w:val="clear" w:color="auto" w:fill="FFFFFF" w:themeFill="background1"/>
      </w:tcPr>
    </w:tblStylePr>
    <w:tblStylePr w:type="lastCol">
      <w:tblPr/>
      <w:tcPr>
        <w:tcBorders>
          <w:top w:val="nil"/>
          <w:left w:val="single" w:sz="8" w:space="0" w:color="C7C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top w:val="nil"/>
          <w:bottom w:val="nil"/>
          <w:insideH w:val="nil"/>
          <w:insideV w:val="nil"/>
        </w:tcBorders>
        <w:shd w:val="clear" w:color="auto" w:fill="F1F1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rPr>
        <w:sz w:val="24"/>
        <w:szCs w:val="24"/>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2"/>
          <w:insideH w:val="nil"/>
          <w:insideV w:val="nil"/>
        </w:tcBorders>
        <w:shd w:val="clear" w:color="auto" w:fill="FFFFFF" w:themeFill="background1"/>
      </w:tcPr>
    </w:tblStylePr>
    <w:tblStylePr w:type="lastCol">
      <w:tblPr/>
      <w:tcPr>
        <w:tcBorders>
          <w:top w:val="nil"/>
          <w:left w:val="single" w:sz="8" w:space="0" w:color="9395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top w:val="nil"/>
          <w:bottom w:val="nil"/>
          <w:insideH w:val="nil"/>
          <w:insideV w:val="nil"/>
        </w:tcBorders>
        <w:shd w:val="clear" w:color="auto" w:fill="E4E4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rPr>
        <w:sz w:val="24"/>
        <w:szCs w:val="24"/>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202C" w:themeColor="accent4"/>
          <w:insideH w:val="nil"/>
          <w:insideV w:val="nil"/>
        </w:tcBorders>
        <w:shd w:val="clear" w:color="auto" w:fill="FFFFFF" w:themeFill="background1"/>
      </w:tcPr>
    </w:tblStylePr>
    <w:tblStylePr w:type="lastCol">
      <w:tblPr/>
      <w:tcPr>
        <w:tcBorders>
          <w:top w:val="nil"/>
          <w:left w:val="single" w:sz="8" w:space="0" w:color="CD20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top w:val="nil"/>
          <w:bottom w:val="nil"/>
          <w:insideH w:val="nil"/>
          <w:insideV w:val="nil"/>
        </w:tcBorders>
        <w:shd w:val="clear" w:color="auto" w:fill="F6C4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rPr>
        <w:sz w:val="24"/>
        <w:szCs w:val="24"/>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A" w:themeColor="accent5"/>
          <w:insideH w:val="nil"/>
          <w:insideV w:val="nil"/>
        </w:tcBorders>
        <w:shd w:val="clear" w:color="auto" w:fill="FFFFFF" w:themeFill="background1"/>
      </w:tcPr>
    </w:tblStylePr>
    <w:tblStylePr w:type="lastCol">
      <w:tblPr/>
      <w:tcPr>
        <w:tcBorders>
          <w:top w:val="nil"/>
          <w:left w:val="single" w:sz="8" w:space="0" w:color="0055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top w:val="nil"/>
          <w:bottom w:val="nil"/>
          <w:insideH w:val="nil"/>
          <w:insideV w:val="nil"/>
        </w:tcBorders>
        <w:shd w:val="clear" w:color="auto" w:fill="ABD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rPr>
        <w:sz w:val="24"/>
        <w:szCs w:val="24"/>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22" w:themeColor="accent6"/>
          <w:insideH w:val="nil"/>
          <w:insideV w:val="nil"/>
        </w:tcBorders>
        <w:shd w:val="clear" w:color="auto" w:fill="FFFFFF" w:themeFill="background1"/>
      </w:tcPr>
    </w:tblStylePr>
    <w:tblStylePr w:type="lastCol">
      <w:tblPr/>
      <w:tcPr>
        <w:tcBorders>
          <w:top w:val="nil"/>
          <w:left w:val="single" w:sz="8" w:space="0" w:color="FFAA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top w:val="nil"/>
          <w:bottom w:val="nil"/>
          <w:insideH w:val="nil"/>
          <w:insideV w:val="nil"/>
        </w:tcBorders>
        <w:shd w:val="clear" w:color="auto" w:fill="FF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tblBorders>
    </w:tblPr>
    <w:tblStylePr w:type="firstRow">
      <w:pPr>
        <w:spacing w:before="0" w:after="0" w:line="240" w:lineRule="auto"/>
      </w:pPr>
      <w:rPr>
        <w:b/>
        <w:bCs/>
        <w:color w:val="FFFFFF" w:themeColor="background1"/>
      </w:rPr>
      <w:tblPr/>
      <w:tcPr>
        <w:tc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shd w:val="clear" w:color="auto" w:fill="C7C8CA" w:themeFill="accent1"/>
      </w:tcPr>
    </w:tblStylePr>
    <w:tblStylePr w:type="lastRow">
      <w:pPr>
        <w:spacing w:before="0" w:after="0" w:line="240" w:lineRule="auto"/>
      </w:pPr>
      <w:rPr>
        <w:b/>
        <w:bCs/>
      </w:rPr>
      <w:tblPr/>
      <w:tcPr>
        <w:tcBorders>
          <w:top w:val="double" w:sz="6"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F1F2" w:themeFill="accent1" w:themeFillTint="3F"/>
      </w:tcPr>
    </w:tblStylePr>
    <w:tblStylePr w:type="band1Horz">
      <w:tblPr/>
      <w:tcPr>
        <w:tcBorders>
          <w:insideH w:val="nil"/>
          <w:insideV w:val="nil"/>
        </w:tcBorders>
        <w:shd w:val="clear" w:color="auto" w:fill="F1F1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tblBorders>
    </w:tblPr>
    <w:tblStylePr w:type="firstRow">
      <w:pPr>
        <w:spacing w:before="0" w:after="0" w:line="240" w:lineRule="auto"/>
      </w:pPr>
      <w:rPr>
        <w:b/>
        <w:bCs/>
        <w:color w:val="FFFFFF" w:themeColor="background1"/>
      </w:rPr>
      <w:tblPr/>
      <w:tcPr>
        <w:tc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shd w:val="clear" w:color="auto" w:fill="939598" w:themeFill="accent2"/>
      </w:tcPr>
    </w:tblStylePr>
    <w:tblStylePr w:type="lastRow">
      <w:pPr>
        <w:spacing w:before="0" w:after="0" w:line="240" w:lineRule="auto"/>
      </w:pPr>
      <w:rPr>
        <w:b/>
        <w:bCs/>
      </w:rPr>
      <w:tblPr/>
      <w:tcPr>
        <w:tcBorders>
          <w:top w:val="double" w:sz="6"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2" w:themeFillTint="3F"/>
      </w:tcPr>
    </w:tblStylePr>
    <w:tblStylePr w:type="band1Horz">
      <w:tblPr/>
      <w:tcPr>
        <w:tcBorders>
          <w:insideH w:val="nil"/>
          <w:insideV w:val="nil"/>
        </w:tcBorders>
        <w:shd w:val="clear" w:color="auto" w:fill="E4E4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tblBorders>
    </w:tblPr>
    <w:tblStylePr w:type="firstRow">
      <w:pPr>
        <w:spacing w:before="0" w:after="0" w:line="240" w:lineRule="auto"/>
      </w:pPr>
      <w:rPr>
        <w:b/>
        <w:bCs/>
        <w:color w:val="FFFFFF" w:themeColor="background1"/>
      </w:rPr>
      <w:tblPr/>
      <w:tcPr>
        <w:tc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shd w:val="clear" w:color="auto" w:fill="CD202C" w:themeFill="accent4"/>
      </w:tcPr>
    </w:tblStylePr>
    <w:tblStylePr w:type="lastRow">
      <w:pPr>
        <w:spacing w:before="0" w:after="0" w:line="240" w:lineRule="auto"/>
      </w:pPr>
      <w:rPr>
        <w:b/>
        <w:bCs/>
      </w:rPr>
      <w:tblPr/>
      <w:tcPr>
        <w:tcBorders>
          <w:top w:val="double" w:sz="6"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C4C7" w:themeFill="accent4" w:themeFillTint="3F"/>
      </w:tcPr>
    </w:tblStylePr>
    <w:tblStylePr w:type="band1Horz">
      <w:tblPr/>
      <w:tcPr>
        <w:tcBorders>
          <w:insideH w:val="nil"/>
          <w:insideV w:val="nil"/>
        </w:tcBorders>
        <w:shd w:val="clear" w:color="auto" w:fill="F6C4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tblBorders>
    </w:tblPr>
    <w:tblStylePr w:type="firstRow">
      <w:pPr>
        <w:spacing w:before="0" w:after="0" w:line="240" w:lineRule="auto"/>
      </w:pPr>
      <w:rPr>
        <w:b/>
        <w:bCs/>
        <w:color w:val="FFFFFF" w:themeColor="background1"/>
      </w:rPr>
      <w:tblPr/>
      <w:tcPr>
        <w:tc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shd w:val="clear" w:color="auto" w:fill="0055AA" w:themeFill="accent5"/>
      </w:tcPr>
    </w:tblStylePr>
    <w:tblStylePr w:type="lastRow">
      <w:pPr>
        <w:spacing w:before="0" w:after="0" w:line="240" w:lineRule="auto"/>
      </w:pPr>
      <w:rPr>
        <w:b/>
        <w:bCs/>
      </w:rPr>
      <w:tblPr/>
      <w:tcPr>
        <w:tcBorders>
          <w:top w:val="double" w:sz="6"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D4FF" w:themeFill="accent5" w:themeFillTint="3F"/>
      </w:tcPr>
    </w:tblStylePr>
    <w:tblStylePr w:type="band1Horz">
      <w:tblPr/>
      <w:tcPr>
        <w:tcBorders>
          <w:insideH w:val="nil"/>
          <w:insideV w:val="nil"/>
        </w:tcBorders>
        <w:shd w:val="clear" w:color="auto" w:fill="ABD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tblBorders>
    </w:tblPr>
    <w:tblStylePr w:type="firstRow">
      <w:pPr>
        <w:spacing w:before="0" w:after="0" w:line="240" w:lineRule="auto"/>
      </w:pPr>
      <w:rPr>
        <w:b/>
        <w:bCs/>
        <w:color w:val="FFFFFF" w:themeColor="background1"/>
      </w:rPr>
      <w:tblPr/>
      <w:tcPr>
        <w:tc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shd w:val="clear" w:color="auto" w:fill="FFAA22" w:themeFill="accent6"/>
      </w:tcPr>
    </w:tblStylePr>
    <w:tblStylePr w:type="lastRow">
      <w:pPr>
        <w:spacing w:before="0" w:after="0" w:line="240" w:lineRule="auto"/>
      </w:pPr>
      <w:rPr>
        <w:b/>
        <w:bCs/>
      </w:rPr>
      <w:tblPr/>
      <w:tcPr>
        <w:tcBorders>
          <w:top w:val="double" w:sz="6"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C8" w:themeFill="accent6" w:themeFillTint="3F"/>
      </w:tcPr>
    </w:tblStylePr>
    <w:tblStylePr w:type="band1Horz">
      <w:tblPr/>
      <w:tcPr>
        <w:tcBorders>
          <w:insideH w:val="nil"/>
          <w:insideV w:val="nil"/>
        </w:tcBorders>
        <w:shd w:val="clear" w:color="auto" w:fill="FF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C8CA" w:themeFill="accent1"/>
      </w:tcPr>
    </w:tblStylePr>
    <w:tblStylePr w:type="lastCol">
      <w:rPr>
        <w:b/>
        <w:bCs/>
        <w:color w:val="FFFFFF" w:themeColor="background1"/>
      </w:rPr>
      <w:tblPr/>
      <w:tcPr>
        <w:tcBorders>
          <w:left w:val="nil"/>
          <w:right w:val="nil"/>
          <w:insideH w:val="nil"/>
          <w:insideV w:val="nil"/>
        </w:tcBorders>
        <w:shd w:val="clear" w:color="auto" w:fill="C7C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8" w:themeFill="accent2"/>
      </w:tcPr>
    </w:tblStylePr>
    <w:tblStylePr w:type="lastCol">
      <w:rPr>
        <w:b/>
        <w:bCs/>
        <w:color w:val="FFFFFF" w:themeColor="background1"/>
      </w:rPr>
      <w:tblPr/>
      <w:tcPr>
        <w:tcBorders>
          <w:left w:val="nil"/>
          <w:right w:val="nil"/>
          <w:insideH w:val="nil"/>
          <w:insideV w:val="nil"/>
        </w:tcBorders>
        <w:shd w:val="clear" w:color="auto" w:fill="9395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20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202C" w:themeFill="accent4"/>
      </w:tcPr>
    </w:tblStylePr>
    <w:tblStylePr w:type="lastCol">
      <w:rPr>
        <w:b/>
        <w:bCs/>
        <w:color w:val="FFFFFF" w:themeColor="background1"/>
      </w:rPr>
      <w:tblPr/>
      <w:tcPr>
        <w:tcBorders>
          <w:left w:val="nil"/>
          <w:right w:val="nil"/>
          <w:insideH w:val="nil"/>
          <w:insideV w:val="nil"/>
        </w:tcBorders>
        <w:shd w:val="clear" w:color="auto" w:fill="CD20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AA" w:themeFill="accent5"/>
      </w:tcPr>
    </w:tblStylePr>
    <w:tblStylePr w:type="lastCol">
      <w:rPr>
        <w:b/>
        <w:bCs/>
        <w:color w:val="FFFFFF" w:themeColor="background1"/>
      </w:rPr>
      <w:tblPr/>
      <w:tcPr>
        <w:tcBorders>
          <w:left w:val="nil"/>
          <w:right w:val="nil"/>
          <w:insideH w:val="nil"/>
          <w:insideV w:val="nil"/>
        </w:tcBorders>
        <w:shd w:val="clear" w:color="auto" w:fill="0055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A22" w:themeFill="accent6"/>
      </w:tcPr>
    </w:tblStylePr>
    <w:tblStylePr w:type="lastCol">
      <w:rPr>
        <w:b/>
        <w:bCs/>
        <w:color w:val="FFFFFF" w:themeColor="background1"/>
      </w:rPr>
      <w:tblPr/>
      <w:tcPr>
        <w:tcBorders>
          <w:left w:val="nil"/>
          <w:right w:val="nil"/>
          <w:insideH w:val="nil"/>
          <w:insideV w:val="nil"/>
        </w:tcBorders>
        <w:shd w:val="clear" w:color="auto" w:fill="FFAA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527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F527CC"/>
    <w:rPr>
      <w:rFonts w:eastAsiaTheme="majorEastAsia" w:cs="Arial"/>
      <w:sz w:val="24"/>
      <w:szCs w:val="24"/>
      <w:shd w:val="pct20" w:color="auto" w:fill="auto"/>
      <w:lang w:val="en-US"/>
    </w:rPr>
  </w:style>
  <w:style w:type="paragraph" w:styleId="NormalWeb">
    <w:name w:val="Normal (Web)"/>
    <w:basedOn w:val="Normal"/>
    <w:uiPriority w:val="99"/>
    <w:unhideWhenUsed/>
    <w:rsid w:val="00F527CC"/>
    <w:rPr>
      <w:rFonts w:ascii="Times New Roman" w:hAnsi="Times New Roman" w:cs="Times New Roman"/>
      <w:sz w:val="24"/>
      <w:szCs w:val="24"/>
    </w:rPr>
  </w:style>
  <w:style w:type="paragraph" w:styleId="NormalIndent">
    <w:name w:val="Normal Indent"/>
    <w:basedOn w:val="Normal"/>
    <w:uiPriority w:val="99"/>
    <w:semiHidden/>
    <w:unhideWhenUsed/>
    <w:rsid w:val="00F527CC"/>
    <w:pPr>
      <w:ind w:left="720"/>
    </w:pPr>
  </w:style>
  <w:style w:type="paragraph" w:styleId="NoteHeading">
    <w:name w:val="Note Heading"/>
    <w:basedOn w:val="Normal"/>
    <w:next w:val="Normal"/>
    <w:link w:val="NoteHeadingChar"/>
    <w:uiPriority w:val="99"/>
    <w:semiHidden/>
    <w:unhideWhenUsed/>
    <w:rsid w:val="00F527CC"/>
    <w:pPr>
      <w:spacing w:after="0" w:line="240" w:lineRule="auto"/>
    </w:pPr>
  </w:style>
  <w:style w:type="character" w:customStyle="1" w:styleId="NoteHeadingChar">
    <w:name w:val="Note Heading Char"/>
    <w:basedOn w:val="DefaultParagraphFont"/>
    <w:link w:val="NoteHeading"/>
    <w:uiPriority w:val="99"/>
    <w:semiHidden/>
    <w:rsid w:val="00F527CC"/>
    <w:rPr>
      <w:lang w:val="en-US"/>
    </w:rPr>
  </w:style>
  <w:style w:type="character" w:styleId="PageNumber">
    <w:name w:val="page number"/>
    <w:basedOn w:val="DefaultParagraphFont"/>
    <w:uiPriority w:val="99"/>
    <w:semiHidden/>
    <w:unhideWhenUsed/>
    <w:rsid w:val="00F527CC"/>
    <w:rPr>
      <w:lang w:val="en-US"/>
    </w:rPr>
  </w:style>
  <w:style w:type="table" w:styleId="PlainTable1">
    <w:name w:val="Plain Table 1"/>
    <w:basedOn w:val="TableNormal"/>
    <w:uiPriority w:val="41"/>
    <w:rsid w:val="00F52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27CC"/>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F527CC"/>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527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27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527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27CC"/>
    <w:rPr>
      <w:rFonts w:ascii="Consolas" w:hAnsi="Consolas"/>
      <w:sz w:val="21"/>
      <w:szCs w:val="21"/>
      <w:lang w:val="en-US"/>
    </w:rPr>
  </w:style>
  <w:style w:type="paragraph" w:styleId="Salutation">
    <w:name w:val="Salutation"/>
    <w:basedOn w:val="Normal"/>
    <w:next w:val="Normal"/>
    <w:link w:val="SalutationChar"/>
    <w:uiPriority w:val="99"/>
    <w:semiHidden/>
    <w:unhideWhenUsed/>
    <w:rsid w:val="00F527CC"/>
  </w:style>
  <w:style w:type="character" w:customStyle="1" w:styleId="SalutationChar">
    <w:name w:val="Salutation Char"/>
    <w:basedOn w:val="DefaultParagraphFont"/>
    <w:link w:val="Salutation"/>
    <w:uiPriority w:val="99"/>
    <w:semiHidden/>
    <w:rsid w:val="00F527CC"/>
    <w:rPr>
      <w:lang w:val="en-US"/>
    </w:rPr>
  </w:style>
  <w:style w:type="paragraph" w:styleId="Signature">
    <w:name w:val="Signature"/>
    <w:basedOn w:val="Normal"/>
    <w:link w:val="SignatureChar"/>
    <w:uiPriority w:val="99"/>
    <w:semiHidden/>
    <w:unhideWhenUsed/>
    <w:rsid w:val="00F527CC"/>
    <w:pPr>
      <w:spacing w:after="0" w:line="240" w:lineRule="auto"/>
      <w:ind w:left="4252"/>
    </w:pPr>
  </w:style>
  <w:style w:type="character" w:customStyle="1" w:styleId="SignatureChar">
    <w:name w:val="Signature Char"/>
    <w:basedOn w:val="DefaultParagraphFont"/>
    <w:link w:val="Signature"/>
    <w:uiPriority w:val="99"/>
    <w:semiHidden/>
    <w:rsid w:val="00F527CC"/>
    <w:rPr>
      <w:lang w:val="en-US"/>
    </w:rPr>
  </w:style>
  <w:style w:type="character" w:styleId="Strong">
    <w:name w:val="Strong"/>
    <w:basedOn w:val="DefaultParagraphFont"/>
    <w:uiPriority w:val="22"/>
    <w:qFormat/>
    <w:rsid w:val="00F527CC"/>
    <w:rPr>
      <w:b/>
      <w:bCs/>
      <w:lang w:val="en-US"/>
    </w:rPr>
  </w:style>
  <w:style w:type="character" w:styleId="SubtleEmphasis">
    <w:name w:val="Subtle Emphasis"/>
    <w:basedOn w:val="DefaultParagraphFont"/>
    <w:uiPriority w:val="19"/>
    <w:qFormat/>
    <w:rsid w:val="00F527CC"/>
    <w:rPr>
      <w:i/>
      <w:iCs/>
      <w:color w:val="6F6F6F" w:themeColor="text1" w:themeTint="BF"/>
      <w:lang w:val="en-US"/>
    </w:rPr>
  </w:style>
  <w:style w:type="character" w:styleId="SubtleReference">
    <w:name w:val="Subtle Reference"/>
    <w:basedOn w:val="DefaultParagraphFont"/>
    <w:uiPriority w:val="31"/>
    <w:qFormat/>
    <w:rsid w:val="00F527CC"/>
    <w:rPr>
      <w:smallCaps/>
      <w:color w:val="838383" w:themeColor="text1" w:themeTint="A5"/>
      <w:lang w:val="en-US"/>
    </w:rPr>
  </w:style>
  <w:style w:type="table" w:styleId="Table3Deffects1">
    <w:name w:val="Table 3D effects 1"/>
    <w:basedOn w:val="TableNormal"/>
    <w:uiPriority w:val="99"/>
    <w:semiHidden/>
    <w:unhideWhenUsed/>
    <w:rsid w:val="00F527CC"/>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27CC"/>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27CC"/>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27CC"/>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27CC"/>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27CC"/>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27CC"/>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27CC"/>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27CC"/>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27CC"/>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27CC"/>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27CC"/>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27CC"/>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27CC"/>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27CC"/>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27CC"/>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27CC"/>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27CC"/>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27CC"/>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27CC"/>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52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527CC"/>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27CC"/>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27CC"/>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27CC"/>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27CC"/>
    <w:pPr>
      <w:spacing w:after="0"/>
      <w:ind w:left="220" w:hanging="220"/>
    </w:pPr>
  </w:style>
  <w:style w:type="paragraph" w:styleId="TableofFigures">
    <w:name w:val="table of figures"/>
    <w:basedOn w:val="Normal"/>
    <w:next w:val="Normal"/>
    <w:uiPriority w:val="99"/>
    <w:semiHidden/>
    <w:unhideWhenUsed/>
    <w:rsid w:val="00F527CC"/>
    <w:pPr>
      <w:spacing w:after="0"/>
    </w:pPr>
  </w:style>
  <w:style w:type="table" w:styleId="TableProfessional">
    <w:name w:val="Table Professional"/>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27CC"/>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27CC"/>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27CC"/>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27CC"/>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27CC"/>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527CC"/>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27CC"/>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27CC"/>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527CC"/>
    <w:pPr>
      <w:spacing w:before="120"/>
    </w:pPr>
    <w:rPr>
      <w:rFonts w:eastAsiaTheme="majorEastAsia" w:cs="Arial"/>
      <w:b/>
      <w:bCs/>
      <w:sz w:val="24"/>
      <w:szCs w:val="24"/>
    </w:rPr>
  </w:style>
  <w:style w:type="paragraph" w:styleId="TOC5">
    <w:name w:val="toc 5"/>
    <w:basedOn w:val="Normal"/>
    <w:next w:val="Normal"/>
    <w:autoRedefine/>
    <w:uiPriority w:val="39"/>
    <w:semiHidden/>
    <w:unhideWhenUsed/>
    <w:rsid w:val="00F527CC"/>
    <w:pPr>
      <w:spacing w:after="100"/>
      <w:ind w:left="880"/>
    </w:pPr>
  </w:style>
  <w:style w:type="paragraph" w:styleId="TOC6">
    <w:name w:val="toc 6"/>
    <w:basedOn w:val="Normal"/>
    <w:next w:val="Normal"/>
    <w:autoRedefine/>
    <w:uiPriority w:val="39"/>
    <w:semiHidden/>
    <w:unhideWhenUsed/>
    <w:rsid w:val="00F527CC"/>
    <w:pPr>
      <w:spacing w:after="100"/>
      <w:ind w:left="1100"/>
    </w:pPr>
  </w:style>
  <w:style w:type="paragraph" w:styleId="TOC7">
    <w:name w:val="toc 7"/>
    <w:basedOn w:val="Normal"/>
    <w:next w:val="Normal"/>
    <w:autoRedefine/>
    <w:uiPriority w:val="39"/>
    <w:semiHidden/>
    <w:unhideWhenUsed/>
    <w:rsid w:val="00F527CC"/>
    <w:pPr>
      <w:spacing w:after="100"/>
      <w:ind w:left="1320"/>
    </w:pPr>
  </w:style>
  <w:style w:type="paragraph" w:styleId="TOC8">
    <w:name w:val="toc 8"/>
    <w:basedOn w:val="Normal"/>
    <w:next w:val="Normal"/>
    <w:autoRedefine/>
    <w:uiPriority w:val="39"/>
    <w:semiHidden/>
    <w:unhideWhenUsed/>
    <w:rsid w:val="00F527CC"/>
    <w:pPr>
      <w:spacing w:after="100"/>
      <w:ind w:left="1540"/>
    </w:pPr>
  </w:style>
  <w:style w:type="paragraph" w:styleId="TOC9">
    <w:name w:val="toc 9"/>
    <w:basedOn w:val="Normal"/>
    <w:next w:val="Normal"/>
    <w:autoRedefine/>
    <w:uiPriority w:val="39"/>
    <w:semiHidden/>
    <w:unhideWhenUsed/>
    <w:rsid w:val="00F527CC"/>
    <w:pPr>
      <w:spacing w:after="100"/>
      <w:ind w:left="1760"/>
    </w:pPr>
  </w:style>
  <w:style w:type="paragraph" w:styleId="TOCHeading">
    <w:name w:val="TOC Heading"/>
    <w:basedOn w:val="Heading1"/>
    <w:next w:val="Normal"/>
    <w:uiPriority w:val="39"/>
    <w:semiHidden/>
    <w:unhideWhenUsed/>
    <w:qFormat/>
    <w:rsid w:val="00F527CC"/>
    <w:pPr>
      <w:numPr>
        <w:numId w:val="0"/>
      </w:numPr>
      <w:spacing w:before="240" w:after="0" w:line="240" w:lineRule="atLeast"/>
      <w:outlineLvl w:val="9"/>
    </w:pPr>
    <w:rPr>
      <w:bCs w:val="0"/>
      <w:noProof w:val="0"/>
      <w:color w:val="939599" w:themeColor="accent1" w:themeShade="BF"/>
      <w:sz w:val="32"/>
      <w:szCs w:val="32"/>
    </w:rPr>
  </w:style>
  <w:style w:type="character" w:styleId="Hashtag">
    <w:name w:val="Hashtag"/>
    <w:basedOn w:val="DefaultParagraphFont"/>
    <w:uiPriority w:val="99"/>
    <w:semiHidden/>
    <w:unhideWhenUsed/>
    <w:rsid w:val="009F52F1"/>
    <w:rPr>
      <w:color w:val="2B579A"/>
      <w:shd w:val="clear" w:color="auto" w:fill="E6E6E6"/>
    </w:rPr>
  </w:style>
  <w:style w:type="character" w:styleId="Mention">
    <w:name w:val="Mention"/>
    <w:basedOn w:val="DefaultParagraphFont"/>
    <w:uiPriority w:val="99"/>
    <w:semiHidden/>
    <w:unhideWhenUsed/>
    <w:rsid w:val="009F52F1"/>
    <w:rPr>
      <w:color w:val="2B579A"/>
      <w:shd w:val="clear" w:color="auto" w:fill="E6E6E6"/>
    </w:rPr>
  </w:style>
  <w:style w:type="character" w:styleId="SmartHyperlink">
    <w:name w:val="Smart Hyperlink"/>
    <w:basedOn w:val="DefaultParagraphFont"/>
    <w:uiPriority w:val="99"/>
    <w:semiHidden/>
    <w:unhideWhenUsed/>
    <w:rsid w:val="009F52F1"/>
    <w:rPr>
      <w:u w:val="dotted"/>
    </w:rPr>
  </w:style>
  <w:style w:type="character" w:styleId="UnresolvedMention">
    <w:name w:val="Unresolved Mention"/>
    <w:basedOn w:val="DefaultParagraphFont"/>
    <w:uiPriority w:val="99"/>
    <w:semiHidden/>
    <w:unhideWhenUsed/>
    <w:rsid w:val="009F52F1"/>
    <w:rPr>
      <w:color w:val="808080"/>
      <w:shd w:val="clear" w:color="auto" w:fill="E6E6E6"/>
    </w:rPr>
  </w:style>
  <w:style w:type="table" w:customStyle="1" w:styleId="TableGrid20">
    <w:name w:val="Table Grid2"/>
    <w:basedOn w:val="TableNormal"/>
    <w:next w:val="TableGrid"/>
    <w:uiPriority w:val="59"/>
    <w:rsid w:val="009F52F1"/>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qFormat/>
    <w:locked/>
    <w:rsid w:val="009A6DE4"/>
    <w:rPr>
      <w:lang w:val="en-US"/>
    </w:rPr>
  </w:style>
  <w:style w:type="table" w:customStyle="1" w:styleId="TableGrid30">
    <w:name w:val="Table Grid3"/>
    <w:basedOn w:val="TableNormal"/>
    <w:next w:val="TableGrid"/>
    <w:uiPriority w:val="39"/>
    <w:rsid w:val="00485066"/>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3F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DefaultParagraphFont"/>
    <w:uiPriority w:val="99"/>
    <w:semiHidden/>
    <w:locked/>
    <w:rsid w:val="004807FB"/>
    <w:rPr>
      <w:rFonts w:ascii="Arial" w:eastAsia="SimSun" w:hAnsi="Arial" w:cs="Times New Roman"/>
      <w:sz w:val="20"/>
      <w:szCs w:val="20"/>
      <w:lang w:val="en-US" w:eastAsia="zh-CN"/>
    </w:rPr>
  </w:style>
  <w:style w:type="paragraph" w:styleId="Revision">
    <w:name w:val="Revision"/>
    <w:hidden/>
    <w:uiPriority w:val="99"/>
    <w:semiHidden/>
    <w:rsid w:val="00F85686"/>
    <w:pPr>
      <w:spacing w:after="0" w:line="240" w:lineRule="auto"/>
    </w:pPr>
    <w:rPr>
      <w:lang w:val="en-US"/>
    </w:rPr>
  </w:style>
  <w:style w:type="paragraph" w:customStyle="1" w:styleId="paragraph">
    <w:name w:val="paragraph"/>
    <w:basedOn w:val="Normal"/>
    <w:rsid w:val="00854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4A89"/>
  </w:style>
  <w:style w:type="character" w:customStyle="1" w:styleId="eop">
    <w:name w:val="eop"/>
    <w:basedOn w:val="DefaultParagraphFont"/>
    <w:rsid w:val="00854A89"/>
  </w:style>
  <w:style w:type="character" w:customStyle="1" w:styleId="Fuentedeprrafopredeter1">
    <w:name w:val="Fuente de párrafo predeter.1"/>
    <w:rsid w:val="009278C5"/>
  </w:style>
  <w:style w:type="paragraph" w:customStyle="1" w:styleId="Default">
    <w:name w:val="Default"/>
    <w:basedOn w:val="Normal"/>
    <w:rsid w:val="009278C5"/>
    <w:pPr>
      <w:autoSpaceDE w:val="0"/>
      <w:autoSpaceDN w:val="0"/>
      <w:spacing w:after="0" w:line="240" w:lineRule="auto"/>
    </w:pPr>
    <w:rPr>
      <w:rFonts w:ascii="Franklin Gothic Book" w:eastAsia="Arial" w:hAnsi="Franklin Gothic Book" w:cs="Calibri"/>
      <w:color w:val="000000"/>
      <w:sz w:val="24"/>
      <w:szCs w:val="24"/>
    </w:rPr>
  </w:style>
  <w:style w:type="table" w:customStyle="1" w:styleId="Tablaconcuadrcula1">
    <w:name w:val="Tabla con cuadrícula1"/>
    <w:basedOn w:val="TableNormal"/>
    <w:next w:val="TableGrid"/>
    <w:uiPriority w:val="39"/>
    <w:rsid w:val="009278C5"/>
    <w:pPr>
      <w:spacing w:after="0" w:line="240" w:lineRule="auto"/>
    </w:pPr>
    <w:rPr>
      <w:rFonts w:ascii="Calibri" w:eastAsia="Arial" w:hAnsi="Calibri" w:cs="Arial"/>
      <w:sz w:val="20"/>
      <w:szCs w:val="20"/>
      <w:lang w:val="es-N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9278C5"/>
    <w:pPr>
      <w:spacing w:after="0" w:line="240" w:lineRule="auto"/>
    </w:pPr>
    <w:rPr>
      <w:rFonts w:ascii="Calibri" w:eastAsia="Calibri" w:hAnsi="Calibri" w:cs="Times New Roman"/>
      <w:lang w:val="es-N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050259">
      <w:bodyDiv w:val="1"/>
      <w:marLeft w:val="0"/>
      <w:marRight w:val="0"/>
      <w:marTop w:val="0"/>
      <w:marBottom w:val="0"/>
      <w:divBdr>
        <w:top w:val="none" w:sz="0" w:space="0" w:color="auto"/>
        <w:left w:val="none" w:sz="0" w:space="0" w:color="auto"/>
        <w:bottom w:val="none" w:sz="0" w:space="0" w:color="auto"/>
        <w:right w:val="none" w:sz="0" w:space="0" w:color="auto"/>
      </w:divBdr>
      <w:divsChild>
        <w:div w:id="615406717">
          <w:marLeft w:val="0"/>
          <w:marRight w:val="0"/>
          <w:marTop w:val="0"/>
          <w:marBottom w:val="0"/>
          <w:divBdr>
            <w:top w:val="none" w:sz="0" w:space="0" w:color="auto"/>
            <w:left w:val="none" w:sz="0" w:space="0" w:color="auto"/>
            <w:bottom w:val="none" w:sz="0" w:space="0" w:color="auto"/>
            <w:right w:val="none" w:sz="0" w:space="0" w:color="auto"/>
          </w:divBdr>
        </w:div>
        <w:div w:id="1401707039">
          <w:marLeft w:val="0"/>
          <w:marRight w:val="0"/>
          <w:marTop w:val="0"/>
          <w:marBottom w:val="0"/>
          <w:divBdr>
            <w:top w:val="none" w:sz="0" w:space="0" w:color="auto"/>
            <w:left w:val="none" w:sz="0" w:space="0" w:color="auto"/>
            <w:bottom w:val="none" w:sz="0" w:space="0" w:color="auto"/>
            <w:right w:val="none" w:sz="0" w:space="0" w:color="auto"/>
          </w:divBdr>
        </w:div>
        <w:div w:id="1336882401">
          <w:marLeft w:val="0"/>
          <w:marRight w:val="0"/>
          <w:marTop w:val="0"/>
          <w:marBottom w:val="0"/>
          <w:divBdr>
            <w:top w:val="none" w:sz="0" w:space="0" w:color="auto"/>
            <w:left w:val="none" w:sz="0" w:space="0" w:color="auto"/>
            <w:bottom w:val="none" w:sz="0" w:space="0" w:color="auto"/>
            <w:right w:val="none" w:sz="0" w:space="0" w:color="auto"/>
          </w:divBdr>
        </w:div>
        <w:div w:id="327294719">
          <w:marLeft w:val="0"/>
          <w:marRight w:val="0"/>
          <w:marTop w:val="0"/>
          <w:marBottom w:val="0"/>
          <w:divBdr>
            <w:top w:val="none" w:sz="0" w:space="0" w:color="auto"/>
            <w:left w:val="none" w:sz="0" w:space="0" w:color="auto"/>
            <w:bottom w:val="none" w:sz="0" w:space="0" w:color="auto"/>
            <w:right w:val="none" w:sz="0" w:space="0" w:color="auto"/>
          </w:divBdr>
        </w:div>
      </w:divsChild>
    </w:div>
    <w:div w:id="1160806021">
      <w:bodyDiv w:val="1"/>
      <w:marLeft w:val="0"/>
      <w:marRight w:val="0"/>
      <w:marTop w:val="0"/>
      <w:marBottom w:val="0"/>
      <w:divBdr>
        <w:top w:val="none" w:sz="0" w:space="0" w:color="auto"/>
        <w:left w:val="none" w:sz="0" w:space="0" w:color="auto"/>
        <w:bottom w:val="none" w:sz="0" w:space="0" w:color="auto"/>
        <w:right w:val="none" w:sz="0" w:space="0" w:color="auto"/>
      </w:divBdr>
    </w:div>
    <w:div w:id="1171530505">
      <w:bodyDiv w:val="1"/>
      <w:marLeft w:val="0"/>
      <w:marRight w:val="0"/>
      <w:marTop w:val="0"/>
      <w:marBottom w:val="0"/>
      <w:divBdr>
        <w:top w:val="none" w:sz="0" w:space="0" w:color="auto"/>
        <w:left w:val="none" w:sz="0" w:space="0" w:color="auto"/>
        <w:bottom w:val="none" w:sz="0" w:space="0" w:color="auto"/>
        <w:right w:val="none" w:sz="0" w:space="0" w:color="auto"/>
      </w:divBdr>
    </w:div>
    <w:div w:id="1306349821">
      <w:bodyDiv w:val="1"/>
      <w:marLeft w:val="0"/>
      <w:marRight w:val="0"/>
      <w:marTop w:val="0"/>
      <w:marBottom w:val="0"/>
      <w:divBdr>
        <w:top w:val="none" w:sz="0" w:space="0" w:color="auto"/>
        <w:left w:val="none" w:sz="0" w:space="0" w:color="auto"/>
        <w:bottom w:val="none" w:sz="0" w:space="0" w:color="auto"/>
        <w:right w:val="none" w:sz="0" w:space="0" w:color="auto"/>
      </w:divBdr>
    </w:div>
    <w:div w:id="1546218926">
      <w:bodyDiv w:val="1"/>
      <w:marLeft w:val="0"/>
      <w:marRight w:val="0"/>
      <w:marTop w:val="0"/>
      <w:marBottom w:val="0"/>
      <w:divBdr>
        <w:top w:val="none" w:sz="0" w:space="0" w:color="auto"/>
        <w:left w:val="none" w:sz="0" w:space="0" w:color="auto"/>
        <w:bottom w:val="none" w:sz="0" w:space="0" w:color="auto"/>
        <w:right w:val="none" w:sz="0" w:space="0" w:color="auto"/>
      </w:divBdr>
      <w:divsChild>
        <w:div w:id="1890413426">
          <w:marLeft w:val="0"/>
          <w:marRight w:val="0"/>
          <w:marTop w:val="0"/>
          <w:marBottom w:val="0"/>
          <w:divBdr>
            <w:top w:val="none" w:sz="0" w:space="0" w:color="auto"/>
            <w:left w:val="none" w:sz="0" w:space="0" w:color="auto"/>
            <w:bottom w:val="none" w:sz="0" w:space="0" w:color="auto"/>
            <w:right w:val="none" w:sz="0" w:space="0" w:color="auto"/>
          </w:divBdr>
        </w:div>
        <w:div w:id="733312497">
          <w:marLeft w:val="0"/>
          <w:marRight w:val="0"/>
          <w:marTop w:val="0"/>
          <w:marBottom w:val="0"/>
          <w:divBdr>
            <w:top w:val="none" w:sz="0" w:space="0" w:color="auto"/>
            <w:left w:val="none" w:sz="0" w:space="0" w:color="auto"/>
            <w:bottom w:val="none" w:sz="0" w:space="0" w:color="auto"/>
            <w:right w:val="none" w:sz="0" w:space="0" w:color="auto"/>
          </w:divBdr>
        </w:div>
      </w:divsChild>
    </w:div>
    <w:div w:id="1752045835">
      <w:bodyDiv w:val="1"/>
      <w:marLeft w:val="0"/>
      <w:marRight w:val="0"/>
      <w:marTop w:val="0"/>
      <w:marBottom w:val="0"/>
      <w:divBdr>
        <w:top w:val="none" w:sz="0" w:space="0" w:color="auto"/>
        <w:left w:val="none" w:sz="0" w:space="0" w:color="auto"/>
        <w:bottom w:val="none" w:sz="0" w:space="0" w:color="auto"/>
        <w:right w:val="none" w:sz="0" w:space="0" w:color="auto"/>
      </w:divBdr>
    </w:div>
    <w:div w:id="1989626193">
      <w:bodyDiv w:val="1"/>
      <w:marLeft w:val="0"/>
      <w:marRight w:val="0"/>
      <w:marTop w:val="0"/>
      <w:marBottom w:val="0"/>
      <w:divBdr>
        <w:top w:val="none" w:sz="0" w:space="0" w:color="auto"/>
        <w:left w:val="none" w:sz="0" w:space="0" w:color="auto"/>
        <w:bottom w:val="none" w:sz="0" w:space="0" w:color="auto"/>
        <w:right w:val="none" w:sz="0" w:space="0" w:color="auto"/>
      </w:divBdr>
      <w:divsChild>
        <w:div w:id="984166780">
          <w:marLeft w:val="0"/>
          <w:marRight w:val="0"/>
          <w:marTop w:val="0"/>
          <w:marBottom w:val="0"/>
          <w:divBdr>
            <w:top w:val="none" w:sz="0" w:space="0" w:color="auto"/>
            <w:left w:val="none" w:sz="0" w:space="0" w:color="auto"/>
            <w:bottom w:val="none" w:sz="0" w:space="0" w:color="auto"/>
            <w:right w:val="none" w:sz="0" w:space="0" w:color="auto"/>
          </w:divBdr>
        </w:div>
        <w:div w:id="28337869">
          <w:marLeft w:val="0"/>
          <w:marRight w:val="0"/>
          <w:marTop w:val="0"/>
          <w:marBottom w:val="0"/>
          <w:divBdr>
            <w:top w:val="none" w:sz="0" w:space="0" w:color="auto"/>
            <w:left w:val="none" w:sz="0" w:space="0" w:color="auto"/>
            <w:bottom w:val="none" w:sz="0" w:space="0" w:color="auto"/>
            <w:right w:val="none" w:sz="0" w:space="0" w:color="auto"/>
          </w:divBdr>
        </w:div>
        <w:div w:id="173388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chart" Target="charts/chart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chart" Target="charts/chart6.xml"/><Relationship Id="rId33"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5.xml"/><Relationship Id="rId32" Type="http://schemas.openxmlformats.org/officeDocument/2006/relationships/hyperlink" Target="https://www.theglobalfund.org/media/6676/core_sustainabilityandtransition_guidancenote_es.pdf"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chart" Target="charts/chart4.xm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chart" Target="charts/chart2.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hart" Target="charts/chart3.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quina\AppData\Roaming\Microsoft\Templates\GF%20Report%20Template%201%20Column.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ell\Dropbox\lcp\lcp_pers\2020\UNAIDS%20ES\Contexto.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ell\Dropbox\lcp\lcp_pers\2020\UNAIDS%20ES\Contexto.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Dell\Dropbox\lcp\lcp_pers\2020\UNAIDS%20ES\Contexto.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Dell\Dropbox\lcp\lcp_pers\2020\UNAIDS%20ES\Contexto.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Dell\Dropbox\lcp\lcp_pers\2020\UNAIDS%20ES\Contexto.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Dell\Dropbox\lcp\lcp_pers\2020\UNAIDS%20ES\Contexto.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FONDOS%20EXTERNOS\Desktop\GRAFICO%20CORREGIDO%20JUNTO%20A%20GENNY%20LUNES%208%20FEBRERO%202021.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Dell\Dropbox\lcp\lcp_pers\2020\UNAIDS%20ES\5FEB21\GRAFICAS%20DEL%20PRESUPUESTO%20VIH%202022-2024%205-02-2021%209.40P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bg2"/>
                </a:solidFill>
                <a:latin typeface="Gill Sans MT" panose="020B0502020104020203" pitchFamily="34" charset="0"/>
                <a:ea typeface="+mn-ea"/>
                <a:cs typeface="+mn-cs"/>
              </a:defRPr>
            </a:pPr>
            <a:r>
              <a:rPr lang="es-NI" sz="1050" b="1" i="0" baseline="0">
                <a:solidFill>
                  <a:schemeClr val="bg2"/>
                </a:solidFill>
                <a:effectLst/>
              </a:rPr>
              <a:t>Figura 1.</a:t>
            </a:r>
            <a:r>
              <a:rPr lang="es-NI" sz="1050" b="1" i="0" u="none" strike="noStrike" kern="1200" spc="0" baseline="0">
                <a:solidFill>
                  <a:schemeClr val="bg2"/>
                </a:solidFill>
                <a:effectLst/>
                <a:latin typeface="Gill Sans MT" panose="020B0502020104020203" pitchFamily="34" charset="0"/>
                <a:ea typeface="+mn-ea"/>
                <a:cs typeface="+mn-cs"/>
              </a:rPr>
              <a:t> </a:t>
            </a:r>
            <a:r>
              <a:rPr lang="es-SV" sz="1050" b="1" i="0" u="none" strike="noStrike" kern="1200" spc="0" baseline="0">
                <a:solidFill>
                  <a:schemeClr val="bg2"/>
                </a:solidFill>
                <a:effectLst/>
                <a:latin typeface="Gill Sans MT" panose="020B0502020104020203" pitchFamily="34" charset="0"/>
                <a:ea typeface="+mn-ea"/>
                <a:cs typeface="+mn-cs"/>
              </a:rPr>
              <a:t>Notificación de casos de VIH,  El Salvador, 1984 – 2019.</a:t>
            </a:r>
            <a:endParaRPr lang="es-NI" sz="1050" b="1" i="0" u="none" strike="noStrike" kern="1200" spc="0" baseline="0">
              <a:solidFill>
                <a:schemeClr val="bg2"/>
              </a:solidFill>
              <a:effectLst/>
              <a:latin typeface="Gill Sans MT" panose="020B0502020104020203" pitchFamily="34" charset="0"/>
              <a:ea typeface="+mn-ea"/>
              <a:cs typeface="+mn-cs"/>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bg2"/>
              </a:solidFill>
              <a:latin typeface="Gill Sans MT" panose="020B0502020104020203" pitchFamily="34" charset="0"/>
              <a:ea typeface="+mn-ea"/>
              <a:cs typeface="+mn-cs"/>
            </a:defRPr>
          </a:pPr>
          <a:endParaRPr lang="en-US"/>
        </a:p>
      </c:txPr>
    </c:title>
    <c:autoTitleDeleted val="0"/>
    <c:plotArea>
      <c:layout/>
      <c:barChart>
        <c:barDir val="col"/>
        <c:grouping val="clustered"/>
        <c:varyColors val="0"/>
        <c:ser>
          <c:idx val="0"/>
          <c:order val="0"/>
          <c:tx>
            <c:strRef>
              <c:f>Dts!$D$3</c:f>
              <c:strCache>
                <c:ptCount val="1"/>
                <c:pt idx="0">
                  <c:v>Nuevos casos</c:v>
                </c:pt>
              </c:strCache>
            </c:strRef>
          </c:tx>
          <c:spPr>
            <a:solidFill>
              <a:srgbClr val="CDD0CB"/>
            </a:solidFill>
            <a:ln>
              <a:noFill/>
            </a:ln>
            <a:effectLst/>
          </c:spPr>
          <c:invertIfNegative val="0"/>
          <c:dPt>
            <c:idx val="17"/>
            <c:invertIfNegative val="0"/>
            <c:bubble3D val="0"/>
            <c:spPr>
              <a:solidFill>
                <a:srgbClr val="CFDAC8"/>
              </a:solidFill>
              <a:ln>
                <a:noFill/>
              </a:ln>
              <a:effectLst/>
            </c:spPr>
            <c:extLst>
              <c:ext xmlns:c16="http://schemas.microsoft.com/office/drawing/2014/chart" uri="{C3380CC4-5D6E-409C-BE32-E72D297353CC}">
                <c16:uniqueId val="{00000001-8CC7-4B5E-9DD6-42308A0D9333}"/>
              </c:ext>
            </c:extLst>
          </c:dPt>
          <c:dPt>
            <c:idx val="18"/>
            <c:invertIfNegative val="0"/>
            <c:bubble3D val="0"/>
            <c:spPr>
              <a:solidFill>
                <a:srgbClr val="CFDAC8"/>
              </a:solidFill>
              <a:ln>
                <a:noFill/>
              </a:ln>
              <a:effectLst/>
            </c:spPr>
            <c:extLst>
              <c:ext xmlns:c16="http://schemas.microsoft.com/office/drawing/2014/chart" uri="{C3380CC4-5D6E-409C-BE32-E72D297353CC}">
                <c16:uniqueId val="{00000003-8CC7-4B5E-9DD6-42308A0D9333}"/>
              </c:ext>
            </c:extLst>
          </c:dPt>
          <c:dPt>
            <c:idx val="19"/>
            <c:invertIfNegative val="0"/>
            <c:bubble3D val="0"/>
            <c:spPr>
              <a:solidFill>
                <a:srgbClr val="CFDAC8"/>
              </a:solidFill>
              <a:ln>
                <a:noFill/>
              </a:ln>
              <a:effectLst/>
            </c:spPr>
            <c:extLst>
              <c:ext xmlns:c16="http://schemas.microsoft.com/office/drawing/2014/chart" uri="{C3380CC4-5D6E-409C-BE32-E72D297353CC}">
                <c16:uniqueId val="{00000005-8CC7-4B5E-9DD6-42308A0D9333}"/>
              </c:ext>
            </c:extLst>
          </c:dPt>
          <c:dPt>
            <c:idx val="20"/>
            <c:invertIfNegative val="0"/>
            <c:bubble3D val="0"/>
            <c:spPr>
              <a:solidFill>
                <a:srgbClr val="CFDAC8"/>
              </a:solidFill>
              <a:ln>
                <a:noFill/>
              </a:ln>
              <a:effectLst/>
            </c:spPr>
            <c:extLst>
              <c:ext xmlns:c16="http://schemas.microsoft.com/office/drawing/2014/chart" uri="{C3380CC4-5D6E-409C-BE32-E72D297353CC}">
                <c16:uniqueId val="{00000007-8CC7-4B5E-9DD6-42308A0D9333}"/>
              </c:ext>
            </c:extLst>
          </c:dPt>
          <c:dPt>
            <c:idx val="21"/>
            <c:invertIfNegative val="0"/>
            <c:bubble3D val="0"/>
            <c:spPr>
              <a:solidFill>
                <a:srgbClr val="CFDAC8"/>
              </a:solidFill>
              <a:ln>
                <a:noFill/>
              </a:ln>
              <a:effectLst/>
            </c:spPr>
            <c:extLst>
              <c:ext xmlns:c16="http://schemas.microsoft.com/office/drawing/2014/chart" uri="{C3380CC4-5D6E-409C-BE32-E72D297353CC}">
                <c16:uniqueId val="{00000009-8CC7-4B5E-9DD6-42308A0D9333}"/>
              </c:ext>
            </c:extLst>
          </c:dPt>
          <c:dPt>
            <c:idx val="22"/>
            <c:invertIfNegative val="0"/>
            <c:bubble3D val="0"/>
            <c:spPr>
              <a:solidFill>
                <a:srgbClr val="CFDAC8"/>
              </a:solidFill>
              <a:ln>
                <a:noFill/>
              </a:ln>
              <a:effectLst/>
            </c:spPr>
            <c:extLst>
              <c:ext xmlns:c16="http://schemas.microsoft.com/office/drawing/2014/chart" uri="{C3380CC4-5D6E-409C-BE32-E72D297353CC}">
                <c16:uniqueId val="{0000000B-8CC7-4B5E-9DD6-42308A0D9333}"/>
              </c:ext>
            </c:extLst>
          </c:dPt>
          <c:dPt>
            <c:idx val="23"/>
            <c:invertIfNegative val="0"/>
            <c:bubble3D val="0"/>
            <c:spPr>
              <a:solidFill>
                <a:srgbClr val="CFDAC8"/>
              </a:solidFill>
              <a:ln>
                <a:noFill/>
              </a:ln>
              <a:effectLst/>
            </c:spPr>
            <c:extLst>
              <c:ext xmlns:c16="http://schemas.microsoft.com/office/drawing/2014/chart" uri="{C3380CC4-5D6E-409C-BE32-E72D297353CC}">
                <c16:uniqueId val="{0000000D-8CC7-4B5E-9DD6-42308A0D9333}"/>
              </c:ext>
            </c:extLst>
          </c:dPt>
          <c:dPt>
            <c:idx val="24"/>
            <c:invertIfNegative val="0"/>
            <c:bubble3D val="0"/>
            <c:spPr>
              <a:solidFill>
                <a:srgbClr val="CFDAC8"/>
              </a:solidFill>
              <a:ln>
                <a:noFill/>
              </a:ln>
              <a:effectLst/>
            </c:spPr>
            <c:extLst>
              <c:ext xmlns:c16="http://schemas.microsoft.com/office/drawing/2014/chart" uri="{C3380CC4-5D6E-409C-BE32-E72D297353CC}">
                <c16:uniqueId val="{0000000F-8CC7-4B5E-9DD6-42308A0D9333}"/>
              </c:ext>
            </c:extLst>
          </c:dPt>
          <c:dPt>
            <c:idx val="25"/>
            <c:invertIfNegative val="0"/>
            <c:bubble3D val="0"/>
            <c:spPr>
              <a:solidFill>
                <a:srgbClr val="CFDAC8"/>
              </a:solidFill>
              <a:ln>
                <a:noFill/>
              </a:ln>
              <a:effectLst/>
            </c:spPr>
            <c:extLst>
              <c:ext xmlns:c16="http://schemas.microsoft.com/office/drawing/2014/chart" uri="{C3380CC4-5D6E-409C-BE32-E72D297353CC}">
                <c16:uniqueId val="{00000011-8CC7-4B5E-9DD6-42308A0D9333}"/>
              </c:ext>
            </c:extLst>
          </c:dPt>
          <c:dPt>
            <c:idx val="26"/>
            <c:invertIfNegative val="0"/>
            <c:bubble3D val="0"/>
            <c:spPr>
              <a:solidFill>
                <a:srgbClr val="E8EAE6"/>
              </a:solidFill>
              <a:ln>
                <a:noFill/>
              </a:ln>
              <a:effectLst/>
            </c:spPr>
            <c:extLst>
              <c:ext xmlns:c16="http://schemas.microsoft.com/office/drawing/2014/chart" uri="{C3380CC4-5D6E-409C-BE32-E72D297353CC}">
                <c16:uniqueId val="{00000013-8CC7-4B5E-9DD6-42308A0D9333}"/>
              </c:ext>
            </c:extLst>
          </c:dPt>
          <c:dPt>
            <c:idx val="27"/>
            <c:invertIfNegative val="0"/>
            <c:bubble3D val="0"/>
            <c:spPr>
              <a:solidFill>
                <a:srgbClr val="E8EAE6"/>
              </a:solidFill>
              <a:ln>
                <a:noFill/>
              </a:ln>
              <a:effectLst/>
            </c:spPr>
            <c:extLst>
              <c:ext xmlns:c16="http://schemas.microsoft.com/office/drawing/2014/chart" uri="{C3380CC4-5D6E-409C-BE32-E72D297353CC}">
                <c16:uniqueId val="{00000015-8CC7-4B5E-9DD6-42308A0D9333}"/>
              </c:ext>
            </c:extLst>
          </c:dPt>
          <c:dPt>
            <c:idx val="28"/>
            <c:invertIfNegative val="0"/>
            <c:bubble3D val="0"/>
            <c:spPr>
              <a:solidFill>
                <a:srgbClr val="E8EAE6"/>
              </a:solidFill>
              <a:ln>
                <a:noFill/>
              </a:ln>
              <a:effectLst/>
            </c:spPr>
            <c:extLst>
              <c:ext xmlns:c16="http://schemas.microsoft.com/office/drawing/2014/chart" uri="{C3380CC4-5D6E-409C-BE32-E72D297353CC}">
                <c16:uniqueId val="{00000017-8CC7-4B5E-9DD6-42308A0D9333}"/>
              </c:ext>
            </c:extLst>
          </c:dPt>
          <c:dPt>
            <c:idx val="29"/>
            <c:invertIfNegative val="0"/>
            <c:bubble3D val="0"/>
            <c:spPr>
              <a:solidFill>
                <a:srgbClr val="E8EAE6"/>
              </a:solidFill>
              <a:ln>
                <a:noFill/>
              </a:ln>
              <a:effectLst/>
            </c:spPr>
            <c:extLst>
              <c:ext xmlns:c16="http://schemas.microsoft.com/office/drawing/2014/chart" uri="{C3380CC4-5D6E-409C-BE32-E72D297353CC}">
                <c16:uniqueId val="{00000019-8CC7-4B5E-9DD6-42308A0D9333}"/>
              </c:ext>
            </c:extLst>
          </c:dPt>
          <c:dPt>
            <c:idx val="30"/>
            <c:invertIfNegative val="0"/>
            <c:bubble3D val="0"/>
            <c:spPr>
              <a:solidFill>
                <a:srgbClr val="E8EAE6"/>
              </a:solidFill>
              <a:ln>
                <a:noFill/>
              </a:ln>
              <a:effectLst/>
            </c:spPr>
            <c:extLst>
              <c:ext xmlns:c16="http://schemas.microsoft.com/office/drawing/2014/chart" uri="{C3380CC4-5D6E-409C-BE32-E72D297353CC}">
                <c16:uniqueId val="{0000001B-8CC7-4B5E-9DD6-42308A0D9333}"/>
              </c:ext>
            </c:extLst>
          </c:dPt>
          <c:dPt>
            <c:idx val="31"/>
            <c:invertIfNegative val="0"/>
            <c:bubble3D val="0"/>
            <c:spPr>
              <a:solidFill>
                <a:srgbClr val="E8EAE6"/>
              </a:solidFill>
              <a:ln>
                <a:noFill/>
              </a:ln>
              <a:effectLst/>
            </c:spPr>
            <c:extLst>
              <c:ext xmlns:c16="http://schemas.microsoft.com/office/drawing/2014/chart" uri="{C3380CC4-5D6E-409C-BE32-E72D297353CC}">
                <c16:uniqueId val="{0000001D-8CC7-4B5E-9DD6-42308A0D9333}"/>
              </c:ext>
            </c:extLst>
          </c:dPt>
          <c:dPt>
            <c:idx val="32"/>
            <c:invertIfNegative val="0"/>
            <c:bubble3D val="0"/>
            <c:spPr>
              <a:solidFill>
                <a:srgbClr val="E8EAE6"/>
              </a:solidFill>
              <a:ln>
                <a:noFill/>
              </a:ln>
              <a:effectLst/>
            </c:spPr>
            <c:extLst>
              <c:ext xmlns:c16="http://schemas.microsoft.com/office/drawing/2014/chart" uri="{C3380CC4-5D6E-409C-BE32-E72D297353CC}">
                <c16:uniqueId val="{0000001F-8CC7-4B5E-9DD6-42308A0D9333}"/>
              </c:ext>
            </c:extLst>
          </c:dPt>
          <c:dPt>
            <c:idx val="33"/>
            <c:invertIfNegative val="0"/>
            <c:bubble3D val="0"/>
            <c:spPr>
              <a:solidFill>
                <a:srgbClr val="E8EAE6"/>
              </a:solidFill>
              <a:ln>
                <a:noFill/>
              </a:ln>
              <a:effectLst/>
            </c:spPr>
            <c:extLst>
              <c:ext xmlns:c16="http://schemas.microsoft.com/office/drawing/2014/chart" uri="{C3380CC4-5D6E-409C-BE32-E72D297353CC}">
                <c16:uniqueId val="{00000021-8CC7-4B5E-9DD6-42308A0D9333}"/>
              </c:ext>
            </c:extLst>
          </c:dPt>
          <c:trendline>
            <c:spPr>
              <a:ln w="38100" cap="rnd">
                <a:solidFill>
                  <a:schemeClr val="tx1">
                    <a:lumMod val="95000"/>
                    <a:lumOff val="5000"/>
                  </a:schemeClr>
                </a:solidFill>
                <a:prstDash val="solid"/>
              </a:ln>
              <a:effectLst/>
            </c:spPr>
            <c:trendlineType val="movingAvg"/>
            <c:period val="2"/>
            <c:dispRSqr val="0"/>
            <c:dispEq val="0"/>
          </c:trendline>
          <c:cat>
            <c:strRef>
              <c:f>Dts!$B$5:$B$38</c:f>
              <c:strCache>
                <c:ptCount val="34"/>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c:v>
                </c:pt>
                <c:pt idx="33">
                  <c:v>2018</c:v>
                </c:pt>
              </c:strCache>
            </c:strRef>
          </c:cat>
          <c:val>
            <c:numRef>
              <c:f>Dts!$D$5:$D$38</c:f>
              <c:numCache>
                <c:formatCode>#,##0</c:formatCode>
                <c:ptCount val="34"/>
                <c:pt idx="0">
                  <c:v>2.3333333333333335</c:v>
                </c:pt>
                <c:pt idx="1">
                  <c:v>7.333333333333333</c:v>
                </c:pt>
                <c:pt idx="2">
                  <c:v>25.666666666666668</c:v>
                </c:pt>
                <c:pt idx="3">
                  <c:v>73.666666666666671</c:v>
                </c:pt>
                <c:pt idx="4">
                  <c:v>100.33333333333333</c:v>
                </c:pt>
                <c:pt idx="5">
                  <c:v>175</c:v>
                </c:pt>
                <c:pt idx="6">
                  <c:v>186.66666666666666</c:v>
                </c:pt>
                <c:pt idx="7">
                  <c:v>264.66666666666669</c:v>
                </c:pt>
                <c:pt idx="8">
                  <c:v>400.33333333333331</c:v>
                </c:pt>
                <c:pt idx="9">
                  <c:v>574.66666666666663</c:v>
                </c:pt>
                <c:pt idx="10">
                  <c:v>691.66666666666663</c:v>
                </c:pt>
                <c:pt idx="11">
                  <c:v>774.66666666666663</c:v>
                </c:pt>
                <c:pt idx="12">
                  <c:v>801</c:v>
                </c:pt>
                <c:pt idx="13">
                  <c:v>884.66666666666663</c:v>
                </c:pt>
                <c:pt idx="14">
                  <c:v>1031</c:v>
                </c:pt>
                <c:pt idx="15">
                  <c:v>1439</c:v>
                </c:pt>
                <c:pt idx="16">
                  <c:v>1660.6666666666667</c:v>
                </c:pt>
                <c:pt idx="17">
                  <c:v>1771.3333333333333</c:v>
                </c:pt>
                <c:pt idx="18">
                  <c:v>1776.3333333333333</c:v>
                </c:pt>
                <c:pt idx="19">
                  <c:v>1794</c:v>
                </c:pt>
                <c:pt idx="20">
                  <c:v>1793.3333333333333</c:v>
                </c:pt>
                <c:pt idx="21">
                  <c:v>1810.6666666666667</c:v>
                </c:pt>
                <c:pt idx="22">
                  <c:v>1951.6666666666667</c:v>
                </c:pt>
                <c:pt idx="23">
                  <c:v>1996.6666666666667</c:v>
                </c:pt>
                <c:pt idx="24">
                  <c:v>1920.3333333333333</c:v>
                </c:pt>
                <c:pt idx="25">
                  <c:v>1784.3333333333333</c:v>
                </c:pt>
                <c:pt idx="26">
                  <c:v>1674.3333333333333</c:v>
                </c:pt>
                <c:pt idx="27">
                  <c:v>1525.3333333333333</c:v>
                </c:pt>
                <c:pt idx="28">
                  <c:v>1382</c:v>
                </c:pt>
                <c:pt idx="29">
                  <c:v>1267</c:v>
                </c:pt>
                <c:pt idx="30">
                  <c:v>1179.3333333333333</c:v>
                </c:pt>
                <c:pt idx="31">
                  <c:v>1192.3333333333333</c:v>
                </c:pt>
                <c:pt idx="32">
                  <c:v>1211.6666666666667</c:v>
                </c:pt>
                <c:pt idx="33">
                  <c:v>1214.6666666666667</c:v>
                </c:pt>
              </c:numCache>
            </c:numRef>
          </c:val>
          <c:extLst>
            <c:ext xmlns:c16="http://schemas.microsoft.com/office/drawing/2014/chart" uri="{C3380CC4-5D6E-409C-BE32-E72D297353CC}">
              <c16:uniqueId val="{00000023-8CC7-4B5E-9DD6-42308A0D9333}"/>
            </c:ext>
          </c:extLst>
        </c:ser>
        <c:dLbls>
          <c:showLegendKey val="0"/>
          <c:showVal val="0"/>
          <c:showCatName val="0"/>
          <c:showSerName val="0"/>
          <c:showPercent val="0"/>
          <c:showBubbleSize val="0"/>
        </c:dLbls>
        <c:gapWidth val="0"/>
        <c:axId val="460926543"/>
        <c:axId val="460920303"/>
      </c:barChart>
      <c:catAx>
        <c:axId val="46092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Gill Sans MT" panose="020B0502020104020203" pitchFamily="34" charset="0"/>
                <a:ea typeface="+mn-ea"/>
                <a:cs typeface="+mn-cs"/>
              </a:defRPr>
            </a:pPr>
            <a:endParaRPr lang="en-US"/>
          </a:p>
        </c:txPr>
        <c:crossAx val="460920303"/>
        <c:crosses val="autoZero"/>
        <c:auto val="1"/>
        <c:lblAlgn val="ctr"/>
        <c:lblOffset val="100"/>
        <c:noMultiLvlLbl val="0"/>
      </c:catAx>
      <c:valAx>
        <c:axId val="460920303"/>
        <c:scaling>
          <c:orientation val="minMax"/>
          <c:max val="2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bg2"/>
                </a:solidFill>
                <a:latin typeface="Gill Sans MT" panose="020B0502020104020203" pitchFamily="34" charset="0"/>
                <a:ea typeface="+mn-ea"/>
                <a:cs typeface="+mn-cs"/>
              </a:defRPr>
            </a:pPr>
            <a:endParaRPr lang="en-US"/>
          </a:p>
        </c:txPr>
        <c:crossAx val="460926543"/>
        <c:crosses val="autoZero"/>
        <c:crossBetween val="between"/>
        <c:majorUnit val="25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ill Sans MT" panose="020B0502020104020203"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rPr>
              <a:t>Figura</a:t>
            </a:r>
            <a:r>
              <a:rPr lang="en-US" sz="1000" b="1" baseline="0">
                <a:solidFill>
                  <a:sysClr val="windowText" lastClr="000000"/>
                </a:solidFill>
              </a:rPr>
              <a:t> 4. </a:t>
            </a:r>
            <a:r>
              <a:rPr lang="en-US" sz="1000" b="1">
                <a:solidFill>
                  <a:sysClr val="windowText" lastClr="000000"/>
                </a:solidFill>
              </a:rPr>
              <a:t>El Salvador, MINSAL 2019. Pilares de la Cascada de Atención en VIH.</a:t>
            </a:r>
            <a:endParaRPr lang="es-NI" sz="1000" b="1">
              <a:solidFill>
                <a:sysClr val="windowText" lastClr="000000"/>
              </a:solidFill>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3275758994092071"/>
          <c:y val="0.19081428888395829"/>
          <c:w val="0.82866622208783602"/>
          <c:h val="0.58935339428255962"/>
        </c:manualLayout>
      </c:layout>
      <c:barChart>
        <c:barDir val="col"/>
        <c:grouping val="stacked"/>
        <c:varyColors val="0"/>
        <c:ser>
          <c:idx val="0"/>
          <c:order val="0"/>
          <c:tx>
            <c:strRef>
              <c:f>DtsCasc!$P$5</c:f>
              <c:strCache>
                <c:ptCount val="1"/>
              </c:strCache>
            </c:strRef>
          </c:tx>
          <c:spPr>
            <a:solidFill>
              <a:schemeClr val="accent1"/>
            </a:solidFill>
            <a:ln>
              <a:noFill/>
            </a:ln>
            <a:effectLst/>
          </c:spPr>
          <c:invertIfNegative val="0"/>
          <c:dLbls>
            <c:dLbl>
              <c:idx val="0"/>
              <c:spPr>
                <a:noFill/>
                <a:ln>
                  <a:noFill/>
                </a:ln>
                <a:effectLst/>
              </c:spPr>
              <c:txPr>
                <a:bodyPr rot="0" spcFirstLastPara="1" vertOverflow="ellipsis" vert="horz" wrap="square" anchor="ctr" anchorCtr="1"/>
                <a:lstStyle/>
                <a:p>
                  <a:pPr algn="ct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0-7014-46B5-9624-451DEA98B3A0}"/>
                </c:ext>
              </c:extLst>
            </c:dLbl>
            <c:dLbl>
              <c:idx val="1"/>
              <c:spPr>
                <a:noFill/>
                <a:ln>
                  <a:noFill/>
                </a:ln>
                <a:effectLst/>
              </c:spPr>
              <c:txPr>
                <a:bodyPr rot="0" spcFirstLastPara="1" vertOverflow="ellipsis" vert="horz" wrap="square" anchor="ctr" anchorCtr="1"/>
                <a:lstStyle/>
                <a:p>
                  <a:pPr algn="ct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1-7014-46B5-9624-451DEA98B3A0}"/>
                </c:ext>
              </c:extLst>
            </c:dLbl>
            <c:dLbl>
              <c:idx val="2"/>
              <c:spPr>
                <a:noFill/>
                <a:ln>
                  <a:noFill/>
                </a:ln>
                <a:effectLst/>
              </c:spPr>
              <c:txPr>
                <a:bodyPr rot="0" spcFirstLastPara="1" vertOverflow="ellipsis" vert="horz" wrap="square" anchor="ctr" anchorCtr="1"/>
                <a:lstStyle/>
                <a:p>
                  <a:pPr algn="ct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2-7014-46B5-9624-451DEA98B3A0}"/>
                </c:ext>
              </c:extLst>
            </c:dLbl>
            <c:dLbl>
              <c:idx val="3"/>
              <c:spPr>
                <a:noFill/>
                <a:ln>
                  <a:noFill/>
                </a:ln>
                <a:effectLst/>
              </c:spPr>
              <c:txPr>
                <a:bodyPr rot="0" spcFirstLastPara="1" vertOverflow="ellipsis" vert="horz" wrap="square" anchor="ctr" anchorCtr="1"/>
                <a:lstStyle/>
                <a:p>
                  <a:pPr algn="ct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3-7014-46B5-9624-451DEA98B3A0}"/>
                </c:ext>
              </c:extLst>
            </c:dLbl>
            <c:dLbl>
              <c:idx val="4"/>
              <c:spPr>
                <a:noFill/>
                <a:ln>
                  <a:noFill/>
                </a:ln>
                <a:effectLst/>
              </c:spPr>
              <c:txPr>
                <a:bodyPr rot="0" spcFirstLastPara="1" vertOverflow="ellipsis" vert="horz" wrap="square" anchor="ctr" anchorCtr="1"/>
                <a:lstStyle/>
                <a:p>
                  <a:pPr algn="ct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4-7014-46B5-9624-451DEA98B3A0}"/>
                </c:ext>
              </c:extLst>
            </c:dLbl>
            <c:dLbl>
              <c:idx val="5"/>
              <c:spPr>
                <a:noFill/>
                <a:ln>
                  <a:noFill/>
                </a:ln>
                <a:effectLst/>
              </c:spPr>
              <c:txPr>
                <a:bodyPr rot="0" spcFirstLastPara="1" vertOverflow="ellipsis" vert="horz" wrap="square" anchor="ctr" anchorCtr="1"/>
                <a:lstStyle/>
                <a:p>
                  <a:pPr algn="ct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5-7014-46B5-9624-451DEA98B3A0}"/>
                </c:ext>
              </c:extLst>
            </c:dLbl>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DtsCasc!$O$6:$O$11</c:f>
              <c:strCache>
                <c:ptCount val="6"/>
                <c:pt idx="0">
                  <c:v>Personas con  VIH</c:v>
                </c:pt>
                <c:pt idx="1">
                  <c:v>Conocen su diagnóstico</c:v>
                </c:pt>
                <c:pt idx="2">
                  <c:v>Vinculadas a servicios de atención  </c:v>
                </c:pt>
                <c:pt idx="3">
                  <c:v>Retenidas en servicios de atención</c:v>
                </c:pt>
                <c:pt idx="4">
                  <c:v>Reciben TARV</c:v>
                </c:pt>
                <c:pt idx="5">
                  <c:v>Con CV suprimida</c:v>
                </c:pt>
              </c:strCache>
            </c:strRef>
          </c:cat>
          <c:val>
            <c:numRef>
              <c:f>DtsCasc!$P$6:$P$11</c:f>
              <c:numCache>
                <c:formatCode>#,##0</c:formatCode>
                <c:ptCount val="6"/>
                <c:pt idx="0">
                  <c:v>26893</c:v>
                </c:pt>
                <c:pt idx="1">
                  <c:v>19242</c:v>
                </c:pt>
                <c:pt idx="2">
                  <c:v>14606</c:v>
                </c:pt>
                <c:pt idx="3">
                  <c:v>11075</c:v>
                </c:pt>
                <c:pt idx="4">
                  <c:v>10062</c:v>
                </c:pt>
                <c:pt idx="5">
                  <c:v>8803</c:v>
                </c:pt>
              </c:numCache>
            </c:numRef>
          </c:val>
          <c:extLst>
            <c:ext xmlns:c16="http://schemas.microsoft.com/office/drawing/2014/chart" uri="{C3380CC4-5D6E-409C-BE32-E72D297353CC}">
              <c16:uniqueId val="{00000006-7014-46B5-9624-451DEA98B3A0}"/>
            </c:ext>
          </c:extLst>
        </c:ser>
        <c:dLbls>
          <c:showLegendKey val="0"/>
          <c:showVal val="0"/>
          <c:showCatName val="0"/>
          <c:showSerName val="0"/>
          <c:showPercent val="0"/>
          <c:showBubbleSize val="0"/>
        </c:dLbls>
        <c:gapWidth val="15"/>
        <c:overlap val="100"/>
        <c:axId val="-461460768"/>
        <c:axId val="-461456960"/>
      </c:barChart>
      <c:lineChart>
        <c:grouping val="standard"/>
        <c:varyColors val="0"/>
        <c:ser>
          <c:idx val="1"/>
          <c:order val="1"/>
          <c:tx>
            <c:strRef>
              <c:f>DtsCasc!$Q$5</c:f>
              <c:strCache>
                <c:ptCount val="1"/>
                <c:pt idx="0">
                  <c:v>Metas 95 - 95 -95</c:v>
                </c:pt>
              </c:strCache>
            </c:strRef>
          </c:tx>
          <c:spPr>
            <a:ln w="28575" cap="rnd">
              <a:noFill/>
              <a:round/>
            </a:ln>
            <a:effectLst/>
          </c:spPr>
          <c:marker>
            <c:symbol val="circle"/>
            <c:size val="10"/>
            <c:spPr>
              <a:solidFill>
                <a:srgbClr val="FFFF00"/>
              </a:solidFill>
              <a:ln w="0">
                <a:solidFill>
                  <a:srgbClr val="9A0000"/>
                </a:solidFill>
              </a:ln>
              <a:effectLst/>
            </c:spPr>
          </c:marker>
          <c:dLbls>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DtsCasc!$O$6:$O$11</c:f>
              <c:strCache>
                <c:ptCount val="6"/>
                <c:pt idx="0">
                  <c:v>Personas con  VIH</c:v>
                </c:pt>
                <c:pt idx="1">
                  <c:v>Conocen su diagnóstico</c:v>
                </c:pt>
                <c:pt idx="2">
                  <c:v>Vinculadas a servicios de atención  </c:v>
                </c:pt>
                <c:pt idx="3">
                  <c:v>Retenidas en servicios de atención</c:v>
                </c:pt>
                <c:pt idx="4">
                  <c:v>Reciben TARV</c:v>
                </c:pt>
                <c:pt idx="5">
                  <c:v>Con CV suprimida</c:v>
                </c:pt>
              </c:strCache>
            </c:strRef>
          </c:cat>
          <c:val>
            <c:numRef>
              <c:f>DtsCasc!$Q$6:$Q$11</c:f>
              <c:numCache>
                <c:formatCode>#,##0</c:formatCode>
                <c:ptCount val="6"/>
                <c:pt idx="1">
                  <c:v>25548.35</c:v>
                </c:pt>
              </c:numCache>
            </c:numRef>
          </c:val>
          <c:smooth val="0"/>
          <c:extLst>
            <c:ext xmlns:c16="http://schemas.microsoft.com/office/drawing/2014/chart" uri="{C3380CC4-5D6E-409C-BE32-E72D297353CC}">
              <c16:uniqueId val="{00000007-7014-46B5-9624-451DEA98B3A0}"/>
            </c:ext>
          </c:extLst>
        </c:ser>
        <c:ser>
          <c:idx val="3"/>
          <c:order val="2"/>
          <c:tx>
            <c:strRef>
              <c:f>DtsCasc!$R$5</c:f>
              <c:strCache>
                <c:ptCount val="1"/>
              </c:strCache>
            </c:strRef>
          </c:tx>
          <c:spPr>
            <a:ln w="25400" cap="rnd">
              <a:noFill/>
              <a:round/>
            </a:ln>
            <a:effectLst/>
          </c:spPr>
          <c:marker>
            <c:symbol val="circle"/>
            <c:size val="10"/>
            <c:spPr>
              <a:solidFill>
                <a:srgbClr val="FFFF00"/>
              </a:solidFill>
              <a:ln w="0">
                <a:solidFill>
                  <a:srgbClr val="9A0000"/>
                </a:solidFill>
              </a:ln>
              <a:effectLst/>
            </c:spPr>
          </c:marker>
          <c:dLbls>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DtsCasc!$O$6:$O$11</c:f>
              <c:strCache>
                <c:ptCount val="6"/>
                <c:pt idx="0">
                  <c:v>Personas con  VIH</c:v>
                </c:pt>
                <c:pt idx="1">
                  <c:v>Conocen su diagnóstico</c:v>
                </c:pt>
                <c:pt idx="2">
                  <c:v>Vinculadas a servicios de atención  </c:v>
                </c:pt>
                <c:pt idx="3">
                  <c:v>Retenidas en servicios de atención</c:v>
                </c:pt>
                <c:pt idx="4">
                  <c:v>Reciben TARV</c:v>
                </c:pt>
                <c:pt idx="5">
                  <c:v>Con CV suprimida</c:v>
                </c:pt>
              </c:strCache>
            </c:strRef>
          </c:cat>
          <c:val>
            <c:numRef>
              <c:f>DtsCasc!$R$6:$R$11</c:f>
              <c:numCache>
                <c:formatCode>General</c:formatCode>
                <c:ptCount val="6"/>
                <c:pt idx="4" formatCode="#,##0">
                  <c:v>18279.899999999998</c:v>
                </c:pt>
              </c:numCache>
            </c:numRef>
          </c:val>
          <c:smooth val="0"/>
          <c:extLst>
            <c:ext xmlns:c16="http://schemas.microsoft.com/office/drawing/2014/chart" uri="{C3380CC4-5D6E-409C-BE32-E72D297353CC}">
              <c16:uniqueId val="{00000008-7014-46B5-9624-451DEA98B3A0}"/>
            </c:ext>
          </c:extLst>
        </c:ser>
        <c:ser>
          <c:idx val="2"/>
          <c:order val="3"/>
          <c:tx>
            <c:strRef>
              <c:f>DtsCasc!$S$5</c:f>
              <c:strCache>
                <c:ptCount val="1"/>
              </c:strCache>
            </c:strRef>
          </c:tx>
          <c:spPr>
            <a:ln w="25400" cap="rnd">
              <a:noFill/>
              <a:round/>
            </a:ln>
            <a:effectLst/>
          </c:spPr>
          <c:marker>
            <c:symbol val="circle"/>
            <c:size val="10"/>
            <c:spPr>
              <a:solidFill>
                <a:srgbClr val="FFFF00"/>
              </a:solidFill>
              <a:ln w="0">
                <a:solidFill>
                  <a:srgbClr val="9A0000"/>
                </a:solidFill>
              </a:ln>
              <a:effectLst/>
            </c:spPr>
          </c:marker>
          <c:dLbls>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DtsCasc!$O$6:$O$11</c:f>
              <c:strCache>
                <c:ptCount val="6"/>
                <c:pt idx="0">
                  <c:v>Personas con  VIH</c:v>
                </c:pt>
                <c:pt idx="1">
                  <c:v>Conocen su diagnóstico</c:v>
                </c:pt>
                <c:pt idx="2">
                  <c:v>Vinculadas a servicios de atención  </c:v>
                </c:pt>
                <c:pt idx="3">
                  <c:v>Retenidas en servicios de atención</c:v>
                </c:pt>
                <c:pt idx="4">
                  <c:v>Reciben TARV</c:v>
                </c:pt>
                <c:pt idx="5">
                  <c:v>Con CV suprimida</c:v>
                </c:pt>
              </c:strCache>
            </c:strRef>
          </c:cat>
          <c:val>
            <c:numRef>
              <c:f>DtsCasc!$S$6:$S$11</c:f>
              <c:numCache>
                <c:formatCode>General</c:formatCode>
                <c:ptCount val="6"/>
                <c:pt idx="5" formatCode="#,##0">
                  <c:v>9558.9</c:v>
                </c:pt>
              </c:numCache>
            </c:numRef>
          </c:val>
          <c:smooth val="0"/>
          <c:extLst>
            <c:ext xmlns:c16="http://schemas.microsoft.com/office/drawing/2014/chart" uri="{C3380CC4-5D6E-409C-BE32-E72D297353CC}">
              <c16:uniqueId val="{00000009-7014-46B5-9624-451DEA98B3A0}"/>
            </c:ext>
          </c:extLst>
        </c:ser>
        <c:dLbls>
          <c:showLegendKey val="0"/>
          <c:showVal val="0"/>
          <c:showCatName val="0"/>
          <c:showSerName val="0"/>
          <c:showPercent val="0"/>
          <c:showBubbleSize val="0"/>
        </c:dLbls>
        <c:marker val="1"/>
        <c:smooth val="0"/>
        <c:axId val="1637058192"/>
        <c:axId val="1819624336"/>
      </c:lineChart>
      <c:catAx>
        <c:axId val="-461460768"/>
        <c:scaling>
          <c:orientation val="minMax"/>
        </c:scaling>
        <c:delete val="0"/>
        <c:axPos val="b"/>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61456960"/>
        <c:crosses val="autoZero"/>
        <c:auto val="1"/>
        <c:lblAlgn val="ctr"/>
        <c:lblOffset val="100"/>
        <c:noMultiLvlLbl val="0"/>
      </c:catAx>
      <c:valAx>
        <c:axId val="-461456960"/>
        <c:scaling>
          <c:orientation val="minMax"/>
          <c:max val="27000"/>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1460768"/>
        <c:crosses val="autoZero"/>
        <c:crossBetween val="between"/>
      </c:valAx>
      <c:valAx>
        <c:axId val="1819624336"/>
        <c:scaling>
          <c:orientation val="minMax"/>
          <c:min val="0"/>
        </c:scaling>
        <c:delete val="1"/>
        <c:axPos val="r"/>
        <c:numFmt formatCode="#,##0" sourceLinked="1"/>
        <c:majorTickMark val="out"/>
        <c:minorTickMark val="none"/>
        <c:tickLblPos val="nextTo"/>
        <c:crossAx val="1637058192"/>
        <c:crosses val="max"/>
        <c:crossBetween val="between"/>
      </c:valAx>
      <c:catAx>
        <c:axId val="1637058192"/>
        <c:scaling>
          <c:orientation val="minMax"/>
        </c:scaling>
        <c:delete val="1"/>
        <c:axPos val="b"/>
        <c:numFmt formatCode="General" sourceLinked="1"/>
        <c:majorTickMark val="out"/>
        <c:minorTickMark val="none"/>
        <c:tickLblPos val="nextTo"/>
        <c:crossAx val="1819624336"/>
        <c:crosses val="autoZero"/>
        <c:auto val="1"/>
        <c:lblAlgn val="ctr"/>
        <c:lblOffset val="100"/>
        <c:noMultiLvlLbl val="0"/>
      </c:catAx>
      <c:spPr>
        <a:noFill/>
        <a:ln w="25400">
          <a:noFill/>
        </a:ln>
        <a:effectLst/>
      </c:spPr>
    </c:plotArea>
    <c:legend>
      <c:legendPos val="b"/>
      <c:legendEntry>
        <c:idx val="0"/>
        <c:delete val="1"/>
      </c:legendEntry>
      <c:legendEntry>
        <c:idx val="2"/>
        <c:delete val="1"/>
      </c:legendEntry>
      <c:legendEntry>
        <c:idx val="3"/>
        <c:delete val="1"/>
      </c:legendEntry>
      <c:layout>
        <c:manualLayout>
          <c:xMode val="edge"/>
          <c:yMode val="edge"/>
          <c:x val="5.7966452247125079E-2"/>
          <c:y val="0.94797489120161293"/>
          <c:w val="0.91205994094042242"/>
          <c:h val="3.3105635861732249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95000"/>
                    <a:lumOff val="5000"/>
                  </a:schemeClr>
                </a:solidFill>
                <a:latin typeface="Gill Sans MT" panose="020B0502020104020203" pitchFamily="34" charset="0"/>
                <a:ea typeface="+mn-ea"/>
                <a:cs typeface="+mn-cs"/>
              </a:defRPr>
            </a:pPr>
            <a:r>
              <a:rPr lang="es-NI" sz="900" b="1">
                <a:solidFill>
                  <a:schemeClr val="tx1">
                    <a:lumMod val="95000"/>
                    <a:lumOff val="5000"/>
                  </a:schemeClr>
                </a:solidFill>
              </a:rPr>
              <a:t>Figura 7. El Salvador 2019. Nuevas infecciones</a:t>
            </a:r>
            <a:r>
              <a:rPr lang="es-NI" sz="900" b="1" baseline="0">
                <a:solidFill>
                  <a:schemeClr val="tx1">
                    <a:lumMod val="95000"/>
                    <a:lumOff val="5000"/>
                  </a:schemeClr>
                </a:solidFill>
              </a:rPr>
              <a:t> de VIH según etapa de la infección.</a:t>
            </a:r>
            <a:endParaRPr lang="es-NI" sz="900" b="1">
              <a:solidFill>
                <a:schemeClr val="tx1">
                  <a:lumMod val="95000"/>
                  <a:lumOff val="5000"/>
                </a:schemeClr>
              </a:solidFill>
            </a:endParaRP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95000"/>
                  <a:lumOff val="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9.6641026808065175E-2"/>
          <c:y val="0.14509695290858726"/>
          <c:w val="0.78382746954318572"/>
          <c:h val="0.65330861343163127"/>
        </c:manualLayout>
      </c:layout>
      <c:barChart>
        <c:barDir val="col"/>
        <c:grouping val="stacked"/>
        <c:varyColors val="0"/>
        <c:ser>
          <c:idx val="0"/>
          <c:order val="0"/>
          <c:tx>
            <c:strRef>
              <c:f>Dts!$V$45</c:f>
              <c:strCache>
                <c:ptCount val="1"/>
                <c:pt idx="0">
                  <c:v>Caso no
clasificado</c:v>
                </c:pt>
              </c:strCache>
            </c:strRef>
          </c:tx>
          <c:spPr>
            <a:solidFill>
              <a:sysClr val="window" lastClr="FFFFFF">
                <a:lumMod val="65000"/>
              </a:sysClr>
            </a:solidFill>
            <a:ln w="12700">
              <a:solidFill>
                <a:srgbClr val="000F2E"/>
              </a:solidFill>
            </a:ln>
            <a:effectLst/>
          </c:spPr>
          <c:invertIfNegative val="0"/>
          <c:dLbls>
            <c:spPr>
              <a:noFill/>
              <a:ln>
                <a:noFill/>
              </a:ln>
              <a:effectLst/>
            </c:spPr>
            <c:txPr>
              <a:bodyPr rot="0" spcFirstLastPara="1" vertOverflow="ellipsis" vert="horz" wrap="square" anchor="ctr" anchorCtr="1"/>
              <a:lstStyle/>
              <a:p>
                <a:pPr>
                  <a:defRPr sz="600" b="1" i="0" u="none" strike="noStrike" kern="1200" baseline="0">
                    <a:solidFill>
                      <a:schemeClr val="bg1"/>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Dts!$U$46:$U$50</c:f>
              <c:strCache>
                <c:ptCount val="5"/>
                <c:pt idx="0">
                  <c:v>2015</c:v>
                </c:pt>
                <c:pt idx="1">
                  <c:v>2016</c:v>
                </c:pt>
                <c:pt idx="2">
                  <c:v>2017</c:v>
                </c:pt>
                <c:pt idx="3">
                  <c:v>2018</c:v>
                </c:pt>
                <c:pt idx="4">
                  <c:v>2019</c:v>
                </c:pt>
              </c:strCache>
            </c:strRef>
          </c:cat>
          <c:val>
            <c:numRef>
              <c:f>Dts!$V$46:$V$50</c:f>
              <c:numCache>
                <c:formatCode>General</c:formatCode>
                <c:ptCount val="5"/>
                <c:pt idx="0">
                  <c:v>501</c:v>
                </c:pt>
                <c:pt idx="1">
                  <c:v>317</c:v>
                </c:pt>
                <c:pt idx="2">
                  <c:v>400</c:v>
                </c:pt>
                <c:pt idx="3">
                  <c:v>480</c:v>
                </c:pt>
                <c:pt idx="4">
                  <c:v>401</c:v>
                </c:pt>
              </c:numCache>
            </c:numRef>
          </c:val>
          <c:extLst>
            <c:ext xmlns:c16="http://schemas.microsoft.com/office/drawing/2014/chart" uri="{C3380CC4-5D6E-409C-BE32-E72D297353CC}">
              <c16:uniqueId val="{00000000-1007-4D87-B96A-81A75DFD6892}"/>
            </c:ext>
          </c:extLst>
        </c:ser>
        <c:ser>
          <c:idx val="1"/>
          <c:order val="1"/>
          <c:tx>
            <c:strRef>
              <c:f>Dts!$W$45</c:f>
              <c:strCache>
                <c:ptCount val="1"/>
                <c:pt idx="0">
                  <c:v>Infección
no avanzada</c:v>
                </c:pt>
              </c:strCache>
            </c:strRef>
          </c:tx>
          <c:spPr>
            <a:solidFill>
              <a:srgbClr val="5B9BD5">
                <a:lumMod val="60000"/>
                <a:lumOff val="40000"/>
              </a:srgbClr>
            </a:solidFill>
            <a:ln w="12700">
              <a:solidFill>
                <a:srgbClr val="000F2E"/>
              </a:solidFill>
            </a:ln>
            <a:effectLst/>
          </c:spPr>
          <c:invertIfNegative val="0"/>
          <c:dLbls>
            <c:spPr>
              <a:noFill/>
              <a:ln>
                <a:noFill/>
              </a:ln>
              <a:effectLst/>
            </c:spPr>
            <c:txPr>
              <a:bodyPr rot="0" spcFirstLastPara="1" vertOverflow="ellipsis" vert="horz" wrap="square" anchor="ctr" anchorCtr="1"/>
              <a:lstStyle/>
              <a:p>
                <a:pPr>
                  <a:defRPr sz="600" b="1"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Dts!$U$46:$U$50</c:f>
              <c:strCache>
                <c:ptCount val="5"/>
                <c:pt idx="0">
                  <c:v>2015</c:v>
                </c:pt>
                <c:pt idx="1">
                  <c:v>2016</c:v>
                </c:pt>
                <c:pt idx="2">
                  <c:v>2017</c:v>
                </c:pt>
                <c:pt idx="3">
                  <c:v>2018</c:v>
                </c:pt>
                <c:pt idx="4">
                  <c:v>2019</c:v>
                </c:pt>
              </c:strCache>
            </c:strRef>
          </c:cat>
          <c:val>
            <c:numRef>
              <c:f>Dts!$W$46:$W$50</c:f>
              <c:numCache>
                <c:formatCode>General</c:formatCode>
                <c:ptCount val="5"/>
                <c:pt idx="0">
                  <c:v>245</c:v>
                </c:pt>
                <c:pt idx="1">
                  <c:v>332</c:v>
                </c:pt>
                <c:pt idx="2">
                  <c:v>289</c:v>
                </c:pt>
                <c:pt idx="3">
                  <c:v>250</c:v>
                </c:pt>
                <c:pt idx="4">
                  <c:v>341</c:v>
                </c:pt>
              </c:numCache>
            </c:numRef>
          </c:val>
          <c:extLst>
            <c:ext xmlns:c16="http://schemas.microsoft.com/office/drawing/2014/chart" uri="{C3380CC4-5D6E-409C-BE32-E72D297353CC}">
              <c16:uniqueId val="{00000001-1007-4D87-B96A-81A75DFD6892}"/>
            </c:ext>
          </c:extLst>
        </c:ser>
        <c:ser>
          <c:idx val="3"/>
          <c:order val="2"/>
          <c:tx>
            <c:strRef>
              <c:f>Dts!$X$45</c:f>
              <c:strCache>
                <c:ptCount val="1"/>
                <c:pt idx="0">
                  <c:v>Infección
avanzada</c:v>
                </c:pt>
              </c:strCache>
            </c:strRef>
          </c:tx>
          <c:spPr>
            <a:solidFill>
              <a:srgbClr val="ED7D31">
                <a:lumMod val="40000"/>
                <a:lumOff val="60000"/>
              </a:srgbClr>
            </a:solidFill>
            <a:ln w="12700">
              <a:solidFill>
                <a:sysClr val="windowText" lastClr="000000">
                  <a:lumMod val="95000"/>
                  <a:lumOff val="5000"/>
                </a:sysClr>
              </a:solidFill>
            </a:ln>
            <a:effectLst/>
          </c:spPr>
          <c:invertIfNegative val="0"/>
          <c:dLbls>
            <c:spPr>
              <a:noFill/>
              <a:ln>
                <a:noFill/>
              </a:ln>
              <a:effectLst/>
            </c:spPr>
            <c:txPr>
              <a:bodyPr rot="0" spcFirstLastPara="1" vertOverflow="ellipsis" vert="horz" wrap="square" anchor="ctr" anchorCtr="1"/>
              <a:lstStyle/>
              <a:p>
                <a:pPr>
                  <a:defRPr sz="600" b="1"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Dts!$U$46:$U$50</c:f>
              <c:strCache>
                <c:ptCount val="5"/>
                <c:pt idx="0">
                  <c:v>2015</c:v>
                </c:pt>
                <c:pt idx="1">
                  <c:v>2016</c:v>
                </c:pt>
                <c:pt idx="2">
                  <c:v>2017</c:v>
                </c:pt>
                <c:pt idx="3">
                  <c:v>2018</c:v>
                </c:pt>
                <c:pt idx="4">
                  <c:v>2019</c:v>
                </c:pt>
              </c:strCache>
            </c:strRef>
          </c:cat>
          <c:val>
            <c:numRef>
              <c:f>Dts!$X$46:$X$50</c:f>
              <c:numCache>
                <c:formatCode>General</c:formatCode>
                <c:ptCount val="5"/>
                <c:pt idx="0">
                  <c:v>415</c:v>
                </c:pt>
                <c:pt idx="1">
                  <c:v>481</c:v>
                </c:pt>
                <c:pt idx="2">
                  <c:v>573</c:v>
                </c:pt>
                <c:pt idx="3">
                  <c:v>487</c:v>
                </c:pt>
                <c:pt idx="4">
                  <c:v>405</c:v>
                </c:pt>
              </c:numCache>
            </c:numRef>
          </c:val>
          <c:extLst>
            <c:ext xmlns:c16="http://schemas.microsoft.com/office/drawing/2014/chart" uri="{C3380CC4-5D6E-409C-BE32-E72D297353CC}">
              <c16:uniqueId val="{00000002-1007-4D87-B96A-81A75DFD6892}"/>
            </c:ext>
          </c:extLst>
        </c:ser>
        <c:dLbls>
          <c:showLegendKey val="0"/>
          <c:showVal val="0"/>
          <c:showCatName val="0"/>
          <c:showSerName val="0"/>
          <c:showPercent val="0"/>
          <c:showBubbleSize val="0"/>
        </c:dLbls>
        <c:gapWidth val="25"/>
        <c:overlap val="100"/>
        <c:axId val="-461460768"/>
        <c:axId val="-461456960"/>
      </c:barChart>
      <c:lineChart>
        <c:grouping val="standard"/>
        <c:varyColors val="0"/>
        <c:ser>
          <c:idx val="5"/>
          <c:order val="3"/>
          <c:tx>
            <c:strRef>
              <c:f>Dts!$Z$45</c:f>
              <c:strCache>
                <c:ptCount val="1"/>
                <c:pt idx="0">
                  <c:v>Porcentaje
Diagnósticos
Tardíos</c:v>
                </c:pt>
              </c:strCache>
            </c:strRef>
          </c:tx>
          <c:spPr>
            <a:ln w="28575" cap="rnd">
              <a:solidFill>
                <a:srgbClr val="9A0000"/>
              </a:solidFill>
              <a:round/>
            </a:ln>
            <a:effectLst/>
          </c:spPr>
          <c:marker>
            <c:symbol val="circle"/>
            <c:size val="5"/>
            <c:spPr>
              <a:solidFill>
                <a:srgbClr val="C00000"/>
              </a:solidFill>
              <a:ln w="38100">
                <a:solidFill>
                  <a:srgbClr val="FFFF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600" b="1" i="1"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Dts!$U$46:$U$50</c:f>
              <c:strCache>
                <c:ptCount val="5"/>
                <c:pt idx="0">
                  <c:v>2015</c:v>
                </c:pt>
                <c:pt idx="1">
                  <c:v>2016</c:v>
                </c:pt>
                <c:pt idx="2">
                  <c:v>2017</c:v>
                </c:pt>
                <c:pt idx="3">
                  <c:v>2018</c:v>
                </c:pt>
                <c:pt idx="4">
                  <c:v>2019</c:v>
                </c:pt>
              </c:strCache>
            </c:strRef>
          </c:cat>
          <c:val>
            <c:numRef>
              <c:f>Dts!$Z$46:$Z$50</c:f>
              <c:numCache>
                <c:formatCode>0.0%</c:formatCode>
                <c:ptCount val="5"/>
                <c:pt idx="0">
                  <c:v>0.62878787878787878</c:v>
                </c:pt>
                <c:pt idx="1">
                  <c:v>0.59163591635916357</c:v>
                </c:pt>
                <c:pt idx="2">
                  <c:v>0.66473317865429238</c:v>
                </c:pt>
                <c:pt idx="3">
                  <c:v>0.66078697421981003</c:v>
                </c:pt>
                <c:pt idx="4">
                  <c:v>0.54289544235924936</c:v>
                </c:pt>
              </c:numCache>
            </c:numRef>
          </c:val>
          <c:smooth val="0"/>
          <c:extLst>
            <c:ext xmlns:c16="http://schemas.microsoft.com/office/drawing/2014/chart" uri="{C3380CC4-5D6E-409C-BE32-E72D297353CC}">
              <c16:uniqueId val="{00000003-1007-4D87-B96A-81A75DFD6892}"/>
            </c:ext>
          </c:extLst>
        </c:ser>
        <c:dLbls>
          <c:showLegendKey val="0"/>
          <c:showVal val="0"/>
          <c:showCatName val="0"/>
          <c:showSerName val="0"/>
          <c:showPercent val="0"/>
          <c:showBubbleSize val="0"/>
        </c:dLbls>
        <c:marker val="1"/>
        <c:smooth val="0"/>
        <c:axId val="565474304"/>
        <c:axId val="565475968"/>
      </c:lineChart>
      <c:catAx>
        <c:axId val="-46146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461456960"/>
        <c:crosses val="autoZero"/>
        <c:auto val="1"/>
        <c:lblAlgn val="ctr"/>
        <c:lblOffset val="100"/>
        <c:noMultiLvlLbl val="0"/>
      </c:catAx>
      <c:valAx>
        <c:axId val="-461456960"/>
        <c:scaling>
          <c:orientation val="minMax"/>
          <c:max val="135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461460768"/>
        <c:crosses val="autoZero"/>
        <c:crossBetween val="between"/>
      </c:valAx>
      <c:valAx>
        <c:axId val="565475968"/>
        <c:scaling>
          <c:orientation val="minMax"/>
          <c:max val="1"/>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600" b="1"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565474304"/>
        <c:crosses val="max"/>
        <c:crossBetween val="between"/>
      </c:valAx>
      <c:catAx>
        <c:axId val="565474304"/>
        <c:scaling>
          <c:orientation val="minMax"/>
        </c:scaling>
        <c:delete val="1"/>
        <c:axPos val="b"/>
        <c:numFmt formatCode="General" sourceLinked="1"/>
        <c:majorTickMark val="out"/>
        <c:minorTickMark val="none"/>
        <c:tickLblPos val="nextTo"/>
        <c:crossAx val="565475968"/>
        <c:crosses val="autoZero"/>
        <c:auto val="1"/>
        <c:lblAlgn val="ctr"/>
        <c:lblOffset val="100"/>
        <c:noMultiLvlLbl val="0"/>
      </c:catAx>
      <c:spPr>
        <a:noFill/>
        <a:ln>
          <a:noFill/>
        </a:ln>
        <a:effectLst/>
      </c:spPr>
    </c:plotArea>
    <c:legend>
      <c:legendPos val="b"/>
      <c:layout>
        <c:manualLayout>
          <c:xMode val="edge"/>
          <c:yMode val="edge"/>
          <c:x val="4.9999848284860343E-2"/>
          <c:y val="0.8603267389360264"/>
          <c:w val="0.9"/>
          <c:h val="0.12859292865400135"/>
        </c:manualLayout>
      </c:layout>
      <c:overlay val="0"/>
      <c:spPr>
        <a:noFill/>
        <a:ln>
          <a:noFill/>
        </a:ln>
        <a:effectLst/>
      </c:spPr>
      <c:txPr>
        <a:bodyPr rot="0" spcFirstLastPara="1" vertOverflow="ellipsis" vert="horz" wrap="square" anchor="ctr" anchorCtr="1"/>
        <a:lstStyle/>
        <a:p>
          <a:pPr>
            <a:defRPr sz="500" b="1"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ill Sans MT" panose="020B0502020104020203"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Gill Sans MT" panose="020B0502020104020203" pitchFamily="34" charset="0"/>
                <a:ea typeface="+mn-ea"/>
                <a:cs typeface="+mn-cs"/>
              </a:defRPr>
            </a:pPr>
            <a:r>
              <a:rPr lang="es-NI" sz="800" b="1">
                <a:solidFill>
                  <a:schemeClr val="tx1"/>
                </a:solidFill>
              </a:rPr>
              <a:t>Figura</a:t>
            </a:r>
            <a:r>
              <a:rPr lang="es-NI" sz="800" b="1" baseline="0">
                <a:solidFill>
                  <a:schemeClr val="tx1"/>
                </a:solidFill>
              </a:rPr>
              <a:t> 8. </a:t>
            </a:r>
            <a:r>
              <a:rPr lang="es-NI" sz="800" b="1">
                <a:solidFill>
                  <a:schemeClr val="tx1"/>
                </a:solidFill>
              </a:rPr>
              <a:t>El Salvador 2019. Cascada de Atención en VIH en Embarazadas.</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8.612599982865643E-2"/>
          <c:y val="0.19308641975308641"/>
          <c:w val="0.87035273409814873"/>
          <c:h val="0.56731278960500309"/>
        </c:manualLayout>
      </c:layout>
      <c:barChart>
        <c:barDir val="col"/>
        <c:grouping val="stacked"/>
        <c:varyColors val="0"/>
        <c:ser>
          <c:idx val="0"/>
          <c:order val="0"/>
          <c:tx>
            <c:strRef>
              <c:f>'Otrs Casc'!$I$28</c:f>
              <c:strCache>
                <c:ptCount val="1"/>
                <c:pt idx="0">
                  <c:v>2019</c:v>
                </c:pt>
              </c:strCache>
            </c:strRef>
          </c:tx>
          <c:spPr>
            <a:solidFill>
              <a:schemeClr val="accent1"/>
            </a:solidFill>
            <a:ln w="12700">
              <a:solidFill>
                <a:srgbClr val="C00000"/>
              </a:solidFill>
            </a:ln>
            <a:effectLst/>
          </c:spPr>
          <c:invertIfNegative val="0"/>
          <c:dLbls>
            <c:spPr>
              <a:noFill/>
              <a:ln>
                <a:noFill/>
              </a:ln>
              <a:effectLst/>
            </c:spPr>
            <c:txPr>
              <a:bodyPr rot="0" spcFirstLastPara="1" vertOverflow="ellipsis" vert="horz" wrap="square" anchor="ctr" anchorCtr="1"/>
              <a:lstStyle/>
              <a:p>
                <a:pPr>
                  <a:defRPr sz="600" b="1" i="0" u="none" strike="noStrike" kern="1200" baseline="0">
                    <a:solidFill>
                      <a:schemeClr val="bg1">
                        <a:lumMod val="9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'Otrs Casc'!$B$29:$B$34</c:f>
              <c:strCache>
                <c:ptCount val="6"/>
                <c:pt idx="0">
                  <c:v>Embarazadas
con VIH</c:v>
                </c:pt>
                <c:pt idx="1">
                  <c:v>Emb conocen
su diagnóstico</c:v>
                </c:pt>
                <c:pt idx="2">
                  <c:v>Emb Vinculadas
a servicios
de atención</c:v>
                </c:pt>
                <c:pt idx="3">
                  <c:v>Emb Retenidas
en servicios
de atención</c:v>
                </c:pt>
                <c:pt idx="4">
                  <c:v>Emb Reciben
TARV</c:v>
                </c:pt>
                <c:pt idx="5">
                  <c:v>Emb con CV
suprimida</c:v>
                </c:pt>
              </c:strCache>
            </c:strRef>
          </c:cat>
          <c:val>
            <c:numRef>
              <c:f>'Otrs Casc'!$I$29:$I$34</c:f>
              <c:numCache>
                <c:formatCode>General</c:formatCode>
                <c:ptCount val="6"/>
                <c:pt idx="0">
                  <c:v>214</c:v>
                </c:pt>
                <c:pt idx="1">
                  <c:v>101</c:v>
                </c:pt>
                <c:pt idx="2">
                  <c:v>98</c:v>
                </c:pt>
                <c:pt idx="3">
                  <c:v>95</c:v>
                </c:pt>
                <c:pt idx="4">
                  <c:v>93</c:v>
                </c:pt>
                <c:pt idx="5">
                  <c:v>81</c:v>
                </c:pt>
              </c:numCache>
            </c:numRef>
          </c:val>
          <c:extLst>
            <c:ext xmlns:c16="http://schemas.microsoft.com/office/drawing/2014/chart" uri="{C3380CC4-5D6E-409C-BE32-E72D297353CC}">
              <c16:uniqueId val="{00000000-2005-483A-AF39-544FFB45FB9A}"/>
            </c:ext>
          </c:extLst>
        </c:ser>
        <c:ser>
          <c:idx val="2"/>
          <c:order val="2"/>
          <c:tx>
            <c:strRef>
              <c:f>'Otrs Casc'!$L$28</c:f>
              <c:strCache>
                <c:ptCount val="1"/>
              </c:strCache>
            </c:strRef>
          </c:tx>
          <c:spPr>
            <a:solidFill>
              <a:schemeClr val="accent3"/>
            </a:solidFill>
            <a:ln>
              <a:noFill/>
            </a:ln>
            <a:effectLst/>
          </c:spPr>
          <c:invertIfNegative val="0"/>
          <c:cat>
            <c:strRef>
              <c:f>'Otrs Casc'!$B$29:$B$34</c:f>
              <c:strCache>
                <c:ptCount val="6"/>
                <c:pt idx="0">
                  <c:v>Embarazadas
con VIH</c:v>
                </c:pt>
                <c:pt idx="1">
                  <c:v>Emb conocen
su diagnóstico</c:v>
                </c:pt>
                <c:pt idx="2">
                  <c:v>Emb Vinculadas
a servicios
de atención</c:v>
                </c:pt>
                <c:pt idx="3">
                  <c:v>Emb Retenidas
en servicios
de atención</c:v>
                </c:pt>
                <c:pt idx="4">
                  <c:v>Emb Reciben
TARV</c:v>
                </c:pt>
                <c:pt idx="5">
                  <c:v>Emb con CV
suprimida</c:v>
                </c:pt>
              </c:strCache>
            </c:strRef>
          </c:cat>
          <c:val>
            <c:numRef>
              <c:f>'Otrs Casc'!$L$29:$L$34</c:f>
              <c:numCache>
                <c:formatCode>General</c:formatCode>
                <c:ptCount val="6"/>
              </c:numCache>
            </c:numRef>
          </c:val>
          <c:extLst>
            <c:ext xmlns:c16="http://schemas.microsoft.com/office/drawing/2014/chart" uri="{C3380CC4-5D6E-409C-BE32-E72D297353CC}">
              <c16:uniqueId val="{00000001-2005-483A-AF39-544FFB45FB9A}"/>
            </c:ext>
          </c:extLst>
        </c:ser>
        <c:ser>
          <c:idx val="4"/>
          <c:order val="4"/>
          <c:tx>
            <c:strRef>
              <c:f>'Otrs Casc'!$N$28</c:f>
              <c:strCache>
                <c:ptCount val="1"/>
              </c:strCache>
            </c:strRef>
          </c:tx>
          <c:spPr>
            <a:solidFill>
              <a:schemeClr val="accent5"/>
            </a:solidFill>
            <a:ln>
              <a:noFill/>
            </a:ln>
            <a:effectLst/>
          </c:spPr>
          <c:invertIfNegative val="0"/>
          <c:cat>
            <c:strRef>
              <c:f>'Otrs Casc'!$B$29:$B$34</c:f>
              <c:strCache>
                <c:ptCount val="6"/>
                <c:pt idx="0">
                  <c:v>Embarazadas
con VIH</c:v>
                </c:pt>
                <c:pt idx="1">
                  <c:v>Emb conocen
su diagnóstico</c:v>
                </c:pt>
                <c:pt idx="2">
                  <c:v>Emb Vinculadas
a servicios
de atención</c:v>
                </c:pt>
                <c:pt idx="3">
                  <c:v>Emb Retenidas
en servicios
de atención</c:v>
                </c:pt>
                <c:pt idx="4">
                  <c:v>Emb Reciben
TARV</c:v>
                </c:pt>
                <c:pt idx="5">
                  <c:v>Emb con CV
suprimida</c:v>
                </c:pt>
              </c:strCache>
            </c:strRef>
          </c:cat>
          <c:val>
            <c:numRef>
              <c:f>'Otrs Casc'!$N$29:$N$34</c:f>
              <c:numCache>
                <c:formatCode>General</c:formatCode>
                <c:ptCount val="6"/>
              </c:numCache>
            </c:numRef>
          </c:val>
          <c:extLst>
            <c:ext xmlns:c16="http://schemas.microsoft.com/office/drawing/2014/chart" uri="{C3380CC4-5D6E-409C-BE32-E72D297353CC}">
              <c16:uniqueId val="{00000002-2005-483A-AF39-544FFB45FB9A}"/>
            </c:ext>
          </c:extLst>
        </c:ser>
        <c:ser>
          <c:idx val="6"/>
          <c:order val="6"/>
          <c:tx>
            <c:strRef>
              <c:f>'Otrs Casc'!$P$28</c:f>
              <c:strCache>
                <c:ptCount val="1"/>
              </c:strCache>
            </c:strRef>
          </c:tx>
          <c:spPr>
            <a:solidFill>
              <a:schemeClr val="accent1">
                <a:lumMod val="60000"/>
              </a:schemeClr>
            </a:solidFill>
            <a:ln>
              <a:noFill/>
            </a:ln>
            <a:effectLst/>
          </c:spPr>
          <c:invertIfNegative val="0"/>
          <c:cat>
            <c:strRef>
              <c:f>'Otrs Casc'!$B$29:$B$34</c:f>
              <c:strCache>
                <c:ptCount val="6"/>
                <c:pt idx="0">
                  <c:v>Embarazadas
con VIH</c:v>
                </c:pt>
                <c:pt idx="1">
                  <c:v>Emb conocen
su diagnóstico</c:v>
                </c:pt>
                <c:pt idx="2">
                  <c:v>Emb Vinculadas
a servicios
de atención</c:v>
                </c:pt>
                <c:pt idx="3">
                  <c:v>Emb Retenidas
en servicios
de atención</c:v>
                </c:pt>
                <c:pt idx="4">
                  <c:v>Emb Reciben
TARV</c:v>
                </c:pt>
                <c:pt idx="5">
                  <c:v>Emb con CV
suprimida</c:v>
                </c:pt>
              </c:strCache>
            </c:strRef>
          </c:cat>
          <c:val>
            <c:numRef>
              <c:f>'Otrs Casc'!$P$29:$P$34</c:f>
              <c:numCache>
                <c:formatCode>General</c:formatCode>
                <c:ptCount val="6"/>
              </c:numCache>
            </c:numRef>
          </c:val>
          <c:extLst>
            <c:ext xmlns:c16="http://schemas.microsoft.com/office/drawing/2014/chart" uri="{C3380CC4-5D6E-409C-BE32-E72D297353CC}">
              <c16:uniqueId val="{00000003-2005-483A-AF39-544FFB45FB9A}"/>
            </c:ext>
          </c:extLst>
        </c:ser>
        <c:dLbls>
          <c:showLegendKey val="0"/>
          <c:showVal val="0"/>
          <c:showCatName val="0"/>
          <c:showSerName val="0"/>
          <c:showPercent val="0"/>
          <c:showBubbleSize val="0"/>
        </c:dLbls>
        <c:gapWidth val="25"/>
        <c:overlap val="100"/>
        <c:axId val="-461460768"/>
        <c:axId val="-461456960"/>
      </c:barChart>
      <c:lineChart>
        <c:grouping val="standard"/>
        <c:varyColors val="0"/>
        <c:ser>
          <c:idx val="1"/>
          <c:order val="1"/>
          <c:tx>
            <c:strRef>
              <c:f>'Otrs Casc'!$K$28</c:f>
              <c:strCache>
                <c:ptCount val="1"/>
                <c:pt idx="0">
                  <c:v>Primer 95</c:v>
                </c:pt>
              </c:strCache>
            </c:strRef>
          </c:tx>
          <c:spPr>
            <a:ln w="28575" cap="rnd">
              <a:noFill/>
              <a:round/>
            </a:ln>
            <a:effectLst/>
          </c:spPr>
          <c:marker>
            <c:symbol val="circle"/>
            <c:size val="5"/>
            <c:spPr>
              <a:solidFill>
                <a:srgbClr val="FFFF00"/>
              </a:solidFill>
              <a:ln w="0">
                <a:solidFill>
                  <a:srgbClr val="9A0000"/>
                </a:solidFill>
              </a:ln>
              <a:effectLst/>
            </c:spPr>
          </c:marker>
          <c:dLbls>
            <c:numFmt formatCode="#,##0" sourceLinked="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Gill Sans MT" panose="020B0502020104020203" pitchFamily="34"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'Otrs Casc'!$B$29:$B$34</c:f>
              <c:strCache>
                <c:ptCount val="6"/>
                <c:pt idx="0">
                  <c:v>Embarazadas
con VIH</c:v>
                </c:pt>
                <c:pt idx="1">
                  <c:v>Emb conocen
su diagnóstico</c:v>
                </c:pt>
                <c:pt idx="2">
                  <c:v>Emb Vinculadas
a servicios
de atención</c:v>
                </c:pt>
                <c:pt idx="3">
                  <c:v>Emb Retenidas
en servicios
de atención</c:v>
                </c:pt>
                <c:pt idx="4">
                  <c:v>Emb Reciben
TARV</c:v>
                </c:pt>
                <c:pt idx="5">
                  <c:v>Emb con CV
suprimida</c:v>
                </c:pt>
              </c:strCache>
            </c:strRef>
          </c:cat>
          <c:val>
            <c:numRef>
              <c:f>'Otrs Casc'!$K$29:$K$34</c:f>
              <c:numCache>
                <c:formatCode>0.00</c:formatCode>
                <c:ptCount val="6"/>
                <c:pt idx="1">
                  <c:v>203.29999999999998</c:v>
                </c:pt>
              </c:numCache>
            </c:numRef>
          </c:val>
          <c:smooth val="0"/>
          <c:extLst>
            <c:ext xmlns:c16="http://schemas.microsoft.com/office/drawing/2014/chart" uri="{C3380CC4-5D6E-409C-BE32-E72D297353CC}">
              <c16:uniqueId val="{00000004-2005-483A-AF39-544FFB45FB9A}"/>
            </c:ext>
          </c:extLst>
        </c:ser>
        <c:ser>
          <c:idx val="3"/>
          <c:order val="3"/>
          <c:tx>
            <c:strRef>
              <c:f>'Otrs Casc'!$M$28</c:f>
              <c:strCache>
                <c:ptCount val="1"/>
                <c:pt idx="0">
                  <c:v>Segundo 95</c:v>
                </c:pt>
              </c:strCache>
            </c:strRef>
          </c:tx>
          <c:spPr>
            <a:ln w="28575" cap="rnd">
              <a:noFill/>
              <a:round/>
            </a:ln>
            <a:effectLst/>
          </c:spPr>
          <c:marker>
            <c:symbol val="circle"/>
            <c:size val="5"/>
            <c:spPr>
              <a:solidFill>
                <a:srgbClr val="FFFF00"/>
              </a:solidFill>
              <a:ln w="0">
                <a:solidFill>
                  <a:srgbClr val="9A0000"/>
                </a:solidFill>
              </a:ln>
              <a:effectLst/>
            </c:spPr>
          </c:marker>
          <c:dLbls>
            <c:numFmt formatCode="#,##0" sourceLinked="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Gill Sans MT" panose="020B0502020104020203" pitchFamily="34"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'Otrs Casc'!$B$29:$B$34</c:f>
              <c:strCache>
                <c:ptCount val="6"/>
                <c:pt idx="0">
                  <c:v>Embarazadas
con VIH</c:v>
                </c:pt>
                <c:pt idx="1">
                  <c:v>Emb conocen
su diagnóstico</c:v>
                </c:pt>
                <c:pt idx="2">
                  <c:v>Emb Vinculadas
a servicios
de atención</c:v>
                </c:pt>
                <c:pt idx="3">
                  <c:v>Emb Retenidas
en servicios
de atención</c:v>
                </c:pt>
                <c:pt idx="4">
                  <c:v>Emb Reciben
TARV</c:v>
                </c:pt>
                <c:pt idx="5">
                  <c:v>Emb con CV
suprimida</c:v>
                </c:pt>
              </c:strCache>
            </c:strRef>
          </c:cat>
          <c:val>
            <c:numRef>
              <c:f>'Otrs Casc'!$M$29:$M$34</c:f>
              <c:numCache>
                <c:formatCode>General</c:formatCode>
                <c:ptCount val="6"/>
                <c:pt idx="4" formatCode="0.00">
                  <c:v>95.949999999999989</c:v>
                </c:pt>
              </c:numCache>
            </c:numRef>
          </c:val>
          <c:smooth val="0"/>
          <c:extLst>
            <c:ext xmlns:c16="http://schemas.microsoft.com/office/drawing/2014/chart" uri="{C3380CC4-5D6E-409C-BE32-E72D297353CC}">
              <c16:uniqueId val="{00000005-2005-483A-AF39-544FFB45FB9A}"/>
            </c:ext>
          </c:extLst>
        </c:ser>
        <c:ser>
          <c:idx val="5"/>
          <c:order val="5"/>
          <c:tx>
            <c:strRef>
              <c:f>'Otrs Casc'!$O$28</c:f>
              <c:strCache>
                <c:ptCount val="1"/>
                <c:pt idx="0">
                  <c:v>Tercer 95</c:v>
                </c:pt>
              </c:strCache>
            </c:strRef>
          </c:tx>
          <c:spPr>
            <a:ln w="28575" cap="rnd">
              <a:noFill/>
              <a:round/>
            </a:ln>
            <a:effectLst/>
          </c:spPr>
          <c:marker>
            <c:symbol val="circle"/>
            <c:size val="5"/>
            <c:spPr>
              <a:solidFill>
                <a:srgbClr val="FFFF00"/>
              </a:solidFill>
              <a:ln w="0">
                <a:solidFill>
                  <a:srgbClr val="9A0000"/>
                </a:solidFill>
              </a:ln>
              <a:effectLst/>
            </c:spPr>
          </c:marker>
          <c:dLbls>
            <c:numFmt formatCode="#,##0" sourceLinked="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Gill Sans MT" panose="020B0502020104020203" pitchFamily="34"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'Otrs Casc'!$B$29:$B$34</c:f>
              <c:strCache>
                <c:ptCount val="6"/>
                <c:pt idx="0">
                  <c:v>Embarazadas
con VIH</c:v>
                </c:pt>
                <c:pt idx="1">
                  <c:v>Emb conocen
su diagnóstico</c:v>
                </c:pt>
                <c:pt idx="2">
                  <c:v>Emb Vinculadas
a servicios
de atención</c:v>
                </c:pt>
                <c:pt idx="3">
                  <c:v>Emb Retenidas
en servicios
de atención</c:v>
                </c:pt>
                <c:pt idx="4">
                  <c:v>Emb Reciben
TARV</c:v>
                </c:pt>
                <c:pt idx="5">
                  <c:v>Emb con CV
suprimida</c:v>
                </c:pt>
              </c:strCache>
            </c:strRef>
          </c:cat>
          <c:val>
            <c:numRef>
              <c:f>'Otrs Casc'!$O$29:$O$34</c:f>
              <c:numCache>
                <c:formatCode>General</c:formatCode>
                <c:ptCount val="6"/>
                <c:pt idx="5" formatCode="0.00">
                  <c:v>88.35</c:v>
                </c:pt>
              </c:numCache>
            </c:numRef>
          </c:val>
          <c:smooth val="0"/>
          <c:extLst>
            <c:ext xmlns:c16="http://schemas.microsoft.com/office/drawing/2014/chart" uri="{C3380CC4-5D6E-409C-BE32-E72D297353CC}">
              <c16:uniqueId val="{00000006-2005-483A-AF39-544FFB45FB9A}"/>
            </c:ext>
          </c:extLst>
        </c:ser>
        <c:dLbls>
          <c:showLegendKey val="0"/>
          <c:showVal val="0"/>
          <c:showCatName val="0"/>
          <c:showSerName val="0"/>
          <c:showPercent val="0"/>
          <c:showBubbleSize val="0"/>
        </c:dLbls>
        <c:marker val="1"/>
        <c:smooth val="0"/>
        <c:axId val="262629744"/>
        <c:axId val="262650960"/>
      </c:lineChart>
      <c:catAx>
        <c:axId val="-46146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1" i="0" u="none" strike="noStrike" kern="1200" baseline="0">
                <a:solidFill>
                  <a:schemeClr val="tx1"/>
                </a:solidFill>
                <a:latin typeface="Gill Sans MT" panose="020B0502020104020203" pitchFamily="34" charset="0"/>
                <a:ea typeface="+mn-ea"/>
                <a:cs typeface="+mn-cs"/>
              </a:defRPr>
            </a:pPr>
            <a:endParaRPr lang="en-US"/>
          </a:p>
        </c:txPr>
        <c:crossAx val="-461456960"/>
        <c:crosses val="autoZero"/>
        <c:auto val="1"/>
        <c:lblAlgn val="ctr"/>
        <c:lblOffset val="100"/>
        <c:noMultiLvlLbl val="0"/>
      </c:catAx>
      <c:valAx>
        <c:axId val="-461456960"/>
        <c:scaling>
          <c:orientation val="minMax"/>
          <c:max val="225"/>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1" i="0" u="none" strike="noStrike" kern="1200" baseline="0">
                <a:solidFill>
                  <a:schemeClr val="tx1"/>
                </a:solidFill>
                <a:latin typeface="Gill Sans MT" panose="020B0502020104020203" pitchFamily="34" charset="0"/>
                <a:ea typeface="+mn-ea"/>
                <a:cs typeface="+mn-cs"/>
              </a:defRPr>
            </a:pPr>
            <a:endParaRPr lang="en-US"/>
          </a:p>
        </c:txPr>
        <c:crossAx val="-461460768"/>
        <c:crosses val="autoZero"/>
        <c:crossBetween val="between"/>
      </c:valAx>
      <c:valAx>
        <c:axId val="262650960"/>
        <c:scaling>
          <c:orientation val="minMax"/>
        </c:scaling>
        <c:delete val="1"/>
        <c:axPos val="r"/>
        <c:numFmt formatCode="0.00" sourceLinked="1"/>
        <c:majorTickMark val="out"/>
        <c:minorTickMark val="none"/>
        <c:tickLblPos val="nextTo"/>
        <c:crossAx val="262629744"/>
        <c:crosses val="max"/>
        <c:crossBetween val="between"/>
      </c:valAx>
      <c:catAx>
        <c:axId val="262629744"/>
        <c:scaling>
          <c:orientation val="minMax"/>
        </c:scaling>
        <c:delete val="1"/>
        <c:axPos val="b"/>
        <c:numFmt formatCode="General" sourceLinked="1"/>
        <c:majorTickMark val="out"/>
        <c:minorTickMark val="none"/>
        <c:tickLblPos val="nextTo"/>
        <c:crossAx val="262650960"/>
        <c:crosses val="autoZero"/>
        <c:auto val="1"/>
        <c:lblAlgn val="ctr"/>
        <c:lblOffset val="100"/>
        <c:noMultiLvlLbl val="0"/>
      </c:cat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layout>
        <c:manualLayout>
          <c:xMode val="edge"/>
          <c:yMode val="edge"/>
          <c:x val="0.24548984789364237"/>
          <c:y val="0.91829687955672212"/>
          <c:w val="0.5090199926789567"/>
          <c:h val="7.0729183543415092E-2"/>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ill Sans MT" panose="020B0502020104020203" pitchFamily="34"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95000"/>
                    <a:lumOff val="5000"/>
                  </a:schemeClr>
                </a:solidFill>
                <a:latin typeface="Gill Sans MT" panose="020B0502020104020203" pitchFamily="34" charset="0"/>
                <a:ea typeface="+mn-ea"/>
                <a:cs typeface="+mn-cs"/>
              </a:defRPr>
            </a:pPr>
            <a:r>
              <a:rPr lang="es-NI" sz="800" b="1"/>
              <a:t>Figura 9. El Salvador 2019. Cascada de Atención en VIH en Embarazadas, pilares 2 al 6.</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95000"/>
                  <a:lumOff val="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8.4866847784377836E-2"/>
          <c:y val="0.18683060109289615"/>
          <c:w val="0.87224816196221089"/>
          <c:h val="0.60621746052235259"/>
        </c:manualLayout>
      </c:layout>
      <c:barChart>
        <c:barDir val="col"/>
        <c:grouping val="stacked"/>
        <c:varyColors val="0"/>
        <c:ser>
          <c:idx val="0"/>
          <c:order val="0"/>
          <c:tx>
            <c:strRef>
              <c:f>'Otrs Casc'!$E$39</c:f>
              <c:strCache>
                <c:ptCount val="1"/>
              </c:strCache>
            </c:strRef>
          </c:tx>
          <c:spPr>
            <a:solidFill>
              <a:schemeClr val="accent1"/>
            </a:solidFill>
            <a:ln w="12700">
              <a:solidFill>
                <a:srgbClr val="C00000"/>
              </a:solidFill>
            </a:ln>
            <a:effectLst/>
          </c:spPr>
          <c:invertIfNegative val="0"/>
          <c:dLbls>
            <c:spPr>
              <a:noFill/>
              <a:ln>
                <a:noFill/>
              </a:ln>
              <a:effectLst/>
            </c:spPr>
            <c:txPr>
              <a:bodyPr rot="0" spcFirstLastPara="1" vertOverflow="ellipsis" vert="horz" wrap="square" anchor="ctr" anchorCtr="1"/>
              <a:lstStyle/>
              <a:p>
                <a:pPr>
                  <a:defRPr sz="600" b="1" i="0" u="none" strike="noStrike" kern="1200" baseline="0">
                    <a:solidFill>
                      <a:schemeClr val="bg1"/>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'Otrs Casc'!$B$40:$B$44</c:f>
              <c:strCache>
                <c:ptCount val="5"/>
                <c:pt idx="0">
                  <c:v>Emb conocen
su diagnóstico</c:v>
                </c:pt>
                <c:pt idx="1">
                  <c:v>Emb Vinculadas
a servicios
de atención</c:v>
                </c:pt>
                <c:pt idx="2">
                  <c:v>Emb Retenidas
en servicios
de atención</c:v>
                </c:pt>
                <c:pt idx="3">
                  <c:v>Emb Reciben
TARV</c:v>
                </c:pt>
                <c:pt idx="4">
                  <c:v>Emb con CV
suprimida</c:v>
                </c:pt>
              </c:strCache>
            </c:strRef>
          </c:cat>
          <c:val>
            <c:numRef>
              <c:f>'Otrs Casc'!$E$40:$E$44</c:f>
              <c:numCache>
                <c:formatCode>General</c:formatCode>
                <c:ptCount val="5"/>
                <c:pt idx="0">
                  <c:v>101</c:v>
                </c:pt>
                <c:pt idx="1">
                  <c:v>98</c:v>
                </c:pt>
                <c:pt idx="2">
                  <c:v>95</c:v>
                </c:pt>
                <c:pt idx="3">
                  <c:v>93</c:v>
                </c:pt>
                <c:pt idx="4">
                  <c:v>81</c:v>
                </c:pt>
              </c:numCache>
            </c:numRef>
          </c:val>
          <c:extLst>
            <c:ext xmlns:c16="http://schemas.microsoft.com/office/drawing/2014/chart" uri="{C3380CC4-5D6E-409C-BE32-E72D297353CC}">
              <c16:uniqueId val="{00000000-45B5-4447-948A-0D3A42AAAAF6}"/>
            </c:ext>
          </c:extLst>
        </c:ser>
        <c:dLbls>
          <c:showLegendKey val="0"/>
          <c:showVal val="0"/>
          <c:showCatName val="0"/>
          <c:showSerName val="0"/>
          <c:showPercent val="0"/>
          <c:showBubbleSize val="0"/>
        </c:dLbls>
        <c:gapWidth val="25"/>
        <c:overlap val="100"/>
        <c:axId val="-461460768"/>
        <c:axId val="-461456960"/>
      </c:barChart>
      <c:lineChart>
        <c:grouping val="standard"/>
        <c:varyColors val="0"/>
        <c:ser>
          <c:idx val="1"/>
          <c:order val="1"/>
          <c:tx>
            <c:strRef>
              <c:f>'Otrs Casc'!$F$39</c:f>
              <c:strCache>
                <c:ptCount val="1"/>
                <c:pt idx="0">
                  <c:v>Segundo 95</c:v>
                </c:pt>
              </c:strCache>
            </c:strRef>
          </c:tx>
          <c:spPr>
            <a:ln w="28575" cap="rnd">
              <a:noFill/>
              <a:round/>
            </a:ln>
            <a:effectLst/>
          </c:spPr>
          <c:marker>
            <c:symbol val="circle"/>
            <c:size val="5"/>
            <c:spPr>
              <a:solidFill>
                <a:srgbClr val="FFFF00"/>
              </a:solidFill>
              <a:ln w="9525">
                <a:solidFill>
                  <a:srgbClr val="9A0000"/>
                </a:solidFill>
              </a:ln>
              <a:effectLst/>
            </c:spPr>
          </c:marker>
          <c:dLbls>
            <c:numFmt formatCode="#,##0" sourceLinked="0"/>
            <c:spPr>
              <a:noFill/>
              <a:ln>
                <a:noFill/>
              </a:ln>
              <a:effectLst/>
            </c:spPr>
            <c:txPr>
              <a:bodyPr rot="0" spcFirstLastPara="1" vertOverflow="ellipsis" vert="horz" wrap="square" anchor="ctr" anchorCtr="1"/>
              <a:lstStyle/>
              <a:p>
                <a:pPr>
                  <a:defRPr sz="600" b="1"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'Otrs Casc'!$B$40:$B$44</c:f>
              <c:strCache>
                <c:ptCount val="5"/>
                <c:pt idx="0">
                  <c:v>Emb conocen
su diagnóstico</c:v>
                </c:pt>
                <c:pt idx="1">
                  <c:v>Emb Vinculadas
a servicios
de atención</c:v>
                </c:pt>
                <c:pt idx="2">
                  <c:v>Emb Retenidas
en servicios
de atención</c:v>
                </c:pt>
                <c:pt idx="3">
                  <c:v>Emb Reciben
TARV</c:v>
                </c:pt>
                <c:pt idx="4">
                  <c:v>Emb con CV
suprimida</c:v>
                </c:pt>
              </c:strCache>
            </c:strRef>
          </c:cat>
          <c:val>
            <c:numRef>
              <c:f>'Otrs Casc'!$F$40:$F$44</c:f>
              <c:numCache>
                <c:formatCode>General</c:formatCode>
                <c:ptCount val="5"/>
                <c:pt idx="3">
                  <c:v>95.949999999999989</c:v>
                </c:pt>
              </c:numCache>
            </c:numRef>
          </c:val>
          <c:smooth val="0"/>
          <c:extLst>
            <c:ext xmlns:c16="http://schemas.microsoft.com/office/drawing/2014/chart" uri="{C3380CC4-5D6E-409C-BE32-E72D297353CC}">
              <c16:uniqueId val="{00000001-45B5-4447-948A-0D3A42AAAAF6}"/>
            </c:ext>
          </c:extLst>
        </c:ser>
        <c:ser>
          <c:idx val="2"/>
          <c:order val="2"/>
          <c:tx>
            <c:strRef>
              <c:f>'Otrs Casc'!$G$39</c:f>
              <c:strCache>
                <c:ptCount val="1"/>
                <c:pt idx="0">
                  <c:v>Tercer 95</c:v>
                </c:pt>
              </c:strCache>
            </c:strRef>
          </c:tx>
          <c:spPr>
            <a:ln w="28575" cap="rnd">
              <a:noFill/>
              <a:round/>
            </a:ln>
            <a:effectLst/>
          </c:spPr>
          <c:marker>
            <c:symbol val="circle"/>
            <c:size val="5"/>
            <c:spPr>
              <a:solidFill>
                <a:srgbClr val="FFFF00"/>
              </a:solidFill>
              <a:ln w="9525">
                <a:solidFill>
                  <a:srgbClr val="9A0000"/>
                </a:solidFill>
              </a:ln>
              <a:effectLst/>
            </c:spPr>
          </c:marker>
          <c:dLbls>
            <c:dLbl>
              <c:idx val="4"/>
              <c:numFmt formatCode="#,##0" sourceLinked="0"/>
              <c:spPr>
                <a:noFill/>
                <a:ln>
                  <a:noFill/>
                </a:ln>
                <a:effectLst/>
              </c:spPr>
              <c:txPr>
                <a:bodyPr rot="0" spcFirstLastPara="1" vertOverflow="ellipsis" vert="horz" wrap="square" anchor="ctr" anchorCtr="1"/>
                <a:lstStyle/>
                <a:p>
                  <a:pPr>
                    <a:defRPr sz="600" b="1"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B5-4447-948A-0D3A42AAAAF6}"/>
                </c:ext>
              </c:extLst>
            </c:dLbl>
            <c:spPr>
              <a:noFill/>
              <a:ln>
                <a:noFill/>
              </a:ln>
              <a:effectLst/>
            </c:spPr>
            <c:txPr>
              <a:bodyPr rot="0" spcFirstLastPara="1" vertOverflow="ellipsis" vert="horz" wrap="square" anchor="ctr" anchorCtr="1"/>
              <a:lstStyle/>
              <a:p>
                <a:pPr>
                  <a:defRPr sz="600" b="1"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'Otrs Casc'!$B$40:$B$44</c:f>
              <c:strCache>
                <c:ptCount val="5"/>
                <c:pt idx="0">
                  <c:v>Emb conocen
su diagnóstico</c:v>
                </c:pt>
                <c:pt idx="1">
                  <c:v>Emb Vinculadas
a servicios
de atención</c:v>
                </c:pt>
                <c:pt idx="2">
                  <c:v>Emb Retenidas
en servicios
de atención</c:v>
                </c:pt>
                <c:pt idx="3">
                  <c:v>Emb Reciben
TARV</c:v>
                </c:pt>
                <c:pt idx="4">
                  <c:v>Emb con CV
suprimida</c:v>
                </c:pt>
              </c:strCache>
            </c:strRef>
          </c:cat>
          <c:val>
            <c:numRef>
              <c:f>'Otrs Casc'!$G$40:$G$44</c:f>
              <c:numCache>
                <c:formatCode>General</c:formatCode>
                <c:ptCount val="5"/>
                <c:pt idx="4">
                  <c:v>88.35</c:v>
                </c:pt>
              </c:numCache>
            </c:numRef>
          </c:val>
          <c:smooth val="0"/>
          <c:extLst>
            <c:ext xmlns:c16="http://schemas.microsoft.com/office/drawing/2014/chart" uri="{C3380CC4-5D6E-409C-BE32-E72D297353CC}">
              <c16:uniqueId val="{00000003-45B5-4447-948A-0D3A42AAAAF6}"/>
            </c:ext>
          </c:extLst>
        </c:ser>
        <c:dLbls>
          <c:showLegendKey val="0"/>
          <c:showVal val="0"/>
          <c:showCatName val="0"/>
          <c:showSerName val="0"/>
          <c:showPercent val="0"/>
          <c:showBubbleSize val="0"/>
        </c:dLbls>
        <c:marker val="1"/>
        <c:smooth val="0"/>
        <c:axId val="634338160"/>
        <c:axId val="634340240"/>
      </c:lineChart>
      <c:catAx>
        <c:axId val="-46146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1" i="0" u="none" strike="noStrike" kern="1200" baseline="0">
                <a:solidFill>
                  <a:schemeClr val="tx1"/>
                </a:solidFill>
                <a:latin typeface="Gill Sans MT" panose="020B0502020104020203" pitchFamily="34" charset="0"/>
                <a:ea typeface="+mn-ea"/>
                <a:cs typeface="+mn-cs"/>
              </a:defRPr>
            </a:pPr>
            <a:endParaRPr lang="en-US"/>
          </a:p>
        </c:txPr>
        <c:crossAx val="-461456960"/>
        <c:crosses val="autoZero"/>
        <c:auto val="1"/>
        <c:lblAlgn val="ctr"/>
        <c:lblOffset val="100"/>
        <c:noMultiLvlLbl val="0"/>
      </c:catAx>
      <c:valAx>
        <c:axId val="-461456960"/>
        <c:scaling>
          <c:orientation val="minMax"/>
          <c:max val="110"/>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1"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crossAx val="-461460768"/>
        <c:crosses val="autoZero"/>
        <c:crossBetween val="between"/>
      </c:valAx>
      <c:valAx>
        <c:axId val="634340240"/>
        <c:scaling>
          <c:orientation val="minMax"/>
          <c:max val="110"/>
        </c:scaling>
        <c:delete val="1"/>
        <c:axPos val="r"/>
        <c:numFmt formatCode="#,##0" sourceLinked="0"/>
        <c:majorTickMark val="out"/>
        <c:minorTickMark val="none"/>
        <c:tickLblPos val="nextTo"/>
        <c:crossAx val="634338160"/>
        <c:crosses val="max"/>
        <c:crossBetween val="between"/>
      </c:valAx>
      <c:catAx>
        <c:axId val="634338160"/>
        <c:scaling>
          <c:orientation val="minMax"/>
        </c:scaling>
        <c:delete val="1"/>
        <c:axPos val="b"/>
        <c:numFmt formatCode="General" sourceLinked="1"/>
        <c:majorTickMark val="out"/>
        <c:minorTickMark val="none"/>
        <c:tickLblPos val="nextTo"/>
        <c:crossAx val="634340240"/>
        <c:crosses val="autoZero"/>
        <c:auto val="1"/>
        <c:lblAlgn val="ctr"/>
        <c:lblOffset val="100"/>
        <c:noMultiLvlLbl val="0"/>
      </c:catAx>
      <c:spPr>
        <a:noFill/>
        <a:ln>
          <a:noFill/>
        </a:ln>
        <a:effectLst/>
      </c:spPr>
    </c:plotArea>
    <c:legend>
      <c:legendPos val="b"/>
      <c:legendEntry>
        <c:idx val="0"/>
        <c:delete val="1"/>
      </c:legendEntry>
      <c:layout>
        <c:manualLayout>
          <c:xMode val="edge"/>
          <c:yMode val="edge"/>
          <c:x val="0.33002747463584597"/>
          <c:y val="0.91863172841099783"/>
          <c:w val="0.33994474374913664"/>
          <c:h val="7.0439309840368308E-2"/>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latin typeface="Gill Sans MT" panose="020B0502020104020203" pitchFamily="34"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ysClr val="windowText" lastClr="000000"/>
                </a:solidFill>
                <a:latin typeface="Gill Sans MT" panose="020B0502020104020203" pitchFamily="34" charset="0"/>
                <a:ea typeface="+mn-ea"/>
                <a:cs typeface="+mn-cs"/>
              </a:defRPr>
            </a:pPr>
            <a:r>
              <a:rPr lang="es-NI" sz="800" b="1">
                <a:solidFill>
                  <a:sysClr val="windowText" lastClr="000000"/>
                </a:solidFill>
                <a:latin typeface="Gill Sans MT" panose="020B0502020104020203" pitchFamily="34" charset="0"/>
              </a:rPr>
              <a:t>Figura 10. El Salvador 2017-2019.</a:t>
            </a:r>
            <a:r>
              <a:rPr lang="es-NI" sz="800" b="1" baseline="0">
                <a:solidFill>
                  <a:sysClr val="windowText" lastClr="000000"/>
                </a:solidFill>
                <a:latin typeface="Gill Sans MT" panose="020B0502020104020203" pitchFamily="34" charset="0"/>
              </a:rPr>
              <a:t> Cascada de Coinfección TB/VIH.</a:t>
            </a:r>
            <a:endParaRPr lang="es-NI" sz="800" b="1">
              <a:solidFill>
                <a:sysClr val="windowText" lastClr="000000"/>
              </a:solidFill>
              <a:latin typeface="Gill Sans MT" panose="020B0502020104020203" pitchFamily="34" charset="0"/>
            </a:endParaRPr>
          </a:p>
        </c:rich>
      </c:tx>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8.3037751122231218E-2"/>
          <c:y val="0.19485831142272861"/>
          <c:w val="0.87500153936031699"/>
          <c:h val="0.56039850846865003"/>
        </c:manualLayout>
      </c:layout>
      <c:barChart>
        <c:barDir val="col"/>
        <c:grouping val="clustered"/>
        <c:varyColors val="0"/>
        <c:ser>
          <c:idx val="0"/>
          <c:order val="0"/>
          <c:tx>
            <c:strRef>
              <c:f>'Otrs Casc'!$B$62</c:f>
              <c:strCache>
                <c:ptCount val="1"/>
                <c:pt idx="0">
                  <c:v>Casos TB|VIH Estimados</c:v>
                </c:pt>
              </c:strCache>
            </c:strRef>
          </c:tx>
          <c:spPr>
            <a:solidFill>
              <a:schemeClr val="accent1"/>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bg1"/>
                    </a:solidFill>
                    <a:latin typeface="Gill Sans MT" panose="020B0502020104020203"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'Otrs Casc'!$C$59:$E$59</c:f>
              <c:strCache>
                <c:ptCount val="3"/>
                <c:pt idx="0">
                  <c:v>2017</c:v>
                </c:pt>
                <c:pt idx="1">
                  <c:v>2018</c:v>
                </c:pt>
                <c:pt idx="2">
                  <c:v>2019</c:v>
                </c:pt>
              </c:strCache>
            </c:strRef>
          </c:cat>
          <c:val>
            <c:numRef>
              <c:f>'Otrs Casc'!$C$62:$E$62</c:f>
              <c:numCache>
                <c:formatCode>General</c:formatCode>
                <c:ptCount val="3"/>
                <c:pt idx="0">
                  <c:v>240</c:v>
                </c:pt>
                <c:pt idx="1">
                  <c:v>240</c:v>
                </c:pt>
                <c:pt idx="2">
                  <c:v>240</c:v>
                </c:pt>
              </c:numCache>
            </c:numRef>
          </c:val>
          <c:extLst>
            <c:ext xmlns:c16="http://schemas.microsoft.com/office/drawing/2014/chart" uri="{C3380CC4-5D6E-409C-BE32-E72D297353CC}">
              <c16:uniqueId val="{00000000-AAAA-445E-97D6-2BDB9DB03453}"/>
            </c:ext>
          </c:extLst>
        </c:ser>
        <c:ser>
          <c:idx val="1"/>
          <c:order val="1"/>
          <c:tx>
            <c:strRef>
              <c:f>'Otrs Casc'!$B$63</c:f>
              <c:strCache>
                <c:ptCount val="1"/>
                <c:pt idx="0">
                  <c:v>Incidencia Casos TB|VIH</c:v>
                </c:pt>
              </c:strCache>
            </c:strRef>
          </c:tx>
          <c:spPr>
            <a:solidFill>
              <a:schemeClr val="accent2"/>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Gill Sans MT" panose="020B0502020104020203"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'Otrs Casc'!$C$59:$E$59</c:f>
              <c:strCache>
                <c:ptCount val="3"/>
                <c:pt idx="0">
                  <c:v>2017</c:v>
                </c:pt>
                <c:pt idx="1">
                  <c:v>2018</c:v>
                </c:pt>
                <c:pt idx="2">
                  <c:v>2019</c:v>
                </c:pt>
              </c:strCache>
            </c:strRef>
          </c:cat>
          <c:val>
            <c:numRef>
              <c:f>'Otrs Casc'!$C$63:$E$63</c:f>
              <c:numCache>
                <c:formatCode>General</c:formatCode>
                <c:ptCount val="3"/>
                <c:pt idx="0">
                  <c:v>169</c:v>
                </c:pt>
                <c:pt idx="1">
                  <c:v>209</c:v>
                </c:pt>
                <c:pt idx="2">
                  <c:v>185</c:v>
                </c:pt>
              </c:numCache>
            </c:numRef>
          </c:val>
          <c:extLst>
            <c:ext xmlns:c16="http://schemas.microsoft.com/office/drawing/2014/chart" uri="{C3380CC4-5D6E-409C-BE32-E72D297353CC}">
              <c16:uniqueId val="{00000001-AAAA-445E-97D6-2BDB9DB03453}"/>
            </c:ext>
          </c:extLst>
        </c:ser>
        <c:ser>
          <c:idx val="3"/>
          <c:order val="2"/>
          <c:tx>
            <c:strRef>
              <c:f>'Otrs Casc'!$B$64</c:f>
              <c:strCache>
                <c:ptCount val="1"/>
                <c:pt idx="0">
                  <c:v>TB|VIH que ingresaron a tratamiento TB</c:v>
                </c:pt>
              </c:strCache>
            </c:strRef>
          </c:tx>
          <c:spPr>
            <a:solidFill>
              <a:schemeClr val="accent4"/>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Gill Sans MT" panose="020B0502020104020203"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'Otrs Casc'!$C$59:$E$59</c:f>
              <c:strCache>
                <c:ptCount val="3"/>
                <c:pt idx="0">
                  <c:v>2017</c:v>
                </c:pt>
                <c:pt idx="1">
                  <c:v>2018</c:v>
                </c:pt>
                <c:pt idx="2">
                  <c:v>2019</c:v>
                </c:pt>
              </c:strCache>
            </c:strRef>
          </c:cat>
          <c:val>
            <c:numRef>
              <c:f>'Otrs Casc'!$C$64:$E$64</c:f>
              <c:numCache>
                <c:formatCode>General</c:formatCode>
                <c:ptCount val="3"/>
                <c:pt idx="0">
                  <c:v>169</c:v>
                </c:pt>
                <c:pt idx="1">
                  <c:v>209</c:v>
                </c:pt>
                <c:pt idx="2">
                  <c:v>185</c:v>
                </c:pt>
              </c:numCache>
            </c:numRef>
          </c:val>
          <c:extLst>
            <c:ext xmlns:c16="http://schemas.microsoft.com/office/drawing/2014/chart" uri="{C3380CC4-5D6E-409C-BE32-E72D297353CC}">
              <c16:uniqueId val="{00000002-AAAA-445E-97D6-2BDB9DB03453}"/>
            </c:ext>
          </c:extLst>
        </c:ser>
        <c:ser>
          <c:idx val="5"/>
          <c:order val="3"/>
          <c:tx>
            <c:strRef>
              <c:f>'Otrs Casc'!$B$65</c:f>
              <c:strCache>
                <c:ptCount val="1"/>
                <c:pt idx="0">
                  <c:v>TB|VIH que iniciaron o continuaron TAR</c:v>
                </c:pt>
              </c:strCache>
            </c:strRef>
          </c:tx>
          <c:spPr>
            <a:solidFill>
              <a:schemeClr val="accent6"/>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bg1"/>
                    </a:solidFill>
                    <a:latin typeface="Gill Sans MT" panose="020B0502020104020203"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'Otrs Casc'!$C$59:$E$59</c:f>
              <c:strCache>
                <c:ptCount val="3"/>
                <c:pt idx="0">
                  <c:v>2017</c:v>
                </c:pt>
                <c:pt idx="1">
                  <c:v>2018</c:v>
                </c:pt>
                <c:pt idx="2">
                  <c:v>2019</c:v>
                </c:pt>
              </c:strCache>
            </c:strRef>
          </c:cat>
          <c:val>
            <c:numRef>
              <c:f>'Otrs Casc'!$C$65:$E$65</c:f>
              <c:numCache>
                <c:formatCode>General</c:formatCode>
                <c:ptCount val="3"/>
                <c:pt idx="0">
                  <c:v>117</c:v>
                </c:pt>
                <c:pt idx="1">
                  <c:v>166</c:v>
                </c:pt>
                <c:pt idx="2">
                  <c:v>158</c:v>
                </c:pt>
              </c:numCache>
            </c:numRef>
          </c:val>
          <c:extLst>
            <c:ext xmlns:c16="http://schemas.microsoft.com/office/drawing/2014/chart" uri="{C3380CC4-5D6E-409C-BE32-E72D297353CC}">
              <c16:uniqueId val="{00000003-AAAA-445E-97D6-2BDB9DB03453}"/>
            </c:ext>
          </c:extLst>
        </c:ser>
        <c:ser>
          <c:idx val="2"/>
          <c:order val="4"/>
          <c:tx>
            <c:strRef>
              <c:f>'Otrs Casc'!$B$66</c:f>
              <c:strCache>
                <c:ptCount val="1"/>
                <c:pt idx="0">
                  <c:v>Éxito de tratamiento coinfección TB|VIH</c:v>
                </c:pt>
              </c:strCache>
            </c:strRef>
          </c:tx>
          <c:spPr>
            <a:solidFill>
              <a:schemeClr val="accent3"/>
            </a:solidFill>
            <a:ln w="3175">
              <a:solidFill>
                <a:sysClr val="windowText" lastClr="000000"/>
              </a:solidFill>
            </a:ln>
            <a:effectLst/>
          </c:spPr>
          <c:invertIfNegative val="0"/>
          <c:dPt>
            <c:idx val="1"/>
            <c:invertIfNegative val="0"/>
            <c:bubble3D val="0"/>
            <c:spPr>
              <a:solidFill>
                <a:schemeClr val="accent3"/>
              </a:solidFill>
              <a:ln w="3175">
                <a:solidFill>
                  <a:sysClr val="windowText" lastClr="000000"/>
                </a:solidFill>
              </a:ln>
              <a:effectLst/>
            </c:spPr>
            <c:extLst>
              <c:ext xmlns:c16="http://schemas.microsoft.com/office/drawing/2014/chart" uri="{C3380CC4-5D6E-409C-BE32-E72D297353CC}">
                <c16:uniqueId val="{00000005-AAAA-445E-97D6-2BDB9DB03453}"/>
              </c:ext>
            </c:extLst>
          </c:dPt>
          <c:dPt>
            <c:idx val="2"/>
            <c:invertIfNegative val="0"/>
            <c:bubble3D val="0"/>
            <c:spPr>
              <a:solidFill>
                <a:schemeClr val="accent3"/>
              </a:solidFill>
              <a:ln w="3175">
                <a:solidFill>
                  <a:sysClr val="windowText" lastClr="000000"/>
                </a:solidFill>
              </a:ln>
              <a:effectLst/>
            </c:spPr>
            <c:extLst>
              <c:ext xmlns:c16="http://schemas.microsoft.com/office/drawing/2014/chart" uri="{C3380CC4-5D6E-409C-BE32-E72D297353CC}">
                <c16:uniqueId val="{00000007-AAAA-445E-97D6-2BDB9DB03453}"/>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bg1"/>
                    </a:solidFill>
                    <a:latin typeface="Gill Sans MT" panose="020B0502020104020203"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'Otrs Casc'!$C$59:$E$59</c:f>
              <c:strCache>
                <c:ptCount val="3"/>
                <c:pt idx="0">
                  <c:v>2017</c:v>
                </c:pt>
                <c:pt idx="1">
                  <c:v>2018</c:v>
                </c:pt>
                <c:pt idx="2">
                  <c:v>2019</c:v>
                </c:pt>
              </c:strCache>
            </c:strRef>
          </c:cat>
          <c:val>
            <c:numRef>
              <c:f>'Otrs Casc'!$C$66:$E$66</c:f>
              <c:numCache>
                <c:formatCode>General</c:formatCode>
                <c:ptCount val="3"/>
                <c:pt idx="0">
                  <c:v>137</c:v>
                </c:pt>
                <c:pt idx="1">
                  <c:v>140</c:v>
                </c:pt>
              </c:numCache>
            </c:numRef>
          </c:val>
          <c:extLst>
            <c:ext xmlns:c16="http://schemas.microsoft.com/office/drawing/2014/chart" uri="{C3380CC4-5D6E-409C-BE32-E72D297353CC}">
              <c16:uniqueId val="{00000008-AAAA-445E-97D6-2BDB9DB03453}"/>
            </c:ext>
          </c:extLst>
        </c:ser>
        <c:ser>
          <c:idx val="4"/>
          <c:order val="5"/>
          <c:tx>
            <c:strRef>
              <c:f>'Otrs Casc'!$B$67</c:f>
              <c:strCache>
                <c:ptCount val="1"/>
                <c:pt idx="0">
                  <c:v>Fallecidos</c:v>
                </c:pt>
              </c:strCache>
            </c:strRef>
          </c:tx>
          <c:spPr>
            <a:solidFill>
              <a:schemeClr val="accent5"/>
            </a:solidFill>
            <a:ln w="3175">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Gill Sans MT" panose="020B0502020104020203"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'Otrs Casc'!$C$59:$E$59</c:f>
              <c:strCache>
                <c:ptCount val="3"/>
                <c:pt idx="0">
                  <c:v>2017</c:v>
                </c:pt>
                <c:pt idx="1">
                  <c:v>2018</c:v>
                </c:pt>
                <c:pt idx="2">
                  <c:v>2019</c:v>
                </c:pt>
              </c:strCache>
            </c:strRef>
          </c:cat>
          <c:val>
            <c:numRef>
              <c:f>'Otrs Casc'!$C$67:$E$67</c:f>
              <c:numCache>
                <c:formatCode>General</c:formatCode>
                <c:ptCount val="3"/>
                <c:pt idx="0">
                  <c:v>28</c:v>
                </c:pt>
                <c:pt idx="1">
                  <c:v>45</c:v>
                </c:pt>
              </c:numCache>
            </c:numRef>
          </c:val>
          <c:extLst>
            <c:ext xmlns:c16="http://schemas.microsoft.com/office/drawing/2014/chart" uri="{C3380CC4-5D6E-409C-BE32-E72D297353CC}">
              <c16:uniqueId val="{00000009-AAAA-445E-97D6-2BDB9DB03453}"/>
            </c:ext>
          </c:extLst>
        </c:ser>
        <c:dLbls>
          <c:showLegendKey val="0"/>
          <c:showVal val="0"/>
          <c:showCatName val="0"/>
          <c:showSerName val="0"/>
          <c:showPercent val="0"/>
          <c:showBubbleSize val="0"/>
        </c:dLbls>
        <c:gapWidth val="150"/>
        <c:axId val="-461460768"/>
        <c:axId val="-461456960"/>
      </c:barChart>
      <c:catAx>
        <c:axId val="-46146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ysClr val="windowText" lastClr="000000"/>
                </a:solidFill>
                <a:latin typeface="Gill Sans MT" panose="020B0502020104020203" pitchFamily="34" charset="0"/>
                <a:ea typeface="+mn-ea"/>
                <a:cs typeface="+mn-cs"/>
              </a:defRPr>
            </a:pPr>
            <a:endParaRPr lang="en-US"/>
          </a:p>
        </c:txPr>
        <c:crossAx val="-461456960"/>
        <c:crosses val="autoZero"/>
        <c:auto val="1"/>
        <c:lblAlgn val="ctr"/>
        <c:lblOffset val="100"/>
        <c:noMultiLvlLbl val="0"/>
      </c:catAx>
      <c:valAx>
        <c:axId val="-461456960"/>
        <c:scaling>
          <c:orientation val="minMax"/>
          <c:max val="25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1" i="0" u="none" strike="noStrike" kern="1200" baseline="0">
                <a:solidFill>
                  <a:sysClr val="windowText" lastClr="000000"/>
                </a:solidFill>
                <a:latin typeface="Gill Sans MT" panose="020B0502020104020203" pitchFamily="34" charset="0"/>
                <a:ea typeface="+mn-ea"/>
                <a:cs typeface="+mn-cs"/>
              </a:defRPr>
            </a:pPr>
            <a:endParaRPr lang="en-US"/>
          </a:p>
        </c:txPr>
        <c:crossAx val="-461460768"/>
        <c:crosses val="autoZero"/>
        <c:crossBetween val="between"/>
        <c:majorUnit val="50"/>
      </c:valAx>
      <c:spPr>
        <a:noFill/>
        <a:ln>
          <a:noFill/>
        </a:ln>
        <a:effectLst/>
      </c:spPr>
    </c:plotArea>
    <c:legend>
      <c:legendPos val="b"/>
      <c:layout>
        <c:manualLayout>
          <c:xMode val="edge"/>
          <c:yMode val="edge"/>
          <c:x val="1.3981596759684078E-2"/>
          <c:y val="0.84708629212759456"/>
          <c:w val="0.968221896161511"/>
          <c:h val="0.1412280520149705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95000"/>
                  <a:lumOff val="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spc="0" baseline="0">
                <a:solidFill>
                  <a:sysClr val="windowText" lastClr="000000"/>
                </a:solidFill>
                <a:latin typeface="Gill Sans MT" panose="020B0502020104020203" pitchFamily="34" charset="0"/>
                <a:ea typeface="+mn-ea"/>
                <a:cs typeface="+mn-cs"/>
              </a:defRPr>
            </a:pPr>
            <a:r>
              <a:rPr lang="es-SV" sz="1050" b="1"/>
              <a:t>Presupuesto por</a:t>
            </a:r>
            <a:r>
              <a:rPr lang="es-SV" sz="1050" b="1" baseline="0"/>
              <a:t> Fuente de Financiamiento </a:t>
            </a:r>
            <a:r>
              <a:rPr lang="es-SV" sz="1050" b="1"/>
              <a:t>2022 a 2026</a:t>
            </a:r>
          </a:p>
        </c:rich>
      </c:tx>
      <c:overlay val="0"/>
      <c:spPr>
        <a:noFill/>
        <a:ln>
          <a:noFill/>
        </a:ln>
        <a:effectLst/>
      </c:spPr>
      <c:txPr>
        <a:bodyPr rot="0" spcFirstLastPara="1" vertOverflow="ellipsis" vert="horz" wrap="square" anchor="ctr" anchorCtr="1"/>
        <a:lstStyle/>
        <a:p>
          <a:pPr>
            <a:defRPr sz="1050" b="1" i="0" u="none" strike="noStrike" kern="1200" spc="0" baseline="0">
              <a:solidFill>
                <a:sysClr val="windowText" lastClr="000000"/>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0.14340517810164749"/>
          <c:y val="0.10628200381828889"/>
          <c:w val="0.85659482189835245"/>
          <c:h val="0.62198721219180197"/>
        </c:manualLayout>
      </c:layout>
      <c:barChart>
        <c:barDir val="col"/>
        <c:grouping val="clustered"/>
        <c:varyColors val="0"/>
        <c:ser>
          <c:idx val="0"/>
          <c:order val="0"/>
          <c:tx>
            <c:strRef>
              <c:f>'GRAFICO PRESUP PENM Y BRECHA'!$G$4</c:f>
              <c:strCache>
                <c:ptCount val="1"/>
                <c:pt idx="0">
                  <c:v>2022</c:v>
                </c:pt>
              </c:strCache>
            </c:strRef>
          </c:tx>
          <c:spPr>
            <a:solidFill>
              <a:schemeClr val="accent1"/>
            </a:solidFill>
            <a:ln>
              <a:solidFill>
                <a:schemeClr val="tx1">
                  <a:lumMod val="95000"/>
                  <a:lumOff val="5000"/>
                </a:schemeClr>
              </a:solidFill>
            </a:ln>
            <a:effectLst/>
          </c:spPr>
          <c:invertIfNegative val="0"/>
          <c:cat>
            <c:strRef>
              <c:f>'GRAFICO PRESUP PENM Y BRECHA'!$C$5:$C$13</c:f>
              <c:strCache>
                <c:ptCount val="9"/>
                <c:pt idx="0">
                  <c:v>MINSAL</c:v>
                </c:pt>
                <c:pt idx="1">
                  <c:v>ISSS</c:v>
                </c:pt>
                <c:pt idx="2">
                  <c:v>COSAM</c:v>
                </c:pt>
                <c:pt idx="3">
                  <c:v>ISBM</c:v>
                </c:pt>
                <c:pt idx="4">
                  <c:v>OTRAS IGOB NO SANITARIAS</c:v>
                </c:pt>
                <c:pt idx="5">
                  <c:v>FM</c:v>
                </c:pt>
                <c:pt idx="6">
                  <c:v>OTROS COOPERANTES</c:v>
                </c:pt>
                <c:pt idx="7">
                  <c:v>TOTAL PRESUPUESTO POR AÑO</c:v>
                </c:pt>
                <c:pt idx="8">
                  <c:v>BRECHA FINANCIERA</c:v>
                </c:pt>
              </c:strCache>
            </c:strRef>
          </c:cat>
          <c:val>
            <c:numRef>
              <c:f>'GRAFICO PRESUP PENM Y BRECHA'!$G$5:$G$13</c:f>
              <c:numCache>
                <c:formatCode>_("$"* #,##0.00_);_("$"* \(#,##0.00\);_("$"* "-"??_);_(@_)</c:formatCode>
                <c:ptCount val="9"/>
                <c:pt idx="0">
                  <c:v>22658834.129916109</c:v>
                </c:pt>
                <c:pt idx="1">
                  <c:v>5855313.6831635246</c:v>
                </c:pt>
                <c:pt idx="2">
                  <c:v>271199.19059743657</c:v>
                </c:pt>
                <c:pt idx="3">
                  <c:v>219718.98625151219</c:v>
                </c:pt>
                <c:pt idx="4">
                  <c:v>4283152.0544040157</c:v>
                </c:pt>
                <c:pt idx="5">
                  <c:v>6353908.46</c:v>
                </c:pt>
                <c:pt idx="6">
                  <c:v>3704354.4330000002</c:v>
                </c:pt>
                <c:pt idx="7">
                  <c:v>43346480.937332593</c:v>
                </c:pt>
                <c:pt idx="8">
                  <c:v>17176482.212667406</c:v>
                </c:pt>
              </c:numCache>
            </c:numRef>
          </c:val>
          <c:extLst>
            <c:ext xmlns:c16="http://schemas.microsoft.com/office/drawing/2014/chart" uri="{C3380CC4-5D6E-409C-BE32-E72D297353CC}">
              <c16:uniqueId val="{00000000-0830-4310-8CD7-7A0941CC8872}"/>
            </c:ext>
          </c:extLst>
        </c:ser>
        <c:ser>
          <c:idx val="1"/>
          <c:order val="1"/>
          <c:tx>
            <c:strRef>
              <c:f>'GRAFICO PRESUP PENM Y BRECHA'!$H$4</c:f>
              <c:strCache>
                <c:ptCount val="1"/>
                <c:pt idx="0">
                  <c:v>2023</c:v>
                </c:pt>
              </c:strCache>
            </c:strRef>
          </c:tx>
          <c:spPr>
            <a:solidFill>
              <a:schemeClr val="accent2"/>
            </a:solidFill>
            <a:ln>
              <a:solidFill>
                <a:schemeClr val="tx1">
                  <a:lumMod val="95000"/>
                  <a:lumOff val="5000"/>
                </a:schemeClr>
              </a:solidFill>
            </a:ln>
            <a:effectLst/>
          </c:spPr>
          <c:invertIfNegative val="0"/>
          <c:cat>
            <c:strRef>
              <c:f>'GRAFICO PRESUP PENM Y BRECHA'!$C$5:$C$13</c:f>
              <c:strCache>
                <c:ptCount val="9"/>
                <c:pt idx="0">
                  <c:v>MINSAL</c:v>
                </c:pt>
                <c:pt idx="1">
                  <c:v>ISSS</c:v>
                </c:pt>
                <c:pt idx="2">
                  <c:v>COSAM</c:v>
                </c:pt>
                <c:pt idx="3">
                  <c:v>ISBM</c:v>
                </c:pt>
                <c:pt idx="4">
                  <c:v>OTRAS IGOB NO SANITARIAS</c:v>
                </c:pt>
                <c:pt idx="5">
                  <c:v>FM</c:v>
                </c:pt>
                <c:pt idx="6">
                  <c:v>OTROS COOPERANTES</c:v>
                </c:pt>
                <c:pt idx="7">
                  <c:v>TOTAL PRESUPUESTO POR AÑO</c:v>
                </c:pt>
                <c:pt idx="8">
                  <c:v>BRECHA FINANCIERA</c:v>
                </c:pt>
              </c:strCache>
            </c:strRef>
          </c:cat>
          <c:val>
            <c:numRef>
              <c:f>'GRAFICO PRESUP PENM Y BRECHA'!$H$5:$H$13</c:f>
              <c:numCache>
                <c:formatCode>_("$"* #,##0.00_);_("$"* \(#,##0.00\);_("$"* "-"??_);_(@_)</c:formatCode>
                <c:ptCount val="9"/>
                <c:pt idx="0">
                  <c:v>22930740.139475103</c:v>
                </c:pt>
                <c:pt idx="1">
                  <c:v>5925577.447361487</c:v>
                </c:pt>
                <c:pt idx="2">
                  <c:v>274453.58088460582</c:v>
                </c:pt>
                <c:pt idx="3">
                  <c:v>222355.61408653035</c:v>
                </c:pt>
                <c:pt idx="4">
                  <c:v>4334549.8790568635</c:v>
                </c:pt>
                <c:pt idx="5">
                  <c:v>4795047.33</c:v>
                </c:pt>
                <c:pt idx="6">
                  <c:v>3748806.6861960003</c:v>
                </c:pt>
                <c:pt idx="7">
                  <c:v>42231530.677060589</c:v>
                </c:pt>
                <c:pt idx="8">
                  <c:v>19017708.030739412</c:v>
                </c:pt>
              </c:numCache>
            </c:numRef>
          </c:val>
          <c:extLst>
            <c:ext xmlns:c16="http://schemas.microsoft.com/office/drawing/2014/chart" uri="{C3380CC4-5D6E-409C-BE32-E72D297353CC}">
              <c16:uniqueId val="{00000001-0830-4310-8CD7-7A0941CC8872}"/>
            </c:ext>
          </c:extLst>
        </c:ser>
        <c:ser>
          <c:idx val="2"/>
          <c:order val="2"/>
          <c:tx>
            <c:strRef>
              <c:f>'GRAFICO PRESUP PENM Y BRECHA'!$I$4</c:f>
              <c:strCache>
                <c:ptCount val="1"/>
                <c:pt idx="0">
                  <c:v>2024</c:v>
                </c:pt>
              </c:strCache>
            </c:strRef>
          </c:tx>
          <c:spPr>
            <a:solidFill>
              <a:schemeClr val="accent3"/>
            </a:solidFill>
            <a:ln>
              <a:solidFill>
                <a:schemeClr val="tx1">
                  <a:lumMod val="95000"/>
                  <a:lumOff val="5000"/>
                </a:schemeClr>
              </a:solidFill>
            </a:ln>
            <a:effectLst/>
          </c:spPr>
          <c:invertIfNegative val="0"/>
          <c:cat>
            <c:strRef>
              <c:f>'GRAFICO PRESUP PENM Y BRECHA'!$C$5:$C$13</c:f>
              <c:strCache>
                <c:ptCount val="9"/>
                <c:pt idx="0">
                  <c:v>MINSAL</c:v>
                </c:pt>
                <c:pt idx="1">
                  <c:v>ISSS</c:v>
                </c:pt>
                <c:pt idx="2">
                  <c:v>COSAM</c:v>
                </c:pt>
                <c:pt idx="3">
                  <c:v>ISBM</c:v>
                </c:pt>
                <c:pt idx="4">
                  <c:v>OTRAS IGOB NO SANITARIAS</c:v>
                </c:pt>
                <c:pt idx="5">
                  <c:v>FM</c:v>
                </c:pt>
                <c:pt idx="6">
                  <c:v>OTROS COOPERANTES</c:v>
                </c:pt>
                <c:pt idx="7">
                  <c:v>TOTAL PRESUPUESTO POR AÑO</c:v>
                </c:pt>
                <c:pt idx="8">
                  <c:v>BRECHA FINANCIERA</c:v>
                </c:pt>
              </c:strCache>
            </c:strRef>
          </c:cat>
          <c:val>
            <c:numRef>
              <c:f>'GRAFICO PRESUP PENM Y BRECHA'!$I$5:$I$13</c:f>
              <c:numCache>
                <c:formatCode>_("$"* #,##0.00_);_("$"* \(#,##0.00\);_("$"* "-"??_);_(@_)</c:formatCode>
                <c:ptCount val="9"/>
                <c:pt idx="0">
                  <c:v>23171512.910939593</c:v>
                </c:pt>
                <c:pt idx="1">
                  <c:v>5987796.0105587821</c:v>
                </c:pt>
                <c:pt idx="2">
                  <c:v>277335.34348389419</c:v>
                </c:pt>
                <c:pt idx="3">
                  <c:v>224690.34803443891</c:v>
                </c:pt>
                <c:pt idx="4">
                  <c:v>4380062.6527869608</c:v>
                </c:pt>
                <c:pt idx="5">
                  <c:v>4925860.29</c:v>
                </c:pt>
                <c:pt idx="6">
                  <c:v>3788169.1564010582</c:v>
                </c:pt>
                <c:pt idx="7">
                  <c:v>42755426.712204725</c:v>
                </c:pt>
                <c:pt idx="8">
                  <c:v>19136929.002027176</c:v>
                </c:pt>
              </c:numCache>
            </c:numRef>
          </c:val>
          <c:extLst>
            <c:ext xmlns:c16="http://schemas.microsoft.com/office/drawing/2014/chart" uri="{C3380CC4-5D6E-409C-BE32-E72D297353CC}">
              <c16:uniqueId val="{00000002-0830-4310-8CD7-7A0941CC8872}"/>
            </c:ext>
          </c:extLst>
        </c:ser>
        <c:ser>
          <c:idx val="3"/>
          <c:order val="3"/>
          <c:tx>
            <c:strRef>
              <c:f>'GRAFICO PRESUP PENM Y BRECHA'!$J$4</c:f>
              <c:strCache>
                <c:ptCount val="1"/>
                <c:pt idx="0">
                  <c:v>2025</c:v>
                </c:pt>
              </c:strCache>
            </c:strRef>
          </c:tx>
          <c:spPr>
            <a:solidFill>
              <a:schemeClr val="accent4"/>
            </a:solidFill>
            <a:ln>
              <a:solidFill>
                <a:schemeClr val="tx1">
                  <a:lumMod val="95000"/>
                  <a:lumOff val="5000"/>
                </a:schemeClr>
              </a:solidFill>
            </a:ln>
            <a:effectLst/>
          </c:spPr>
          <c:invertIfNegative val="0"/>
          <c:cat>
            <c:strRef>
              <c:f>'GRAFICO PRESUP PENM Y BRECHA'!$C$5:$C$13</c:f>
              <c:strCache>
                <c:ptCount val="9"/>
                <c:pt idx="0">
                  <c:v>MINSAL</c:v>
                </c:pt>
                <c:pt idx="1">
                  <c:v>ISSS</c:v>
                </c:pt>
                <c:pt idx="2">
                  <c:v>COSAM</c:v>
                </c:pt>
                <c:pt idx="3">
                  <c:v>ISBM</c:v>
                </c:pt>
                <c:pt idx="4">
                  <c:v>OTRAS IGOB NO SANITARIAS</c:v>
                </c:pt>
                <c:pt idx="5">
                  <c:v>FM</c:v>
                </c:pt>
                <c:pt idx="6">
                  <c:v>OTROS COOPERANTES</c:v>
                </c:pt>
                <c:pt idx="7">
                  <c:v>TOTAL PRESUPUESTO POR AÑO</c:v>
                </c:pt>
                <c:pt idx="8">
                  <c:v>BRECHA FINANCIERA</c:v>
                </c:pt>
              </c:strCache>
            </c:strRef>
          </c:cat>
          <c:val>
            <c:numRef>
              <c:f>'GRAFICO PRESUP PENM Y BRECHA'!$J$5:$J$13</c:f>
              <c:numCache>
                <c:formatCode>_("$"* #,##0.00_);_("$"* \(#,##0.00\);_("$"* "-"??_);_(@_)</c:formatCode>
                <c:ptCount val="9"/>
                <c:pt idx="0">
                  <c:v>23403228.04004899</c:v>
                </c:pt>
                <c:pt idx="1">
                  <c:v>6047673.9706643699</c:v>
                </c:pt>
                <c:pt idx="2">
                  <c:v>280108.69691873313</c:v>
                </c:pt>
                <c:pt idx="3">
                  <c:v>226937.2515147833</c:v>
                </c:pt>
                <c:pt idx="4">
                  <c:v>4423863.2793148309</c:v>
                </c:pt>
                <c:pt idx="6">
                  <c:v>3826050.8479650686</c:v>
                </c:pt>
                <c:pt idx="7">
                  <c:v>38207862.08642678</c:v>
                </c:pt>
                <c:pt idx="8">
                  <c:v>24303417.184947439</c:v>
                </c:pt>
              </c:numCache>
            </c:numRef>
          </c:val>
          <c:extLst>
            <c:ext xmlns:c16="http://schemas.microsoft.com/office/drawing/2014/chart" uri="{C3380CC4-5D6E-409C-BE32-E72D297353CC}">
              <c16:uniqueId val="{00000003-0830-4310-8CD7-7A0941CC8872}"/>
            </c:ext>
          </c:extLst>
        </c:ser>
        <c:ser>
          <c:idx val="4"/>
          <c:order val="4"/>
          <c:tx>
            <c:strRef>
              <c:f>'GRAFICO PRESUP PENM Y BRECHA'!$K$4</c:f>
              <c:strCache>
                <c:ptCount val="1"/>
                <c:pt idx="0">
                  <c:v>2026</c:v>
                </c:pt>
              </c:strCache>
            </c:strRef>
          </c:tx>
          <c:spPr>
            <a:solidFill>
              <a:schemeClr val="accent5"/>
            </a:solidFill>
            <a:ln>
              <a:solidFill>
                <a:schemeClr val="tx1">
                  <a:lumMod val="95000"/>
                  <a:lumOff val="5000"/>
                </a:schemeClr>
              </a:solidFill>
            </a:ln>
            <a:effectLst/>
          </c:spPr>
          <c:invertIfNegative val="0"/>
          <c:cat>
            <c:strRef>
              <c:f>'GRAFICO PRESUP PENM Y BRECHA'!$C$5:$C$13</c:f>
              <c:strCache>
                <c:ptCount val="9"/>
                <c:pt idx="0">
                  <c:v>MINSAL</c:v>
                </c:pt>
                <c:pt idx="1">
                  <c:v>ISSS</c:v>
                </c:pt>
                <c:pt idx="2">
                  <c:v>COSAM</c:v>
                </c:pt>
                <c:pt idx="3">
                  <c:v>ISBM</c:v>
                </c:pt>
                <c:pt idx="4">
                  <c:v>OTRAS IGOB NO SANITARIAS</c:v>
                </c:pt>
                <c:pt idx="5">
                  <c:v>FM</c:v>
                </c:pt>
                <c:pt idx="6">
                  <c:v>OTROS COOPERANTES</c:v>
                </c:pt>
                <c:pt idx="7">
                  <c:v>TOTAL PRESUPUESTO POR AÑO</c:v>
                </c:pt>
                <c:pt idx="8">
                  <c:v>BRECHA FINANCIERA</c:v>
                </c:pt>
              </c:strCache>
            </c:strRef>
          </c:cat>
          <c:val>
            <c:numRef>
              <c:f>'GRAFICO PRESUP PENM Y BRECHA'!$K$5:$K$13</c:f>
              <c:numCache>
                <c:formatCode>_("$"* #,##0.00_);_("$"* \(#,##0.00\);_("$"* "-"??_);_(@_)</c:formatCode>
                <c:ptCount val="9"/>
                <c:pt idx="0">
                  <c:v>23674705.485313557</c:v>
                </c:pt>
                <c:pt idx="1">
                  <c:v>6117826.9887240762</c:v>
                </c:pt>
                <c:pt idx="2">
                  <c:v>283357.95780299045</c:v>
                </c:pt>
                <c:pt idx="3">
                  <c:v>229569.72363235478</c:v>
                </c:pt>
                <c:pt idx="4">
                  <c:v>4475180.0933548827</c:v>
                </c:pt>
                <c:pt idx="6">
                  <c:v>3870433.0378014636</c:v>
                </c:pt>
                <c:pt idx="7">
                  <c:v>38651073.286629327</c:v>
                </c:pt>
                <c:pt idx="8">
                  <c:v>24585336.824292831</c:v>
                </c:pt>
              </c:numCache>
            </c:numRef>
          </c:val>
          <c:extLst>
            <c:ext xmlns:c16="http://schemas.microsoft.com/office/drawing/2014/chart" uri="{C3380CC4-5D6E-409C-BE32-E72D297353CC}">
              <c16:uniqueId val="{00000004-0830-4310-8CD7-7A0941CC8872}"/>
            </c:ext>
          </c:extLst>
        </c:ser>
        <c:dLbls>
          <c:showLegendKey val="0"/>
          <c:showVal val="0"/>
          <c:showCatName val="0"/>
          <c:showSerName val="0"/>
          <c:showPercent val="0"/>
          <c:showBubbleSize val="0"/>
        </c:dLbls>
        <c:gapWidth val="150"/>
        <c:axId val="88739311"/>
        <c:axId val="259730127"/>
      </c:barChart>
      <c:catAx>
        <c:axId val="88739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ill Sans MT" panose="020B0502020104020203" pitchFamily="34" charset="0"/>
                <a:ea typeface="+mn-ea"/>
                <a:cs typeface="+mn-cs"/>
              </a:defRPr>
            </a:pPr>
            <a:endParaRPr lang="en-US"/>
          </a:p>
        </c:txPr>
        <c:crossAx val="259730127"/>
        <c:crosses val="autoZero"/>
        <c:auto val="1"/>
        <c:lblAlgn val="ctr"/>
        <c:lblOffset val="100"/>
        <c:noMultiLvlLbl val="0"/>
      </c:catAx>
      <c:valAx>
        <c:axId val="259730127"/>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Gill Sans MT" panose="020B0502020104020203" pitchFamily="34" charset="0"/>
                    <a:ea typeface="+mn-ea"/>
                    <a:cs typeface="+mn-cs"/>
                  </a:defRPr>
                </a:pPr>
                <a:r>
                  <a:rPr lang="en-US"/>
                  <a:t>Monto en dólares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ill Sans MT" panose="020B0502020104020203" pitchFamily="34" charset="0"/>
                  <a:ea typeface="+mn-ea"/>
                  <a:cs typeface="+mn-cs"/>
                </a:defRPr>
              </a:pPr>
              <a:endParaRPr lang="en-US"/>
            </a:p>
          </c:txPr>
        </c:title>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Gill Sans MT" panose="020B0502020104020203" pitchFamily="34" charset="0"/>
                <a:ea typeface="+mn-ea"/>
                <a:cs typeface="+mn-cs"/>
              </a:defRPr>
            </a:pPr>
            <a:endParaRPr lang="en-US"/>
          </a:p>
        </c:txPr>
        <c:crossAx val="8873931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500" b="0" i="0" u="none" strike="noStrike" kern="1200" baseline="0">
                <a:solidFill>
                  <a:sysClr val="windowText" lastClr="000000"/>
                </a:solidFill>
                <a:latin typeface="Gill Sans MT" panose="020B0502020104020203"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Gill Sans MT" panose="020B0502020104020203" pitchFamily="34"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cap="all" baseline="0">
                <a:solidFill>
                  <a:sysClr val="windowText" lastClr="000000"/>
                </a:solidFill>
                <a:latin typeface="Gill Sans MT" panose="020B0502020104020203" pitchFamily="34" charset="0"/>
                <a:ea typeface="+mn-ea"/>
                <a:cs typeface="+mn-cs"/>
              </a:defRPr>
            </a:pPr>
            <a:r>
              <a:rPr lang="en-US" sz="1000">
                <a:solidFill>
                  <a:sysClr val="windowText" lastClr="000000"/>
                </a:solidFill>
              </a:rPr>
              <a:t>PRESUPUESTO POR MODULOS</a:t>
            </a:r>
          </a:p>
          <a:p>
            <a:pPr>
              <a:defRPr sz="1000">
                <a:solidFill>
                  <a:sysClr val="windowText" lastClr="000000"/>
                </a:solidFill>
              </a:defRPr>
            </a:pPr>
            <a:r>
              <a:rPr lang="en-US" sz="1000">
                <a:solidFill>
                  <a:sysClr val="windowText" lastClr="000000"/>
                </a:solidFill>
              </a:rPr>
              <a:t>SUBVENCION SLV-H-MOH 2022-2024</a:t>
            </a:r>
          </a:p>
        </c:rich>
      </c:tx>
      <c:overlay val="0"/>
      <c:spPr>
        <a:noFill/>
        <a:ln>
          <a:noFill/>
        </a:ln>
        <a:effectLst/>
      </c:spPr>
      <c:txPr>
        <a:bodyPr rot="0" spcFirstLastPara="1" vertOverflow="ellipsis" vert="horz" wrap="square" anchor="ctr" anchorCtr="1"/>
        <a:lstStyle/>
        <a:p>
          <a:pPr>
            <a:defRPr sz="1000" b="1" i="0" u="none" strike="noStrike" kern="1200" cap="all" baseline="0">
              <a:solidFill>
                <a:sysClr val="windowText" lastClr="000000"/>
              </a:solidFill>
              <a:latin typeface="Gill Sans MT" panose="020B0502020104020203" pitchFamily="34" charset="0"/>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MODULO!$B$1</c:f>
              <c:strCache>
                <c:ptCount val="1"/>
                <c:pt idx="0">
                  <c:v> Total Subvención </c:v>
                </c:pt>
              </c:strCache>
            </c:strRef>
          </c:tx>
          <c:dPt>
            <c:idx val="0"/>
            <c:bubble3D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46C-4BBA-9614-2DC5FE61B2F0}"/>
              </c:ext>
            </c:extLst>
          </c:dPt>
          <c:dPt>
            <c:idx val="1"/>
            <c:bubble3D val="0"/>
            <c:spPr>
              <a:solidFill>
                <a:schemeClr val="accent6">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46C-4BBA-9614-2DC5FE61B2F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46C-4BBA-9614-2DC5FE61B2F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46C-4BBA-9614-2DC5FE61B2F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46C-4BBA-9614-2DC5FE61B2F0}"/>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846C-4BBA-9614-2DC5FE61B2F0}"/>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846C-4BBA-9614-2DC5FE61B2F0}"/>
              </c:ext>
            </c:extLst>
          </c:dPt>
          <c:dLbls>
            <c:dLbl>
              <c:idx val="0"/>
              <c:layout>
                <c:manualLayout>
                  <c:x val="4.0325707638619618E-2"/>
                  <c:y val="3.2310185926039186E-3"/>
                </c:manualLayout>
              </c:layout>
              <c:spPr>
                <a:noFill/>
                <a:ln>
                  <a:noFill/>
                </a:ln>
                <a:effectLst/>
              </c:spPr>
              <c:txPr>
                <a:bodyPr rot="0" spcFirstLastPara="1" vertOverflow="ellipsis" vert="horz" wrap="square" anchor="ctr" anchorCtr="1"/>
                <a:lstStyle/>
                <a:p>
                  <a:pPr>
                    <a:defRPr sz="800" b="1" i="0" u="none" strike="noStrike" kern="1200" spc="0" baseline="0">
                      <a:solidFill>
                        <a:srgbClr val="00B0F0"/>
                      </a:solidFill>
                      <a:latin typeface="Gill Sans MT" panose="020B0502020104020203" pitchFamily="34"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6C-4BBA-9614-2DC5FE61B2F0}"/>
                </c:ext>
              </c:extLst>
            </c:dLbl>
            <c:dLbl>
              <c:idx val="1"/>
              <c:layout>
                <c:manualLayout>
                  <c:x val="3.567274137262505E-2"/>
                  <c:y val="5.49273160742665E-2"/>
                </c:manualLayout>
              </c:layout>
              <c:spPr>
                <a:noFill/>
                <a:ln>
                  <a:noFill/>
                </a:ln>
                <a:effectLst/>
              </c:spPr>
              <c:txPr>
                <a:bodyPr rot="0" spcFirstLastPara="1" vertOverflow="ellipsis" vert="horz" wrap="square" anchor="ctr" anchorCtr="1"/>
                <a:lstStyle/>
                <a:p>
                  <a:pPr>
                    <a:defRPr sz="800" b="1" i="0" u="none" strike="noStrike" kern="1200" spc="0" baseline="0">
                      <a:solidFill>
                        <a:schemeClr val="accent6">
                          <a:lumMod val="60000"/>
                          <a:lumOff val="40000"/>
                        </a:schemeClr>
                      </a:solidFill>
                      <a:latin typeface="Gill Sans MT" panose="020B0502020104020203" pitchFamily="34"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6C-4BBA-9614-2DC5FE61B2F0}"/>
                </c:ext>
              </c:extLst>
            </c:dLbl>
            <c:dLbl>
              <c:idx val="2"/>
              <c:layout>
                <c:manualLayout>
                  <c:x val="-5.8937572702597932E-2"/>
                  <c:y val="5.4927316074266617E-2"/>
                </c:manualLayout>
              </c:layout>
              <c:spPr>
                <a:noFill/>
                <a:ln>
                  <a:noFill/>
                </a:ln>
                <a:effectLst/>
              </c:spPr>
              <c:txPr>
                <a:bodyPr rot="0" spcFirstLastPara="1" vertOverflow="ellipsis" vert="horz" wrap="square" anchor="ctr" anchorCtr="1"/>
                <a:lstStyle/>
                <a:p>
                  <a:pPr>
                    <a:defRPr sz="800" b="1" i="0" u="none" strike="noStrike" kern="1200" spc="0" baseline="0">
                      <a:solidFill>
                        <a:schemeClr val="accent3"/>
                      </a:solidFill>
                      <a:latin typeface="Gill Sans MT" panose="020B0502020104020203" pitchFamily="34"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6C-4BBA-9614-2DC5FE61B2F0}"/>
                </c:ext>
              </c:extLst>
            </c:dLbl>
            <c:dLbl>
              <c:idx val="3"/>
              <c:layout>
                <c:manualLayout>
                  <c:x val="-4.0325707638619618E-2"/>
                  <c:y val="1.2924074370415675E-2"/>
                </c:manualLayout>
              </c:layout>
              <c:spPr>
                <a:noFill/>
                <a:ln>
                  <a:noFill/>
                </a:ln>
                <a:effectLst/>
              </c:spPr>
              <c:txPr>
                <a:bodyPr rot="0" spcFirstLastPara="1" vertOverflow="ellipsis" vert="horz" wrap="square" anchor="ctr" anchorCtr="1"/>
                <a:lstStyle/>
                <a:p>
                  <a:pPr>
                    <a:defRPr sz="800" b="1" i="0" u="none" strike="noStrike" kern="1200" spc="0" baseline="0">
                      <a:solidFill>
                        <a:schemeClr val="accent4"/>
                      </a:solidFill>
                      <a:latin typeface="Gill Sans MT" panose="020B0502020104020203" pitchFamily="34"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6C-4BBA-9614-2DC5FE61B2F0}"/>
                </c:ext>
              </c:extLst>
            </c:dLbl>
            <c:dLbl>
              <c:idx val="4"/>
              <c:layout>
                <c:manualLayout>
                  <c:x val="-2.3264831329972858E-2"/>
                  <c:y val="-5.8158334666870537E-2"/>
                </c:manualLayout>
              </c:layout>
              <c:spPr>
                <a:noFill/>
                <a:ln>
                  <a:noFill/>
                </a:ln>
                <a:effectLst/>
              </c:spPr>
              <c:txPr>
                <a:bodyPr rot="0" spcFirstLastPara="1" vertOverflow="ellipsis" vert="horz" wrap="square" anchor="ctr" anchorCtr="1"/>
                <a:lstStyle/>
                <a:p>
                  <a:pPr>
                    <a:defRPr sz="800" b="1" i="0" u="none" strike="noStrike" kern="1200" spc="0" baseline="0">
                      <a:solidFill>
                        <a:schemeClr val="accent5"/>
                      </a:solidFill>
                      <a:latin typeface="Gill Sans MT" panose="020B0502020104020203" pitchFamily="34"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46C-4BBA-9614-2DC5FE61B2F0}"/>
                </c:ext>
              </c:extLst>
            </c:dLbl>
            <c:dLbl>
              <c:idx val="5"/>
              <c:layout>
                <c:manualLayout>
                  <c:x val="-2.6366808840635907E-2"/>
                  <c:y val="-6.4620371852078404E-2"/>
                </c:manualLayout>
              </c:layout>
              <c:spPr>
                <a:noFill/>
                <a:ln>
                  <a:noFill/>
                </a:ln>
                <a:effectLst/>
              </c:spPr>
              <c:txPr>
                <a:bodyPr rot="0" spcFirstLastPara="1" vertOverflow="ellipsis" vert="horz" wrap="square" anchor="ctr" anchorCtr="1"/>
                <a:lstStyle/>
                <a:p>
                  <a:pPr>
                    <a:defRPr sz="800" b="1" i="0" u="none" strike="noStrike" kern="1200" spc="0" baseline="0">
                      <a:solidFill>
                        <a:schemeClr val="accent6"/>
                      </a:solidFill>
                      <a:latin typeface="Gill Sans MT" panose="020B0502020104020203" pitchFamily="34"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46C-4BBA-9614-2DC5FE61B2F0}"/>
                </c:ext>
              </c:extLst>
            </c:dLbl>
            <c:dLbl>
              <c:idx val="6"/>
              <c:layout>
                <c:manualLayout>
                  <c:x val="-8.0651415277239236E-2"/>
                  <c:y val="-6.1389353259474456E-2"/>
                </c:manualLayout>
              </c:layout>
              <c:spPr>
                <a:noFill/>
                <a:ln>
                  <a:noFill/>
                </a:ln>
                <a:effectLst/>
              </c:spPr>
              <c:txPr>
                <a:bodyPr rot="0" spcFirstLastPara="1" vertOverflow="ellipsis" vert="horz" wrap="square" anchor="ctr" anchorCtr="1"/>
                <a:lstStyle/>
                <a:p>
                  <a:pPr>
                    <a:defRPr sz="800" b="1" i="0" u="none" strike="noStrike" kern="1200" spc="0" baseline="0">
                      <a:solidFill>
                        <a:schemeClr val="accent1">
                          <a:lumMod val="60000"/>
                        </a:schemeClr>
                      </a:solidFill>
                      <a:latin typeface="Gill Sans MT" panose="020B0502020104020203" pitchFamily="34"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46C-4BBA-9614-2DC5FE61B2F0}"/>
                </c:ext>
              </c:extLst>
            </c:dLbl>
            <c:spPr>
              <a:noFill/>
              <a:ln>
                <a:noFill/>
              </a:ln>
              <a:effectLst/>
            </c:spPr>
            <c:txPr>
              <a:bodyPr rot="0" spcFirstLastPara="1" vertOverflow="ellipsis" vert="horz" wrap="square" anchor="ctr" anchorCtr="1"/>
              <a:lstStyle/>
              <a:p>
                <a:pPr>
                  <a:defRPr sz="800" b="1" i="0" u="none" strike="noStrike" kern="1200" spc="0" baseline="0">
                    <a:solidFill>
                      <a:schemeClr val="accent1"/>
                    </a:solidFill>
                    <a:latin typeface="Gill Sans MT" panose="020B0502020104020203" pitchFamily="34" charset="0"/>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MODULO!$A$2:$A$8</c:f>
              <c:strCache>
                <c:ptCount val="7"/>
                <c:pt idx="0">
                  <c:v>Gestión de programas</c:v>
                </c:pt>
                <c:pt idx="1">
                  <c:v>Prevención</c:v>
                </c:pt>
                <c:pt idx="2">
                  <c:v>PTMI</c:v>
                </c:pt>
                <c:pt idx="3">
                  <c:v>Servicios diferenciados de diagnóstico del VIH</c:v>
                </c:pt>
                <c:pt idx="4">
                  <c:v>SSRS: mejora de la calidad y la prestación de servicios integrados</c:v>
                </c:pt>
                <c:pt idx="5">
                  <c:v>SSRS: Sistemas de información de gestión de salud y M&amp;E (Monitoria y Evaluación)</c:v>
                </c:pt>
                <c:pt idx="6">
                  <c:v>Tratamiento, atención y apoyo</c:v>
                </c:pt>
              </c:strCache>
            </c:strRef>
          </c:cat>
          <c:val>
            <c:numRef>
              <c:f>MODULO!$B$2:$B$8</c:f>
              <c:numCache>
                <c:formatCode>_("$"* #,##0.00_);_("$"* \(#,##0.00\);_("$"* "-"??_);_(@_)</c:formatCode>
                <c:ptCount val="7"/>
                <c:pt idx="0">
                  <c:v>2714803.4120425498</c:v>
                </c:pt>
                <c:pt idx="1">
                  <c:v>6650532.2562404992</c:v>
                </c:pt>
                <c:pt idx="2">
                  <c:v>442352.59380864003</c:v>
                </c:pt>
                <c:pt idx="3">
                  <c:v>1644156.2032244997</c:v>
                </c:pt>
                <c:pt idx="4">
                  <c:v>493254.56000000006</c:v>
                </c:pt>
                <c:pt idx="5">
                  <c:v>702624.69277499989</c:v>
                </c:pt>
                <c:pt idx="6">
                  <c:v>3427092.3651999999</c:v>
                </c:pt>
              </c:numCache>
            </c:numRef>
          </c:val>
          <c:extLst>
            <c:ext xmlns:c16="http://schemas.microsoft.com/office/drawing/2014/chart" uri="{C3380CC4-5D6E-409C-BE32-E72D297353CC}">
              <c16:uniqueId val="{0000000E-846C-4BBA-9614-2DC5FE61B2F0}"/>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ill Sans MT" panose="020B0502020104020203"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F Black">
      <a:dk1>
        <a:srgbClr val="404040"/>
      </a:dk1>
      <a:lt1>
        <a:sysClr val="window" lastClr="FFFFFF"/>
      </a:lt1>
      <a:dk2>
        <a:srgbClr val="FFFFFF"/>
      </a:dk2>
      <a:lt2>
        <a:srgbClr val="1E1E1E"/>
      </a:lt2>
      <a:accent1>
        <a:srgbClr val="C7C8CA"/>
      </a:accent1>
      <a:accent2>
        <a:srgbClr val="939598"/>
      </a:accent2>
      <a:accent3>
        <a:srgbClr val="636466"/>
      </a:accent3>
      <a:accent4>
        <a:srgbClr val="CD202C"/>
      </a:accent4>
      <a:accent5>
        <a:srgbClr val="0055AA"/>
      </a:accent5>
      <a:accent6>
        <a:srgbClr val="FFAA22"/>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GF Black">
    <a:dk1>
      <a:srgbClr val="404040"/>
    </a:dk1>
    <a:lt1>
      <a:sysClr val="window" lastClr="FFFFFF"/>
    </a:lt1>
    <a:dk2>
      <a:srgbClr val="FFFFFF"/>
    </a:dk2>
    <a:lt2>
      <a:srgbClr val="1E1E1E"/>
    </a:lt2>
    <a:accent1>
      <a:srgbClr val="C7C8CA"/>
    </a:accent1>
    <a:accent2>
      <a:srgbClr val="939598"/>
    </a:accent2>
    <a:accent3>
      <a:srgbClr val="636466"/>
    </a:accent3>
    <a:accent4>
      <a:srgbClr val="CD202C"/>
    </a:accent4>
    <a:accent5>
      <a:srgbClr val="0055AA"/>
    </a:accent5>
    <a:accent6>
      <a:srgbClr val="FFAA22"/>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GF Black">
    <a:dk1>
      <a:srgbClr val="404040"/>
    </a:dk1>
    <a:lt1>
      <a:sysClr val="window" lastClr="FFFFFF"/>
    </a:lt1>
    <a:dk2>
      <a:srgbClr val="FFFFFF"/>
    </a:dk2>
    <a:lt2>
      <a:srgbClr val="1E1E1E"/>
    </a:lt2>
    <a:accent1>
      <a:srgbClr val="C7C8CA"/>
    </a:accent1>
    <a:accent2>
      <a:srgbClr val="939598"/>
    </a:accent2>
    <a:accent3>
      <a:srgbClr val="636466"/>
    </a:accent3>
    <a:accent4>
      <a:srgbClr val="CD202C"/>
    </a:accent4>
    <a:accent5>
      <a:srgbClr val="0055AA"/>
    </a:accent5>
    <a:accent6>
      <a:srgbClr val="FFAA22"/>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GF Black">
    <a:dk1>
      <a:srgbClr val="404040"/>
    </a:dk1>
    <a:lt1>
      <a:sysClr val="window" lastClr="FFFFFF"/>
    </a:lt1>
    <a:dk2>
      <a:srgbClr val="FFFFFF"/>
    </a:dk2>
    <a:lt2>
      <a:srgbClr val="1E1E1E"/>
    </a:lt2>
    <a:accent1>
      <a:srgbClr val="C7C8CA"/>
    </a:accent1>
    <a:accent2>
      <a:srgbClr val="939598"/>
    </a:accent2>
    <a:accent3>
      <a:srgbClr val="636466"/>
    </a:accent3>
    <a:accent4>
      <a:srgbClr val="CD202C"/>
    </a:accent4>
    <a:accent5>
      <a:srgbClr val="0055AA"/>
    </a:accent5>
    <a:accent6>
      <a:srgbClr val="FFAA22"/>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EB82F3FDC0493647B521A7A424B5B012" ma:contentTypeVersion="8" ma:contentTypeDescription=" Working Document (0 years retention period)" ma:contentTypeScope="" ma:versionID="2e9cd3450a7698f9077782a12829d500">
  <xsd:schema xmlns:xsd="http://www.w3.org/2001/XMLSchema" xmlns:xs="http://www.w3.org/2001/XMLSchema" xmlns:p="http://schemas.microsoft.com/office/2006/metadata/properties" xmlns:ns2="a03ac030-8fc0-429e-a59d-aec15056182b" xmlns:ns3="http://schemas.microsoft.com/sharepoint/v4" xmlns:ns4="2219519e-2df8-4e68-9bc8-47ece53c639c" targetNamespace="http://schemas.microsoft.com/office/2006/metadata/properties" ma:root="true" ma:fieldsID="32a84c95add331215c70071da39b10c5" ns2:_="" ns3:_="" ns4:_="">
    <xsd:import namespace="a03ac030-8fc0-429e-a59d-aec15056182b"/>
    <xsd:import namespace="http://schemas.microsoft.com/sharepoint/v4"/>
    <xsd:import namespace="2219519e-2df8-4e68-9bc8-47ece53c639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MediaServiceMetadata" minOccurs="0"/>
                <xsd:element ref="ns4:MediaServiceFastMetadata" minOccurs="0"/>
                <xsd:element ref="ns4:MediaServiceAutoKeyPoints" minOccurs="0"/>
                <xsd:element ref="ns4:MediaServiceKeyPoints" minOccurs="0"/>
                <xsd:element ref="ns4: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9519e-2df8-4e68-9bc8-47ece53c63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 ma:index="16" nillable="true" ma:displayName="Note" ma:format="Dropdown" ma:internalName="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TemplafyTemplateConfiguration><![CDATA[{"elementsMetadata":[{"type":"richTextContentControl","id":"12bec168-d80f-4ad3-b827-e94b457987f4","elementConfiguration":{"format":"d MMMM yyyy","binding":"Form.ReportDate","removeAndKeepContent":false,"disableUpdates":false,"type":"date"}},{"type":"richTextContentControl","id":"fe01dc37-8ac1-4b47-a65d-6e38f83aed95","elementConfiguration":{"binding":"Form.ReportLocation","removeAndKeepContent":false,"disableUpdates":false,"type":"text"}},{"type":"richTextContentControl","id":"a25d74cb-6c4b-40fa-9ec1-ddd0a35393d3","elementConfiguration":{"binding":"Form.ReportCountry","removeAndKeepContent":false,"disableUpdates":false,"type":"text"}},{"type":"richTextContentControl","id":"df3addba-5040-40ab-9b8a-156bd632013e","elementConfiguration":{"binding":"Form.ReportLocation","removeAndKeepContent":false,"disableUpdates":false,"type":"text"}},{"type":"richTextContentControl","id":"c0e2ba74-3394-4c55-b0cc-2fc8a393067e","elementConfiguration":{"binding":"Form.ReportCountry","removeAndKeepContent":false,"disableUpdates":false,"type":"text"}},{"type":"richTextContentControl","id":"227033cd-8895-47c3-9030-98457c383c51","elementConfiguration":{"format":"d MMMM yyyy","binding":"Form.ReportDate","removeAndKeepContent":false,"disableUpdates":false,"type":"date"}},{"type":"richTextContentControl","id":"15b78cde-5b03-4a4d-a494-ede7e8fb7397","elementConfiguration":{"binding":"Form.ReportLocation","removeAndKeepContent":false,"disableUpdates":false,"type":"text"}},{"type":"richTextContentControl","id":"44816cc2-e3cd-4b49-ba70-f976ad9120f6","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Note xmlns="2219519e-2df8-4e68-9bc8-47ece53c639c" xsi:nil="true"/>
    <_dlc_DocId xmlns="a03ac030-8fc0-429e-a59d-aec15056182b">3NAZ7T4E3CZ3-539361286-27456</_dlc_DocId>
    <_dlc_DocIdUrl xmlns="a03ac030-8fc0-429e-a59d-aec15056182b">
      <Url>https://tgf.sharepoint.com/sites/TSA2F1/A2FT/_layouts/15/DocIdRedir.aspx?ID=3NAZ7T4E3CZ3-539361286-27456</Url>
      <Description>3NAZ7T4E3CZ3-539361286-27456</Description>
    </_dlc_DocIdUrl>
  </documentManagement>
</p:properties>
</file>

<file path=customXml/item7.xml><?xml version="1.0" encoding="utf-8"?>
<TemplafyFormConfiguration><![CDATA[{"formFields":[{"dataSource":"ColourThemes","displayColumn":"displayName","hideIfNoUserInteractionRequired":false,"distinct":true,"required":true,"defaultValue":"3","autoSelectFirstOption":false,"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Location","value":"TWCzxzGaVv/noqKfmWFd3g=="},{"name":"ReportCountry","value":"nBoaWl++UMM5RwVrtZXUvg=="}]}]]></TemplafyFormConfiguration>
</file>

<file path=customXml/itemProps1.xml><?xml version="1.0" encoding="utf-8"?>
<ds:datastoreItem xmlns:ds="http://schemas.openxmlformats.org/officeDocument/2006/customXml" ds:itemID="{22310F86-9454-464A-B6A9-12945F3ED480}">
  <ds:schemaRefs>
    <ds:schemaRef ds:uri="http://schemas.microsoft.com/sharepoint/v3/contenttype/forms"/>
  </ds:schemaRefs>
</ds:datastoreItem>
</file>

<file path=customXml/itemProps2.xml><?xml version="1.0" encoding="utf-8"?>
<ds:datastoreItem xmlns:ds="http://schemas.openxmlformats.org/officeDocument/2006/customXml" ds:itemID="{61CEE10E-E19E-48F7-BA2C-0889C5CC5D64}">
  <ds:schemaRefs>
    <ds:schemaRef ds:uri="http://schemas.openxmlformats.org/officeDocument/2006/bibliography"/>
  </ds:schemaRefs>
</ds:datastoreItem>
</file>

<file path=customXml/itemProps3.xml><?xml version="1.0" encoding="utf-8"?>
<ds:datastoreItem xmlns:ds="http://schemas.openxmlformats.org/officeDocument/2006/customXml" ds:itemID="{B199D507-50D1-44A7-9491-1BB4B039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http://schemas.microsoft.com/sharepoint/v4"/>
    <ds:schemaRef ds:uri="2219519e-2df8-4e68-9bc8-47ece53c6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E68B2-CFC0-4E17-A2F5-45213CCFDBC4}">
  <ds:schemaRefs>
    <ds:schemaRef ds:uri="http://schemas.microsoft.com/sharepoint/events"/>
  </ds:schemaRefs>
</ds:datastoreItem>
</file>

<file path=customXml/itemProps5.xml><?xml version="1.0" encoding="utf-8"?>
<ds:datastoreItem xmlns:ds="http://schemas.openxmlformats.org/officeDocument/2006/customXml" ds:itemID="{A7AE4FFB-B547-437A-A56E-613A8F346671}">
  <ds:schemaRefs/>
</ds:datastoreItem>
</file>

<file path=customXml/itemProps6.xml><?xml version="1.0" encoding="utf-8"?>
<ds:datastoreItem xmlns:ds="http://schemas.openxmlformats.org/officeDocument/2006/customXml" ds:itemID="{B1B133AE-9B08-49ED-96FC-CC948069E978}">
  <ds:schemaRefs>
    <ds:schemaRef ds:uri="http://schemas.microsoft.com/office/2006/metadata/properties"/>
    <ds:schemaRef ds:uri="http://schemas.microsoft.com/office/infopath/2007/PartnerControls"/>
    <ds:schemaRef ds:uri="http://schemas.microsoft.com/sharepoint/v4"/>
    <ds:schemaRef ds:uri="2219519e-2df8-4e68-9bc8-47ece53c639c"/>
    <ds:schemaRef ds:uri="a03ac030-8fc0-429e-a59d-aec15056182b"/>
  </ds:schemaRefs>
</ds:datastoreItem>
</file>

<file path=customXml/itemProps7.xml><?xml version="1.0" encoding="utf-8"?>
<ds:datastoreItem xmlns:ds="http://schemas.openxmlformats.org/officeDocument/2006/customXml" ds:itemID="{AC9D8980-C987-48AF-BFD7-20D6444F7008}">
  <ds:schemaRefs/>
</ds:datastoreItem>
</file>

<file path=docProps/app.xml><?xml version="1.0" encoding="utf-8"?>
<Properties xmlns="http://schemas.openxmlformats.org/officeDocument/2006/extended-properties" xmlns:vt="http://schemas.openxmlformats.org/officeDocument/2006/docPropsVTypes">
  <Template>GF Report Template 1 Column.dotx</Template>
  <TotalTime>169</TotalTime>
  <Pages>51</Pages>
  <Words>25248</Words>
  <Characters>143918</Characters>
  <Application>Microsoft Office Word</Application>
  <DocSecurity>0</DocSecurity>
  <Lines>1199</Lines>
  <Paragraphs>337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fundingrequest_focusedportfolio_template_es</vt:lpstr>
      <vt:lpstr>fundingrequest_focusedportfolio_template_es</vt:lpstr>
    </vt:vector>
  </TitlesOfParts>
  <Company/>
  <LinksUpToDate>false</LinksUpToDate>
  <CharactersWithSpaces>168829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fundingrequest_focusedportfolio_template_es</dc:title>
  <dc:subject/>
  <dc:creator>Rebecca Phillips</dc:creator>
  <cp:keywords/>
  <dc:description/>
  <cp:lastModifiedBy>MARTINEZ DE MIRANDA, Celina</cp:lastModifiedBy>
  <cp:revision>165</cp:revision>
  <cp:lastPrinted>2019-10-28T15:38:00Z</cp:lastPrinted>
  <dcterms:created xsi:type="dcterms:W3CDTF">2021-02-09T00:53:00Z</dcterms:created>
  <dcterms:modified xsi:type="dcterms:W3CDTF">2021-02-09T03:43:00Z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636740640861854487</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0x010100DB1926E75FE6D448A94BA4FC7E9CAC0400EB82F3FDC0493647B521A7A424B5B012</vt:lpwstr>
  </property>
  <property fmtid="{D5CDD505-2E9C-101B-9397-08002B2CF9AE}" pid="8" name="_dlc_DocId">
    <vt:lpwstr>3NAZ7T4E3CZ3-539361286-27456</vt:lpwstr>
  </property>
  <property fmtid="{D5CDD505-2E9C-101B-9397-08002B2CF9AE}" pid="9" name="_dlc_DocIdUrl">
    <vt:lpwstr>https://tgf.sharepoint.com/sites/TSA2F1/A2FT/_layouts/15/DocIdRedir.aspx?ID=3NAZ7T4E3CZ3-539361286-27456, 3NAZ7T4E3CZ3-539361286-27456</vt:lpwstr>
  </property>
  <property fmtid="{D5CDD505-2E9C-101B-9397-08002B2CF9AE}" pid="10" name="_dlc_DocIdItemGuid">
    <vt:lpwstr>fb7fe0e3-14ba-4c25-ab30-675338aaa121</vt:lpwstr>
  </property>
  <property fmtid="{D5CDD505-2E9C-101B-9397-08002B2CF9AE}" pid="11" name="Order">
    <vt:r8>393300</vt:r8>
  </property>
  <property fmtid="{D5CDD505-2E9C-101B-9397-08002B2CF9AE}" pid="12" name="URL">
    <vt:lpwstr/>
  </property>
</Properties>
</file>