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BB7E" w14:textId="4CC305C9" w:rsidR="00FB41C0" w:rsidRDefault="00622E5F" w:rsidP="00622E5F">
      <w:pPr>
        <w:jc w:val="center"/>
      </w:pPr>
      <w:r>
        <w:t>Viernes 5 de abril del 2026</w:t>
      </w:r>
    </w:p>
    <w:p w14:paraId="12E0FAD5" w14:textId="34CD95EB" w:rsidR="00700FF2" w:rsidRDefault="00700FF2" w:rsidP="00622E5F">
      <w:pPr>
        <w:tabs>
          <w:tab w:val="left" w:pos="6195"/>
        </w:tabs>
        <w:jc w:val="center"/>
      </w:pPr>
      <w:r>
        <w:t xml:space="preserve">Mesa </w:t>
      </w:r>
      <w:proofErr w:type="gramStart"/>
      <w:r>
        <w:t>Sector :</w:t>
      </w:r>
      <w:proofErr w:type="gramEnd"/>
      <w:r w:rsidR="00234198">
        <w:t xml:space="preserve"> Académico </w:t>
      </w:r>
    </w:p>
    <w:p w14:paraId="70C1D2D9" w14:textId="5720996A" w:rsidR="00622E5F" w:rsidRDefault="00700FF2" w:rsidP="00622E5F">
      <w:pPr>
        <w:tabs>
          <w:tab w:val="left" w:pos="6195"/>
        </w:tabs>
        <w:jc w:val="center"/>
      </w:pPr>
      <w:r>
        <w:t>Favor anotar</w:t>
      </w:r>
      <w:r w:rsidR="00622E5F">
        <w:t>: Nombre, organización que representa y correo electrónico</w:t>
      </w:r>
    </w:p>
    <w:p w14:paraId="4417CF11" w14:textId="3B346721" w:rsidR="00F528A3" w:rsidRDefault="00F528A3" w:rsidP="00622E5F">
      <w:pPr>
        <w:tabs>
          <w:tab w:val="left" w:pos="6195"/>
        </w:tabs>
        <w:jc w:val="center"/>
      </w:pPr>
      <w:r>
        <w:t xml:space="preserve">Edith Carolina Marín Cruz -U.N.A.B.- </w:t>
      </w:r>
      <w:hyperlink r:id="rId7" w:history="1">
        <w:r w:rsidRPr="00B910DD">
          <w:rPr>
            <w:rStyle w:val="Hipervnculo"/>
          </w:rPr>
          <w:t>edithcarolina.marin@unab.edu.sv</w:t>
        </w:r>
      </w:hyperlink>
    </w:p>
    <w:p w14:paraId="0CAB3FC2" w14:textId="0657DFE6" w:rsidR="00F528A3" w:rsidRDefault="00F528A3" w:rsidP="00622E5F">
      <w:pPr>
        <w:tabs>
          <w:tab w:val="left" w:pos="6195"/>
        </w:tabs>
        <w:jc w:val="center"/>
      </w:pPr>
      <w:r>
        <w:t xml:space="preserve">Jorge Enrique </w:t>
      </w:r>
      <w:proofErr w:type="spellStart"/>
      <w:r>
        <w:t>Deras</w:t>
      </w:r>
      <w:proofErr w:type="spellEnd"/>
      <w:r>
        <w:t xml:space="preserve"> Salazar -U.S.A.M – </w:t>
      </w:r>
      <w:hyperlink r:id="rId8" w:history="1">
        <w:r w:rsidRPr="00B910DD">
          <w:rPr>
            <w:rStyle w:val="Hipervnculo"/>
          </w:rPr>
          <w:t>Jorge.deras04@liveusam.edu.sv</w:t>
        </w:r>
      </w:hyperlink>
    </w:p>
    <w:p w14:paraId="478CCD9D" w14:textId="2381F52F" w:rsidR="00F528A3" w:rsidRDefault="00F528A3" w:rsidP="00622E5F">
      <w:pPr>
        <w:tabs>
          <w:tab w:val="left" w:pos="6195"/>
        </w:tabs>
        <w:jc w:val="center"/>
      </w:pPr>
      <w:proofErr w:type="spellStart"/>
      <w:r>
        <w:t>Willian</w:t>
      </w:r>
      <w:proofErr w:type="spellEnd"/>
      <w:r>
        <w:t xml:space="preserve"> Armando Merino Reyes -U.E. S – </w:t>
      </w:r>
      <w:hyperlink r:id="rId9" w:history="1">
        <w:r w:rsidRPr="00B910DD">
          <w:rPr>
            <w:rStyle w:val="Hipervnculo"/>
          </w:rPr>
          <w:t>willian.merino@ues.edu.sv</w:t>
        </w:r>
      </w:hyperlink>
      <w:r>
        <w:t xml:space="preserve"> </w:t>
      </w:r>
    </w:p>
    <w:p w14:paraId="325CA89C" w14:textId="6725E3BA" w:rsidR="00622E5F" w:rsidRDefault="00622E5F" w:rsidP="00622E5F">
      <w:pPr>
        <w:tabs>
          <w:tab w:val="left" w:pos="6195"/>
        </w:tabs>
        <w:jc w:val="center"/>
      </w:pPr>
    </w:p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Default="0082319F">
            <w:r w:rsidRPr="00700FF2">
              <w:t>Temática</w:t>
            </w:r>
          </w:p>
        </w:tc>
        <w:tc>
          <w:tcPr>
            <w:tcW w:w="3451" w:type="dxa"/>
          </w:tcPr>
          <w:p w14:paraId="40A26EF3" w14:textId="3CF07AE3" w:rsidR="0082319F" w:rsidRDefault="0082319F">
            <w:r w:rsidRPr="00700FF2">
              <w:t>Valoraciones</w:t>
            </w:r>
            <w:r w:rsidR="00090685">
              <w:t xml:space="preserve"> de los participantes </w:t>
            </w:r>
            <w:r w:rsidR="00090685" w:rsidRPr="00700FF2">
              <w:t>sobre</w:t>
            </w:r>
            <w:r w:rsidRPr="00700FF2">
              <w:t xml:space="preserve"> la información presentada</w:t>
            </w:r>
          </w:p>
        </w:tc>
        <w:tc>
          <w:tcPr>
            <w:tcW w:w="3403" w:type="dxa"/>
          </w:tcPr>
          <w:p w14:paraId="328748A7" w14:textId="3B443395" w:rsidR="0082319F" w:rsidRDefault="0082319F">
            <w:r w:rsidRPr="00700FF2">
              <w:t>Sugerencias para mejorar el proceso si procede</w:t>
            </w:r>
          </w:p>
        </w:tc>
      </w:tr>
      <w:tr w:rsidR="0082319F" w14:paraId="78D83F05" w14:textId="77777777" w:rsidTr="00090685">
        <w:trPr>
          <w:trHeight w:val="1181"/>
        </w:trPr>
        <w:tc>
          <w:tcPr>
            <w:tcW w:w="2729" w:type="dxa"/>
          </w:tcPr>
          <w:p w14:paraId="46C79586" w14:textId="053B5E42" w:rsidR="0082319F" w:rsidRDefault="0082319F">
            <w:r w:rsidRPr="00700FF2">
              <w:t>1.</w:t>
            </w:r>
            <w:r w:rsidRPr="00700FF2">
              <w:tab/>
              <w:t>Asignación de Fondos para Ejecución del 2025 al 2027.</w:t>
            </w:r>
          </w:p>
        </w:tc>
        <w:tc>
          <w:tcPr>
            <w:tcW w:w="3451" w:type="dxa"/>
          </w:tcPr>
          <w:p w14:paraId="7D5DF68A" w14:textId="4B8A19B5" w:rsidR="0082319F" w:rsidRDefault="000153D0">
            <w:r>
              <w:t xml:space="preserve"> </w:t>
            </w:r>
          </w:p>
          <w:p w14:paraId="5444FA96" w14:textId="17F8DF4C" w:rsidR="000153D0" w:rsidRDefault="00216FF7">
            <w:r>
              <w:t xml:space="preserve"> Se considera inadecuado el presupuesto tomando en cuenta el alza de los precios para la compra de insumos o medicamentos y por lo tanto disminución en la calidad de atención y cobertura. </w:t>
            </w:r>
          </w:p>
          <w:p w14:paraId="71C008C6" w14:textId="4AD39057" w:rsidR="00F528A3" w:rsidRDefault="00F528A3">
            <w:r>
              <w:t xml:space="preserve">. </w:t>
            </w:r>
          </w:p>
        </w:tc>
        <w:tc>
          <w:tcPr>
            <w:tcW w:w="3403" w:type="dxa"/>
          </w:tcPr>
          <w:p w14:paraId="6D852BF0" w14:textId="77777777" w:rsidR="0082319F" w:rsidRDefault="0082319F"/>
          <w:p w14:paraId="20B2B08C" w14:textId="77777777" w:rsidR="00216FF7" w:rsidRDefault="00216FF7"/>
          <w:p w14:paraId="6A61705C" w14:textId="5FD0F991" w:rsidR="00216FF7" w:rsidRDefault="00216FF7">
            <w:r>
              <w:t xml:space="preserve">Aumentar y Replantear los porcentajes de asignación establecidos para las diferentes patologías. Debido a los eventos de realidad nacional se aumentarán los casos de Tb y se necesitara un mayor presupuesto para ayudar a esta problemática </w:t>
            </w:r>
          </w:p>
          <w:p w14:paraId="0C97CD13" w14:textId="77777777" w:rsidR="00216FF7" w:rsidRDefault="00216FF7"/>
          <w:p w14:paraId="6F1D7EA0" w14:textId="321DA8F5" w:rsidR="00216FF7" w:rsidRDefault="00216FF7"/>
        </w:tc>
      </w:tr>
      <w:tr w:rsidR="0082319F" w14:paraId="437FEF94" w14:textId="77777777" w:rsidTr="00090685">
        <w:trPr>
          <w:trHeight w:val="797"/>
        </w:trPr>
        <w:tc>
          <w:tcPr>
            <w:tcW w:w="2729" w:type="dxa"/>
          </w:tcPr>
          <w:p w14:paraId="1AF6A5F2" w14:textId="457F0CFE" w:rsidR="0082319F" w:rsidRDefault="0082319F">
            <w:r>
              <w:t xml:space="preserve">2. </w:t>
            </w:r>
            <w:r w:rsidRPr="0082319F">
              <w:t>Proceso de Dialogo de País</w:t>
            </w:r>
          </w:p>
        </w:tc>
        <w:tc>
          <w:tcPr>
            <w:tcW w:w="3451" w:type="dxa"/>
          </w:tcPr>
          <w:p w14:paraId="74982314" w14:textId="77777777" w:rsidR="0082319F" w:rsidRDefault="0082319F"/>
          <w:p w14:paraId="0348E399" w14:textId="65C3078D" w:rsidR="00234198" w:rsidRDefault="00234198">
            <w:r>
              <w:t xml:space="preserve">Desconocimiento de que es la MCP y el proceso de dialogo realizado en el país. </w:t>
            </w:r>
          </w:p>
        </w:tc>
        <w:tc>
          <w:tcPr>
            <w:tcW w:w="3403" w:type="dxa"/>
          </w:tcPr>
          <w:p w14:paraId="1E501E47" w14:textId="4E82359A" w:rsidR="0082319F" w:rsidRDefault="00234198">
            <w:r>
              <w:t xml:space="preserve">Tratar de dar a conocer el trabajo del MCP-ES y crear mecanismos para que las instituciones involucradas (participantes) den a conocer a sus integrantes el funcionamiento de la MCP y sus acciones en la sociedad </w:t>
            </w:r>
          </w:p>
        </w:tc>
      </w:tr>
      <w:tr w:rsidR="0082319F" w14:paraId="19AD22A7" w14:textId="77777777" w:rsidTr="00090685">
        <w:trPr>
          <w:trHeight w:val="797"/>
        </w:trPr>
        <w:tc>
          <w:tcPr>
            <w:tcW w:w="2729" w:type="dxa"/>
          </w:tcPr>
          <w:p w14:paraId="1E16E506" w14:textId="23E1233A" w:rsidR="0082319F" w:rsidRDefault="0082319F">
            <w:r w:rsidRPr="0082319F">
              <w:t>3. Proceso preliminar de selección del RP.</w:t>
            </w:r>
          </w:p>
        </w:tc>
        <w:tc>
          <w:tcPr>
            <w:tcW w:w="3451" w:type="dxa"/>
          </w:tcPr>
          <w:p w14:paraId="0676280B" w14:textId="77777777" w:rsidR="0082319F" w:rsidRDefault="0082319F"/>
          <w:p w14:paraId="6F5CE301" w14:textId="44A3BE98" w:rsidR="00234198" w:rsidRDefault="00234198">
            <w:r>
              <w:t xml:space="preserve">Los procesos preliminares de selección de RP quedaron claros y los tiempos están bien establecidos. </w:t>
            </w:r>
          </w:p>
        </w:tc>
        <w:tc>
          <w:tcPr>
            <w:tcW w:w="3403" w:type="dxa"/>
          </w:tcPr>
          <w:p w14:paraId="42691A14" w14:textId="77777777" w:rsidR="0082319F" w:rsidRDefault="0082319F"/>
          <w:p w14:paraId="597D96AC" w14:textId="1CBBF833" w:rsidR="00234198" w:rsidRDefault="00234198">
            <w:r>
              <w:t>Que los TDR contengas claros requisitos y porcentajes y que se dé énfasis en la experiencia en el trabajo del campo y la solvencia tributaria de las instituciones, además de presentar los antecedentes de rendición de cuentas.</w:t>
            </w:r>
          </w:p>
        </w:tc>
      </w:tr>
      <w:tr w:rsidR="0082319F" w14:paraId="032F1C21" w14:textId="77777777" w:rsidTr="00090685">
        <w:trPr>
          <w:trHeight w:val="1181"/>
        </w:trPr>
        <w:tc>
          <w:tcPr>
            <w:tcW w:w="2729" w:type="dxa"/>
          </w:tcPr>
          <w:p w14:paraId="0861AF90" w14:textId="2C68938F" w:rsidR="0082319F" w:rsidRPr="0082319F" w:rsidRDefault="0082319F">
            <w:r w:rsidRPr="0082319F">
              <w:t>4. otro Tema de interés del sector para compartir con el pleno del MCP-ES</w:t>
            </w:r>
          </w:p>
        </w:tc>
        <w:tc>
          <w:tcPr>
            <w:tcW w:w="3451" w:type="dxa"/>
          </w:tcPr>
          <w:p w14:paraId="53AA6DFC" w14:textId="77777777" w:rsidR="0082319F" w:rsidRDefault="0082319F"/>
          <w:p w14:paraId="2698EA86" w14:textId="7E65AD28" w:rsidR="00234198" w:rsidRDefault="00DD2C71">
            <w:r>
              <w:t xml:space="preserve"> Componente formativo desarrollado por RP a nivel de IES </w:t>
            </w:r>
          </w:p>
        </w:tc>
        <w:tc>
          <w:tcPr>
            <w:tcW w:w="3403" w:type="dxa"/>
          </w:tcPr>
          <w:p w14:paraId="5369EDE5" w14:textId="25792BCD" w:rsidR="0082319F" w:rsidRDefault="00DD2C71">
            <w:r>
              <w:t>Que el receptor principal elabore un componente informativo a las IES desde el lado VIH.</w:t>
            </w:r>
          </w:p>
        </w:tc>
      </w:tr>
    </w:tbl>
    <w:p w14:paraId="18977983" w14:textId="77777777" w:rsidR="009F32FA" w:rsidRDefault="009F32FA"/>
    <w:sectPr w:rsidR="009F32FA">
      <w:headerReference w:type="default" r:id="rId10"/>
      <w:pgSz w:w="12240" w:h="15840"/>
      <w:pgMar w:top="1500" w:right="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5A30" w14:textId="77777777" w:rsidR="00F270D7" w:rsidRDefault="00F270D7">
      <w:r>
        <w:separator/>
      </w:r>
    </w:p>
  </w:endnote>
  <w:endnote w:type="continuationSeparator" w:id="0">
    <w:p w14:paraId="0D931432" w14:textId="77777777" w:rsidR="00F270D7" w:rsidRDefault="00F2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F773" w14:textId="77777777" w:rsidR="00F270D7" w:rsidRDefault="00F270D7">
      <w:r>
        <w:separator/>
      </w:r>
    </w:p>
  </w:footnote>
  <w:footnote w:type="continuationSeparator" w:id="0">
    <w:p w14:paraId="06FFA65A" w14:textId="77777777" w:rsidR="00F270D7" w:rsidRDefault="00F2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27676938" w:rsidR="002E112C" w:rsidRPr="001C06E8" w:rsidRDefault="00622E5F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67E684C8" wp14:editId="6B1078E6">
          <wp:extent cx="1253123" cy="704850"/>
          <wp:effectExtent l="0" t="0" r="4445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31" cy="7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618">
    <w:abstractNumId w:val="1"/>
  </w:num>
  <w:num w:numId="2" w16cid:durableId="51191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153D0"/>
    <w:rsid w:val="00031171"/>
    <w:rsid w:val="00090685"/>
    <w:rsid w:val="001C478C"/>
    <w:rsid w:val="00216FF7"/>
    <w:rsid w:val="00234198"/>
    <w:rsid w:val="005C7A7C"/>
    <w:rsid w:val="00622E5F"/>
    <w:rsid w:val="00687705"/>
    <w:rsid w:val="00700FF2"/>
    <w:rsid w:val="007E29B2"/>
    <w:rsid w:val="0082319F"/>
    <w:rsid w:val="008C0458"/>
    <w:rsid w:val="009F32FA"/>
    <w:rsid w:val="00AE2B8E"/>
    <w:rsid w:val="00BF46E4"/>
    <w:rsid w:val="00CB6E4F"/>
    <w:rsid w:val="00DD2C71"/>
    <w:rsid w:val="00F270D7"/>
    <w:rsid w:val="00F528A3"/>
    <w:rsid w:val="00FB41C0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8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2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deras04@liveusam.edu.s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hcarolina.marin@unab.edu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llian.merino@ues.edu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María Eugenia Ochoa Valencia</cp:lastModifiedBy>
  <cp:revision>2</cp:revision>
  <dcterms:created xsi:type="dcterms:W3CDTF">2023-05-08T16:48:00Z</dcterms:created>
  <dcterms:modified xsi:type="dcterms:W3CDTF">2023-05-08T16:48:00Z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