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FE4A6" w14:textId="77777777" w:rsidR="003857D6" w:rsidRPr="00FA5477" w:rsidRDefault="003857D6" w:rsidP="003857D6">
      <w:pPr>
        <w:pStyle w:val="Textoindependiente"/>
        <w:rPr>
          <w:rFonts w:ascii="Times New Roman"/>
          <w:sz w:val="20"/>
        </w:rPr>
      </w:pPr>
    </w:p>
    <w:p w14:paraId="4BF38036" w14:textId="77777777" w:rsidR="003857D6" w:rsidRPr="00FA5477" w:rsidRDefault="003857D6" w:rsidP="003857D6">
      <w:pPr>
        <w:pStyle w:val="Textoindependiente"/>
        <w:rPr>
          <w:rFonts w:ascii="Times New Roman"/>
          <w:sz w:val="20"/>
        </w:rPr>
      </w:pPr>
    </w:p>
    <w:p w14:paraId="578A622B" w14:textId="77777777" w:rsidR="003857D6" w:rsidRPr="00FA5477" w:rsidRDefault="003857D6" w:rsidP="003857D6">
      <w:pPr>
        <w:pStyle w:val="Textoindependiente"/>
        <w:rPr>
          <w:rFonts w:ascii="Times New Roman"/>
          <w:sz w:val="20"/>
        </w:rPr>
      </w:pPr>
    </w:p>
    <w:p w14:paraId="72E5018E" w14:textId="77777777" w:rsidR="003857D6" w:rsidRPr="00FA5477" w:rsidRDefault="003857D6" w:rsidP="003857D6">
      <w:pPr>
        <w:pStyle w:val="Textoindependiente"/>
        <w:rPr>
          <w:rFonts w:ascii="Times New Roman"/>
          <w:sz w:val="20"/>
        </w:rPr>
      </w:pPr>
    </w:p>
    <w:p w14:paraId="5679A10A" w14:textId="77777777" w:rsidR="003857D6" w:rsidRPr="00FA5477" w:rsidRDefault="003857D6" w:rsidP="003857D6">
      <w:pPr>
        <w:pStyle w:val="Textoindependiente"/>
        <w:rPr>
          <w:rFonts w:ascii="Times New Roman"/>
          <w:sz w:val="20"/>
        </w:rPr>
      </w:pPr>
    </w:p>
    <w:p w14:paraId="1323F199" w14:textId="77777777" w:rsidR="003857D6" w:rsidRPr="00FA5477" w:rsidRDefault="003857D6" w:rsidP="003857D6">
      <w:pPr>
        <w:pStyle w:val="Textoindependiente"/>
        <w:rPr>
          <w:rFonts w:ascii="Times New Roman"/>
          <w:sz w:val="20"/>
        </w:rPr>
      </w:pPr>
    </w:p>
    <w:p w14:paraId="64F842D0" w14:textId="77777777" w:rsidR="003857D6" w:rsidRPr="00FA5477" w:rsidRDefault="003857D6" w:rsidP="003857D6">
      <w:pPr>
        <w:pStyle w:val="Textoindependiente"/>
        <w:rPr>
          <w:rFonts w:ascii="Times New Roman"/>
          <w:sz w:val="20"/>
        </w:rPr>
      </w:pPr>
    </w:p>
    <w:p w14:paraId="2328034D" w14:textId="77777777" w:rsidR="003857D6" w:rsidRPr="00FA5477" w:rsidRDefault="003857D6" w:rsidP="003857D6">
      <w:pPr>
        <w:pStyle w:val="Textoindependiente"/>
        <w:rPr>
          <w:rFonts w:ascii="Times New Roman"/>
          <w:sz w:val="20"/>
        </w:rPr>
      </w:pPr>
    </w:p>
    <w:p w14:paraId="51135D5D" w14:textId="77777777" w:rsidR="003857D6" w:rsidRPr="00FA5477" w:rsidRDefault="003857D6" w:rsidP="003857D6">
      <w:pPr>
        <w:pStyle w:val="Textoindependiente"/>
        <w:rPr>
          <w:rFonts w:ascii="Times New Roman"/>
          <w:sz w:val="20"/>
        </w:rPr>
      </w:pPr>
    </w:p>
    <w:p w14:paraId="6EF1A20F" w14:textId="77777777" w:rsidR="003857D6" w:rsidRPr="00FA5477" w:rsidRDefault="003857D6" w:rsidP="003857D6">
      <w:pPr>
        <w:pStyle w:val="Textoindependiente"/>
        <w:rPr>
          <w:rFonts w:ascii="Times New Roman"/>
          <w:sz w:val="20"/>
        </w:rPr>
      </w:pPr>
    </w:p>
    <w:p w14:paraId="46E2FB28" w14:textId="77777777" w:rsidR="003857D6" w:rsidRPr="00FA5477" w:rsidRDefault="003857D6" w:rsidP="003857D6">
      <w:pPr>
        <w:pStyle w:val="Textoindependiente"/>
        <w:rPr>
          <w:rFonts w:ascii="Times New Roman"/>
          <w:sz w:val="20"/>
        </w:rPr>
      </w:pPr>
    </w:p>
    <w:p w14:paraId="0CCA01FB" w14:textId="77777777" w:rsidR="003857D6" w:rsidRPr="00FA5477" w:rsidRDefault="003857D6" w:rsidP="003857D6">
      <w:pPr>
        <w:pStyle w:val="Textoindependiente"/>
        <w:spacing w:before="5"/>
        <w:rPr>
          <w:rFonts w:ascii="Times New Roman"/>
          <w:sz w:val="17"/>
        </w:rPr>
      </w:pPr>
    </w:p>
    <w:p w14:paraId="3CBAA27F" w14:textId="11C732B8" w:rsidR="003857D6" w:rsidRPr="00FA5477" w:rsidRDefault="003857D6" w:rsidP="003857D6">
      <w:pPr>
        <w:tabs>
          <w:tab w:val="left" w:pos="4590"/>
        </w:tabs>
        <w:ind w:left="292"/>
        <w:rPr>
          <w:rFonts w:ascii="Times New Roman"/>
          <w:sz w:val="20"/>
        </w:rPr>
      </w:pPr>
      <w:r w:rsidRPr="00FA5477">
        <w:rPr>
          <w:rFonts w:ascii="Times New Roman"/>
          <w:noProof/>
          <w:position w:val="132"/>
          <w:sz w:val="20"/>
        </w:rPr>
        <w:drawing>
          <wp:inline distT="0" distB="0" distL="0" distR="0" wp14:anchorId="73CDD517" wp14:editId="3A74BB82">
            <wp:extent cx="1525020" cy="51206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525020" cy="512064"/>
                    </a:xfrm>
                    <a:prstGeom prst="rect">
                      <a:avLst/>
                    </a:prstGeom>
                  </pic:spPr>
                </pic:pic>
              </a:graphicData>
            </a:graphic>
          </wp:inline>
        </w:drawing>
      </w:r>
      <w:r w:rsidRPr="00FA5477">
        <w:rPr>
          <w:rFonts w:ascii="Times New Roman"/>
          <w:position w:val="132"/>
          <w:sz w:val="20"/>
        </w:rPr>
        <w:tab/>
      </w:r>
      <w:r w:rsidR="00526060" w:rsidRPr="00FA5477">
        <w:rPr>
          <w:noProof/>
        </w:rPr>
        <mc:AlternateContent>
          <mc:Choice Requires="wps">
            <w:drawing>
              <wp:inline distT="0" distB="0" distL="0" distR="0" wp14:anchorId="56CA61A9" wp14:editId="31E74ECF">
                <wp:extent cx="3883025" cy="1519555"/>
                <wp:effectExtent l="0" t="0" r="0" b="0"/>
                <wp:docPr id="813192406"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3025" cy="1519555"/>
                        </a:xfrm>
                        <a:prstGeom prst="rect">
                          <a:avLst/>
                        </a:prstGeom>
                        <a:noFill/>
                        <a:ln>
                          <a:noFill/>
                        </a:ln>
                      </wps:spPr>
                      <wps:txbx>
                        <w:txbxContent>
                          <w:tbl>
                            <w:tblPr>
                              <w:tblStyle w:val="TableNormal1"/>
                              <w:tblW w:w="0" w:type="auto"/>
                              <w:tblInd w:w="7" w:type="dxa"/>
                              <w:tblLayout w:type="fixed"/>
                              <w:tblLook w:val="01E0" w:firstRow="1" w:lastRow="1" w:firstColumn="1" w:lastColumn="1" w:noHBand="0" w:noVBand="0"/>
                            </w:tblPr>
                            <w:tblGrid>
                              <w:gridCol w:w="6114"/>
                            </w:tblGrid>
                            <w:tr w:rsidR="003857D6" w:rsidRPr="00FA5477" w14:paraId="511999D7" w14:textId="77777777">
                              <w:trPr>
                                <w:trHeight w:val="1009"/>
                              </w:trPr>
                              <w:tc>
                                <w:tcPr>
                                  <w:tcW w:w="6114" w:type="dxa"/>
                                </w:tcPr>
                                <w:p w14:paraId="1BD67917" w14:textId="77777777" w:rsidR="003857D6" w:rsidRPr="00FA5477" w:rsidRDefault="003857D6">
                                  <w:pPr>
                                    <w:pStyle w:val="TableParagraph"/>
                                    <w:spacing w:before="1" w:line="508" w:lineRule="exact"/>
                                    <w:ind w:left="200"/>
                                    <w:rPr>
                                      <w:rFonts w:ascii="Arial Black"/>
                                      <w:sz w:val="40"/>
                                    </w:rPr>
                                  </w:pPr>
                                  <w:r w:rsidRPr="00FA5477">
                                    <w:rPr>
                                      <w:rFonts w:ascii="Arial Black"/>
                                      <w:sz w:val="40"/>
                                    </w:rPr>
                                    <w:t>Formulario</w:t>
                                  </w:r>
                                  <w:r w:rsidRPr="00FA5477">
                                    <w:rPr>
                                      <w:rFonts w:ascii="Arial Black"/>
                                      <w:spacing w:val="-1"/>
                                      <w:sz w:val="40"/>
                                    </w:rPr>
                                    <w:t xml:space="preserve"> </w:t>
                                  </w:r>
                                  <w:r w:rsidRPr="00FA5477">
                                    <w:rPr>
                                      <w:rFonts w:ascii="Arial Black"/>
                                      <w:sz w:val="40"/>
                                    </w:rPr>
                                    <w:t>de solicitud de</w:t>
                                  </w:r>
                                </w:p>
                                <w:p w14:paraId="0DF0271F" w14:textId="77777777" w:rsidR="003857D6" w:rsidRPr="00FA5477" w:rsidRDefault="003857D6">
                                  <w:pPr>
                                    <w:pStyle w:val="TableParagraph"/>
                                    <w:spacing w:line="481" w:lineRule="exact"/>
                                    <w:ind w:left="200"/>
                                    <w:rPr>
                                      <w:rFonts w:ascii="Arial Black"/>
                                      <w:sz w:val="40"/>
                                    </w:rPr>
                                  </w:pPr>
                                  <w:r w:rsidRPr="00FA5477">
                                    <w:rPr>
                                      <w:rFonts w:ascii="Arial Black"/>
                                      <w:sz w:val="40"/>
                                    </w:rPr>
                                    <w:t>financiamiento</w:t>
                                  </w:r>
                                </w:p>
                              </w:tc>
                            </w:tr>
                            <w:tr w:rsidR="003857D6" w:rsidRPr="00FA5477" w14:paraId="184FE21C" w14:textId="77777777">
                              <w:trPr>
                                <w:trHeight w:val="838"/>
                              </w:trPr>
                              <w:tc>
                                <w:tcPr>
                                  <w:tcW w:w="6114" w:type="dxa"/>
                                </w:tcPr>
                                <w:p w14:paraId="5E2FB52E" w14:textId="77777777" w:rsidR="003857D6" w:rsidRPr="00FA5477" w:rsidRDefault="003857D6">
                                  <w:pPr>
                                    <w:pStyle w:val="TableParagraph"/>
                                    <w:spacing w:line="349" w:lineRule="exact"/>
                                    <w:ind w:left="200"/>
                                    <w:rPr>
                                      <w:sz w:val="32"/>
                                    </w:rPr>
                                  </w:pPr>
                                  <w:r w:rsidRPr="00FA5477">
                                    <w:rPr>
                                      <w:color w:val="7E7E7E"/>
                                      <w:sz w:val="32"/>
                                    </w:rPr>
                                    <w:t>Adaptada</w:t>
                                  </w:r>
                                  <w:r w:rsidRPr="00FA5477">
                                    <w:rPr>
                                      <w:color w:val="7E7E7E"/>
                                      <w:spacing w:val="-5"/>
                                      <w:sz w:val="32"/>
                                    </w:rPr>
                                    <w:t xml:space="preserve"> </w:t>
                                  </w:r>
                                  <w:r w:rsidRPr="00FA5477">
                                    <w:rPr>
                                      <w:color w:val="7E7E7E"/>
                                      <w:sz w:val="32"/>
                                    </w:rPr>
                                    <w:t>a</w:t>
                                  </w:r>
                                  <w:r w:rsidRPr="00FA5477">
                                    <w:rPr>
                                      <w:color w:val="7E7E7E"/>
                                      <w:spacing w:val="-5"/>
                                      <w:sz w:val="32"/>
                                    </w:rPr>
                                    <w:t xml:space="preserve"> </w:t>
                                  </w:r>
                                  <w:r w:rsidRPr="00FA5477">
                                    <w:rPr>
                                      <w:color w:val="7E7E7E"/>
                                      <w:sz w:val="32"/>
                                    </w:rPr>
                                    <w:t>los</w:t>
                                  </w:r>
                                  <w:r w:rsidRPr="00FA5477">
                                    <w:rPr>
                                      <w:color w:val="7E7E7E"/>
                                      <w:spacing w:val="-4"/>
                                      <w:sz w:val="32"/>
                                    </w:rPr>
                                    <w:t xml:space="preserve"> </w:t>
                                  </w:r>
                                  <w:r w:rsidRPr="00FA5477">
                                    <w:rPr>
                                      <w:color w:val="7E7E7E"/>
                                      <w:sz w:val="32"/>
                                    </w:rPr>
                                    <w:t>portafolios</w:t>
                                  </w:r>
                                  <w:r w:rsidRPr="00FA5477">
                                    <w:rPr>
                                      <w:color w:val="7E7E7E"/>
                                      <w:spacing w:val="-4"/>
                                      <w:sz w:val="32"/>
                                    </w:rPr>
                                    <w:t xml:space="preserve"> </w:t>
                                  </w:r>
                                  <w:r w:rsidRPr="00FA5477">
                                    <w:rPr>
                                      <w:color w:val="7E7E7E"/>
                                      <w:sz w:val="32"/>
                                    </w:rPr>
                                    <w:t>enfocados</w:t>
                                  </w:r>
                                  <w:r w:rsidRPr="00FA5477">
                                    <w:rPr>
                                      <w:color w:val="7E7E7E"/>
                                      <w:spacing w:val="-3"/>
                                      <w:sz w:val="32"/>
                                    </w:rPr>
                                    <w:t xml:space="preserve"> </w:t>
                                  </w:r>
                                  <w:r w:rsidRPr="00FA5477">
                                    <w:rPr>
                                      <w:color w:val="7E7E7E"/>
                                      <w:sz w:val="32"/>
                                    </w:rPr>
                                    <w:t>y</w:t>
                                  </w:r>
                                </w:p>
                                <w:p w14:paraId="67468B03" w14:textId="77777777" w:rsidR="003857D6" w:rsidRPr="00FA5477" w:rsidRDefault="003857D6">
                                  <w:pPr>
                                    <w:pStyle w:val="TableParagraph"/>
                                    <w:spacing w:line="368" w:lineRule="exact"/>
                                    <w:ind w:left="200"/>
                                    <w:rPr>
                                      <w:sz w:val="32"/>
                                    </w:rPr>
                                  </w:pPr>
                                  <w:r w:rsidRPr="00FA5477">
                                    <w:rPr>
                                      <w:color w:val="7E7E7E"/>
                                      <w:sz w:val="32"/>
                                    </w:rPr>
                                    <w:t>para</w:t>
                                  </w:r>
                                  <w:r w:rsidRPr="00FA5477">
                                    <w:rPr>
                                      <w:color w:val="7E7E7E"/>
                                      <w:spacing w:val="-5"/>
                                      <w:sz w:val="32"/>
                                    </w:rPr>
                                    <w:t xml:space="preserve"> </w:t>
                                  </w:r>
                                  <w:r w:rsidRPr="00FA5477">
                                    <w:rPr>
                                      <w:color w:val="7E7E7E"/>
                                      <w:sz w:val="32"/>
                                    </w:rPr>
                                    <w:t>la</w:t>
                                  </w:r>
                                  <w:r w:rsidRPr="00FA5477">
                                    <w:rPr>
                                      <w:color w:val="7E7E7E"/>
                                      <w:spacing w:val="-4"/>
                                      <w:sz w:val="32"/>
                                    </w:rPr>
                                    <w:t xml:space="preserve"> </w:t>
                                  </w:r>
                                  <w:r w:rsidRPr="00FA5477">
                                    <w:rPr>
                                      <w:color w:val="7E7E7E"/>
                                      <w:sz w:val="32"/>
                                    </w:rPr>
                                    <w:t>transición</w:t>
                                  </w:r>
                                </w:p>
                              </w:tc>
                            </w:tr>
                            <w:tr w:rsidR="003857D6" w:rsidRPr="00FA5477" w14:paraId="2406D061" w14:textId="77777777">
                              <w:trPr>
                                <w:trHeight w:val="544"/>
                              </w:trPr>
                              <w:tc>
                                <w:tcPr>
                                  <w:tcW w:w="6114" w:type="dxa"/>
                                </w:tcPr>
                                <w:p w14:paraId="4BA214DA" w14:textId="77777777" w:rsidR="003857D6" w:rsidRPr="00FA5477" w:rsidRDefault="003857D6">
                                  <w:pPr>
                                    <w:pStyle w:val="TableParagraph"/>
                                    <w:spacing w:before="121" w:line="403" w:lineRule="exact"/>
                                    <w:ind w:left="200"/>
                                    <w:rPr>
                                      <w:rFonts w:ascii="Arial Black" w:hAnsi="Arial Black"/>
                                      <w:sz w:val="30"/>
                                    </w:rPr>
                                  </w:pPr>
                                  <w:r w:rsidRPr="00FA5477">
                                    <w:rPr>
                                      <w:rFonts w:ascii="Arial Black" w:hAnsi="Arial Black"/>
                                      <w:sz w:val="30"/>
                                    </w:rPr>
                                    <w:t>Período</w:t>
                                  </w:r>
                                  <w:r w:rsidRPr="00FA5477">
                                    <w:rPr>
                                      <w:rFonts w:ascii="Arial Black" w:hAnsi="Arial Black"/>
                                      <w:spacing w:val="-3"/>
                                      <w:sz w:val="30"/>
                                    </w:rPr>
                                    <w:t xml:space="preserve"> </w:t>
                                  </w:r>
                                  <w:r w:rsidRPr="00FA5477">
                                    <w:rPr>
                                      <w:rFonts w:ascii="Arial Black" w:hAnsi="Arial Black"/>
                                      <w:sz w:val="30"/>
                                    </w:rPr>
                                    <w:t>de</w:t>
                                  </w:r>
                                  <w:r w:rsidRPr="00FA5477">
                                    <w:rPr>
                                      <w:rFonts w:ascii="Arial Black" w:hAnsi="Arial Black"/>
                                      <w:spacing w:val="-3"/>
                                      <w:sz w:val="30"/>
                                    </w:rPr>
                                    <w:t xml:space="preserve"> </w:t>
                                  </w:r>
                                  <w:r w:rsidRPr="00FA5477">
                                    <w:rPr>
                                      <w:rFonts w:ascii="Arial Black" w:hAnsi="Arial Black"/>
                                      <w:sz w:val="30"/>
                                    </w:rPr>
                                    <w:t>asignación 2023-2025</w:t>
                                  </w:r>
                                </w:p>
                              </w:tc>
                            </w:tr>
                          </w:tbl>
                          <w:p w14:paraId="3474E345" w14:textId="77777777" w:rsidR="003857D6" w:rsidRPr="00FA5477" w:rsidRDefault="003857D6" w:rsidP="003857D6">
                            <w:pPr>
                              <w:pStyle w:val="Textoindependiente"/>
                            </w:pPr>
                          </w:p>
                        </w:txbxContent>
                      </wps:txbx>
                      <wps:bodyPr rot="0" vert="horz" wrap="square" lIns="0" tIns="0" rIns="0" bIns="0" anchor="t" anchorCtr="0" upright="1">
                        <a:noAutofit/>
                      </wps:bodyPr>
                    </wps:wsp>
                  </a:graphicData>
                </a:graphic>
              </wp:inline>
            </w:drawing>
          </mc:Choice>
          <mc:Fallback>
            <w:pict>
              <v:shapetype w14:anchorId="56CA61A9" id="_x0000_t202" coordsize="21600,21600" o:spt="202" path="m,l,21600r21600,l21600,xe">
                <v:stroke joinstyle="miter"/>
                <v:path gradientshapeok="t" o:connecttype="rect"/>
              </v:shapetype>
              <v:shape id="Cuadro de texto 11" o:spid="_x0000_s1026" type="#_x0000_t202" style="width:305.75pt;height:11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" filled="f" stroked="f">
                <v:textbox inset="0,0,0,0">
                  <w:txbxContent>
                    <w:tbl>
                      <w:tblPr>
                        <w:tblStyle w:val="TableNormal1"/>
                        <w:tblW w:w="0" w:type="auto"/>
                        <w:tblInd w:w="7" w:type="dxa"/>
                        <w:tblLayout w:type="fixed"/>
                        <w:tblLook w:val="01E0" w:firstRow="1" w:lastRow="1" w:firstColumn="1" w:lastColumn="1" w:noHBand="0" w:noVBand="0"/>
                      </w:tblPr>
                      <w:tblGrid>
                        <w:gridCol w:w="6114"/>
                      </w:tblGrid>
                      <w:tr w:rsidR="003857D6" w:rsidRPr="00FA5477" w14:paraId="511999D7" w14:textId="77777777">
                        <w:trPr>
                          <w:trHeight w:val="1009"/>
                        </w:trPr>
                        <w:tc>
                          <w:tcPr>
                            <w:tcW w:w="6114" w:type="dxa"/>
                          </w:tcPr>
                          <w:p w14:paraId="1BD67917" w14:textId="77777777" w:rsidR="003857D6" w:rsidRPr="00FA5477" w:rsidRDefault="003857D6">
                            <w:pPr>
                              <w:pStyle w:val="TableParagraph"/>
                              <w:spacing w:before="1" w:line="508" w:lineRule="exact"/>
                              <w:ind w:left="200"/>
                              <w:rPr>
                                <w:rFonts w:ascii="Arial Black"/>
                                <w:sz w:val="40"/>
                              </w:rPr>
                            </w:pPr>
                            <w:r w:rsidRPr="00FA5477">
                              <w:rPr>
                                <w:rFonts w:ascii="Arial Black"/>
                                <w:sz w:val="40"/>
                              </w:rPr>
                              <w:t>Formulario</w:t>
                            </w:r>
                            <w:r w:rsidRPr="00FA5477">
                              <w:rPr>
                                <w:rFonts w:ascii="Arial Black"/>
                                <w:spacing w:val="-1"/>
                                <w:sz w:val="40"/>
                              </w:rPr>
                              <w:t xml:space="preserve"> </w:t>
                            </w:r>
                            <w:r w:rsidRPr="00FA5477">
                              <w:rPr>
                                <w:rFonts w:ascii="Arial Black"/>
                                <w:sz w:val="40"/>
                              </w:rPr>
                              <w:t>de solicitud de</w:t>
                            </w:r>
                          </w:p>
                          <w:p w14:paraId="0DF0271F" w14:textId="77777777" w:rsidR="003857D6" w:rsidRPr="00FA5477" w:rsidRDefault="003857D6">
                            <w:pPr>
                              <w:pStyle w:val="TableParagraph"/>
                              <w:spacing w:line="481" w:lineRule="exact"/>
                              <w:ind w:left="200"/>
                              <w:rPr>
                                <w:rFonts w:ascii="Arial Black"/>
                                <w:sz w:val="40"/>
                              </w:rPr>
                            </w:pPr>
                            <w:r w:rsidRPr="00FA5477">
                              <w:rPr>
                                <w:rFonts w:ascii="Arial Black"/>
                                <w:sz w:val="40"/>
                              </w:rPr>
                              <w:t>financiamiento</w:t>
                            </w:r>
                          </w:p>
                        </w:tc>
                      </w:tr>
                      <w:tr w:rsidR="003857D6" w:rsidRPr="00FA5477" w14:paraId="184FE21C" w14:textId="77777777">
                        <w:trPr>
                          <w:trHeight w:val="838"/>
                        </w:trPr>
                        <w:tc>
                          <w:tcPr>
                            <w:tcW w:w="6114" w:type="dxa"/>
                          </w:tcPr>
                          <w:p w14:paraId="5E2FB52E" w14:textId="77777777" w:rsidR="003857D6" w:rsidRPr="00FA5477" w:rsidRDefault="003857D6">
                            <w:pPr>
                              <w:pStyle w:val="TableParagraph"/>
                              <w:spacing w:line="349" w:lineRule="exact"/>
                              <w:ind w:left="200"/>
                              <w:rPr>
                                <w:sz w:val="32"/>
                              </w:rPr>
                            </w:pPr>
                            <w:r w:rsidRPr="00FA5477">
                              <w:rPr>
                                <w:color w:val="7E7E7E"/>
                                <w:sz w:val="32"/>
                              </w:rPr>
                              <w:t>Adaptada</w:t>
                            </w:r>
                            <w:r w:rsidRPr="00FA5477">
                              <w:rPr>
                                <w:color w:val="7E7E7E"/>
                                <w:spacing w:val="-5"/>
                                <w:sz w:val="32"/>
                              </w:rPr>
                              <w:t xml:space="preserve"> </w:t>
                            </w:r>
                            <w:r w:rsidRPr="00FA5477">
                              <w:rPr>
                                <w:color w:val="7E7E7E"/>
                                <w:sz w:val="32"/>
                              </w:rPr>
                              <w:t>a</w:t>
                            </w:r>
                            <w:r w:rsidRPr="00FA5477">
                              <w:rPr>
                                <w:color w:val="7E7E7E"/>
                                <w:spacing w:val="-5"/>
                                <w:sz w:val="32"/>
                              </w:rPr>
                              <w:t xml:space="preserve"> </w:t>
                            </w:r>
                            <w:r w:rsidRPr="00FA5477">
                              <w:rPr>
                                <w:color w:val="7E7E7E"/>
                                <w:sz w:val="32"/>
                              </w:rPr>
                              <w:t>los</w:t>
                            </w:r>
                            <w:r w:rsidRPr="00FA5477">
                              <w:rPr>
                                <w:color w:val="7E7E7E"/>
                                <w:spacing w:val="-4"/>
                                <w:sz w:val="32"/>
                              </w:rPr>
                              <w:t xml:space="preserve"> </w:t>
                            </w:r>
                            <w:r w:rsidRPr="00FA5477">
                              <w:rPr>
                                <w:color w:val="7E7E7E"/>
                                <w:sz w:val="32"/>
                              </w:rPr>
                              <w:t>portafolios</w:t>
                            </w:r>
                            <w:r w:rsidRPr="00FA5477">
                              <w:rPr>
                                <w:color w:val="7E7E7E"/>
                                <w:spacing w:val="-4"/>
                                <w:sz w:val="32"/>
                              </w:rPr>
                              <w:t xml:space="preserve"> </w:t>
                            </w:r>
                            <w:r w:rsidRPr="00FA5477">
                              <w:rPr>
                                <w:color w:val="7E7E7E"/>
                                <w:sz w:val="32"/>
                              </w:rPr>
                              <w:t>enfocados</w:t>
                            </w:r>
                            <w:r w:rsidRPr="00FA5477">
                              <w:rPr>
                                <w:color w:val="7E7E7E"/>
                                <w:spacing w:val="-3"/>
                                <w:sz w:val="32"/>
                              </w:rPr>
                              <w:t xml:space="preserve"> </w:t>
                            </w:r>
                            <w:r w:rsidRPr="00FA5477">
                              <w:rPr>
                                <w:color w:val="7E7E7E"/>
                                <w:sz w:val="32"/>
                              </w:rPr>
                              <w:t>y</w:t>
                            </w:r>
                          </w:p>
                          <w:p w14:paraId="67468B03" w14:textId="77777777" w:rsidR="003857D6" w:rsidRPr="00FA5477" w:rsidRDefault="003857D6">
                            <w:pPr>
                              <w:pStyle w:val="TableParagraph"/>
                              <w:spacing w:line="368" w:lineRule="exact"/>
                              <w:ind w:left="200"/>
                              <w:rPr>
                                <w:sz w:val="32"/>
                              </w:rPr>
                            </w:pPr>
                            <w:r w:rsidRPr="00FA5477">
                              <w:rPr>
                                <w:color w:val="7E7E7E"/>
                                <w:sz w:val="32"/>
                              </w:rPr>
                              <w:t>para</w:t>
                            </w:r>
                            <w:r w:rsidRPr="00FA5477">
                              <w:rPr>
                                <w:color w:val="7E7E7E"/>
                                <w:spacing w:val="-5"/>
                                <w:sz w:val="32"/>
                              </w:rPr>
                              <w:t xml:space="preserve"> </w:t>
                            </w:r>
                            <w:r w:rsidRPr="00FA5477">
                              <w:rPr>
                                <w:color w:val="7E7E7E"/>
                                <w:sz w:val="32"/>
                              </w:rPr>
                              <w:t>la</w:t>
                            </w:r>
                            <w:r w:rsidRPr="00FA5477">
                              <w:rPr>
                                <w:color w:val="7E7E7E"/>
                                <w:spacing w:val="-4"/>
                                <w:sz w:val="32"/>
                              </w:rPr>
                              <w:t xml:space="preserve"> </w:t>
                            </w:r>
                            <w:r w:rsidRPr="00FA5477">
                              <w:rPr>
                                <w:color w:val="7E7E7E"/>
                                <w:sz w:val="32"/>
                              </w:rPr>
                              <w:t>transición</w:t>
                            </w:r>
                          </w:p>
                        </w:tc>
                      </w:tr>
                      <w:tr w:rsidR="003857D6" w:rsidRPr="00FA5477" w14:paraId="2406D061" w14:textId="77777777">
                        <w:trPr>
                          <w:trHeight w:val="544"/>
                        </w:trPr>
                        <w:tc>
                          <w:tcPr>
                            <w:tcW w:w="6114" w:type="dxa"/>
                          </w:tcPr>
                          <w:p w14:paraId="4BA214DA" w14:textId="77777777" w:rsidR="003857D6" w:rsidRPr="00FA5477" w:rsidRDefault="003857D6">
                            <w:pPr>
                              <w:pStyle w:val="TableParagraph"/>
                              <w:spacing w:before="121" w:line="403" w:lineRule="exact"/>
                              <w:ind w:left="200"/>
                              <w:rPr>
                                <w:rFonts w:ascii="Arial Black" w:hAnsi="Arial Black"/>
                                <w:sz w:val="30"/>
                              </w:rPr>
                            </w:pPr>
                            <w:r w:rsidRPr="00FA5477">
                              <w:rPr>
                                <w:rFonts w:ascii="Arial Black" w:hAnsi="Arial Black"/>
                                <w:sz w:val="30"/>
                              </w:rPr>
                              <w:t>Período</w:t>
                            </w:r>
                            <w:r w:rsidRPr="00FA5477">
                              <w:rPr>
                                <w:rFonts w:ascii="Arial Black" w:hAnsi="Arial Black"/>
                                <w:spacing w:val="-3"/>
                                <w:sz w:val="30"/>
                              </w:rPr>
                              <w:t xml:space="preserve"> </w:t>
                            </w:r>
                            <w:r w:rsidRPr="00FA5477">
                              <w:rPr>
                                <w:rFonts w:ascii="Arial Black" w:hAnsi="Arial Black"/>
                                <w:sz w:val="30"/>
                              </w:rPr>
                              <w:t>de</w:t>
                            </w:r>
                            <w:r w:rsidRPr="00FA5477">
                              <w:rPr>
                                <w:rFonts w:ascii="Arial Black" w:hAnsi="Arial Black"/>
                                <w:spacing w:val="-3"/>
                                <w:sz w:val="30"/>
                              </w:rPr>
                              <w:t xml:space="preserve"> </w:t>
                            </w:r>
                            <w:r w:rsidRPr="00FA5477">
                              <w:rPr>
                                <w:rFonts w:ascii="Arial Black" w:hAnsi="Arial Black"/>
                                <w:sz w:val="30"/>
                              </w:rPr>
                              <w:t>asignación 2023-2025</w:t>
                            </w:r>
                          </w:p>
                        </w:tc>
                      </w:tr>
                    </w:tbl>
                    <w:p w14:paraId="3474E345" w14:textId="77777777" w:rsidR="003857D6" w:rsidRPr="00FA5477" w:rsidRDefault="003857D6" w:rsidP="003857D6">
                      <w:pPr>
                        <w:pStyle w:val="Textoindependiente"/>
                      </w:pPr>
                    </w:p>
                  </w:txbxContent>
                </v:textbox>
                <w10:anchorlock/>
              </v:shape>
            </w:pict>
          </mc:Fallback>
        </mc:AlternateContent>
      </w:r>
    </w:p>
    <w:p w14:paraId="5EF8B156" w14:textId="77777777" w:rsidR="003857D6" w:rsidRPr="00FA5477" w:rsidRDefault="003857D6" w:rsidP="003857D6">
      <w:pPr>
        <w:pStyle w:val="Textoindependiente"/>
        <w:spacing w:before="1"/>
        <w:rPr>
          <w:rFonts w:ascii="Times New Roman"/>
          <w:sz w:val="26"/>
        </w:rPr>
      </w:pPr>
    </w:p>
    <w:p w14:paraId="05B809DC" w14:textId="77777777" w:rsidR="003857D6" w:rsidRPr="00FA5477" w:rsidRDefault="003857D6" w:rsidP="003857D6">
      <w:pPr>
        <w:pStyle w:val="Ttulo1"/>
        <w:spacing w:before="100"/>
        <w:jc w:val="both"/>
      </w:pPr>
      <w:r w:rsidRPr="00FA5477">
        <w:t>Resumen general</w:t>
      </w:r>
    </w:p>
    <w:p w14:paraId="005EF9B1" w14:textId="77777777" w:rsidR="003857D6" w:rsidRPr="00FA5477" w:rsidRDefault="003857D6" w:rsidP="003857D6">
      <w:pPr>
        <w:pStyle w:val="Textoindependiente"/>
        <w:spacing w:before="6" w:after="1"/>
        <w:rPr>
          <w:rFonts w:ascii="Arial Black"/>
          <w:sz w:val="25"/>
        </w:rPr>
      </w:pPr>
    </w:p>
    <w:tbl>
      <w:tblPr>
        <w:tblStyle w:val="TableNormal1"/>
        <w:tblW w:w="0" w:type="auto"/>
        <w:tblInd w:w="1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57" w:type="dxa"/>
          <w:right w:w="57" w:type="dxa"/>
        </w:tblCellMar>
        <w:tblLook w:val="01E0" w:firstRow="1" w:lastRow="1" w:firstColumn="1" w:lastColumn="1" w:noHBand="0" w:noVBand="0"/>
      </w:tblPr>
      <w:tblGrid>
        <w:gridCol w:w="6193"/>
        <w:gridCol w:w="3987"/>
      </w:tblGrid>
      <w:tr w:rsidR="003857D6" w:rsidRPr="00FA5477" w14:paraId="08E08520" w14:textId="77777777" w:rsidTr="00B36C53">
        <w:trPr>
          <w:trHeight w:hRule="exact" w:val="454"/>
        </w:trPr>
        <w:tc>
          <w:tcPr>
            <w:tcW w:w="6193" w:type="dxa"/>
            <w:shd w:val="clear" w:color="auto" w:fill="F1F1F1"/>
            <w:vAlign w:val="center"/>
          </w:tcPr>
          <w:p w14:paraId="569DBAB0" w14:textId="77777777" w:rsidR="003857D6" w:rsidRPr="00FA5477" w:rsidRDefault="003857D6" w:rsidP="00B36C53">
            <w:pPr>
              <w:pStyle w:val="TableParagraph"/>
              <w:ind w:left="57"/>
            </w:pPr>
            <w:r w:rsidRPr="00FA5477">
              <w:t>País(es)</w:t>
            </w:r>
          </w:p>
        </w:tc>
        <w:tc>
          <w:tcPr>
            <w:tcW w:w="3987" w:type="dxa"/>
            <w:vAlign w:val="center"/>
          </w:tcPr>
          <w:p w14:paraId="7C0FE566" w14:textId="77777777" w:rsidR="003857D6" w:rsidRPr="00FA5477" w:rsidRDefault="003857D6" w:rsidP="00B36C53">
            <w:pPr>
              <w:pStyle w:val="TableParagraph"/>
              <w:rPr>
                <w:rFonts w:ascii="Times New Roman"/>
              </w:rPr>
            </w:pPr>
            <w:r w:rsidRPr="00FA5477">
              <w:t>EL SALVADOR</w:t>
            </w:r>
          </w:p>
        </w:tc>
      </w:tr>
      <w:tr w:rsidR="003857D6" w:rsidRPr="00FA5477" w14:paraId="1CB29C4B" w14:textId="77777777" w:rsidTr="00B36C53">
        <w:trPr>
          <w:trHeight w:hRule="exact" w:val="454"/>
        </w:trPr>
        <w:tc>
          <w:tcPr>
            <w:tcW w:w="6193" w:type="dxa"/>
            <w:shd w:val="clear" w:color="auto" w:fill="F1F1F1"/>
            <w:vAlign w:val="center"/>
          </w:tcPr>
          <w:p w14:paraId="285FD4E6" w14:textId="77777777" w:rsidR="003857D6" w:rsidRPr="00FA5477" w:rsidRDefault="003857D6" w:rsidP="00B36C53">
            <w:pPr>
              <w:pStyle w:val="TableParagraph"/>
              <w:ind w:left="57"/>
            </w:pPr>
            <w:r w:rsidRPr="00FA5477">
              <w:t>Componente(s)</w:t>
            </w:r>
          </w:p>
        </w:tc>
        <w:tc>
          <w:tcPr>
            <w:tcW w:w="3987" w:type="dxa"/>
            <w:vAlign w:val="center"/>
          </w:tcPr>
          <w:p w14:paraId="7F773ED6" w14:textId="77777777" w:rsidR="003857D6" w:rsidRPr="00FA5477" w:rsidRDefault="003857D6" w:rsidP="00B36C53">
            <w:pPr>
              <w:pStyle w:val="TableParagraph"/>
              <w:rPr>
                <w:rFonts w:ascii="Times New Roman"/>
              </w:rPr>
            </w:pPr>
            <w:r w:rsidRPr="00FA5477">
              <w:t>VIH</w:t>
            </w:r>
          </w:p>
        </w:tc>
      </w:tr>
      <w:tr w:rsidR="003857D6" w:rsidRPr="00FA5477" w14:paraId="2E65D8FB" w14:textId="77777777" w:rsidTr="00B36C53">
        <w:trPr>
          <w:trHeight w:hRule="exact" w:val="454"/>
        </w:trPr>
        <w:tc>
          <w:tcPr>
            <w:tcW w:w="6193" w:type="dxa"/>
            <w:shd w:val="clear" w:color="auto" w:fill="F1F1F1"/>
            <w:vAlign w:val="center"/>
          </w:tcPr>
          <w:p w14:paraId="0B22A92A" w14:textId="77777777" w:rsidR="003857D6" w:rsidRPr="00FA5477" w:rsidRDefault="003857D6" w:rsidP="00B36C53">
            <w:pPr>
              <w:pStyle w:val="TableParagraph"/>
              <w:ind w:left="57"/>
            </w:pPr>
            <w:r w:rsidRPr="00FA5477">
              <w:t>Fecha(s)</w:t>
            </w:r>
            <w:r w:rsidRPr="00FA5477">
              <w:rPr>
                <w:spacing w:val="-4"/>
              </w:rPr>
              <w:t xml:space="preserve"> </w:t>
            </w:r>
            <w:r w:rsidRPr="00FA5477">
              <w:t>prevista(s)</w:t>
            </w:r>
            <w:r w:rsidRPr="00FA5477">
              <w:rPr>
                <w:spacing w:val="-3"/>
              </w:rPr>
              <w:t xml:space="preserve"> </w:t>
            </w:r>
            <w:r w:rsidRPr="00FA5477">
              <w:t>de</w:t>
            </w:r>
            <w:r w:rsidRPr="00FA5477">
              <w:rPr>
                <w:spacing w:val="-2"/>
              </w:rPr>
              <w:t xml:space="preserve"> </w:t>
            </w:r>
            <w:r w:rsidRPr="00FA5477">
              <w:t>inicio</w:t>
            </w:r>
            <w:r w:rsidRPr="00FA5477">
              <w:rPr>
                <w:spacing w:val="-3"/>
              </w:rPr>
              <w:t xml:space="preserve"> </w:t>
            </w:r>
            <w:r w:rsidRPr="00FA5477">
              <w:t>de</w:t>
            </w:r>
            <w:r w:rsidRPr="00FA5477">
              <w:rPr>
                <w:spacing w:val="-2"/>
              </w:rPr>
              <w:t xml:space="preserve"> </w:t>
            </w:r>
            <w:r w:rsidRPr="00FA5477">
              <w:t>la</w:t>
            </w:r>
            <w:r w:rsidRPr="00FA5477">
              <w:rPr>
                <w:spacing w:val="-2"/>
              </w:rPr>
              <w:t xml:space="preserve"> </w:t>
            </w:r>
            <w:r w:rsidRPr="00FA5477">
              <w:t>subvención</w:t>
            </w:r>
          </w:p>
        </w:tc>
        <w:tc>
          <w:tcPr>
            <w:tcW w:w="3987" w:type="dxa"/>
            <w:vAlign w:val="center"/>
          </w:tcPr>
          <w:p w14:paraId="4BC06169" w14:textId="77777777" w:rsidR="003857D6" w:rsidRPr="00FA5477" w:rsidRDefault="003857D6" w:rsidP="00B36C53">
            <w:pPr>
              <w:pStyle w:val="TableParagraph"/>
              <w:rPr>
                <w:rFonts w:ascii="Times New Roman"/>
              </w:rPr>
            </w:pPr>
            <w:r w:rsidRPr="00FA5477">
              <w:t>1 enero 2025</w:t>
            </w:r>
          </w:p>
        </w:tc>
      </w:tr>
      <w:tr w:rsidR="003857D6" w:rsidRPr="00FA5477" w14:paraId="088C4ABF" w14:textId="77777777" w:rsidTr="00B36C53">
        <w:trPr>
          <w:trHeight w:hRule="exact" w:val="454"/>
        </w:trPr>
        <w:tc>
          <w:tcPr>
            <w:tcW w:w="6193" w:type="dxa"/>
            <w:shd w:val="clear" w:color="auto" w:fill="F1F1F1"/>
            <w:vAlign w:val="center"/>
          </w:tcPr>
          <w:p w14:paraId="1441D4E0" w14:textId="77777777" w:rsidR="003857D6" w:rsidRPr="00FA5477" w:rsidRDefault="003857D6" w:rsidP="00B36C53">
            <w:pPr>
              <w:pStyle w:val="TableParagraph"/>
              <w:ind w:left="57"/>
            </w:pPr>
            <w:r w:rsidRPr="00FA5477">
              <w:t>Fecha(s)</w:t>
            </w:r>
            <w:r w:rsidRPr="00FA5477">
              <w:rPr>
                <w:spacing w:val="-4"/>
              </w:rPr>
              <w:t xml:space="preserve"> </w:t>
            </w:r>
            <w:r w:rsidRPr="00FA5477">
              <w:t>prevista(s)</w:t>
            </w:r>
            <w:r w:rsidRPr="00FA5477">
              <w:rPr>
                <w:spacing w:val="-4"/>
              </w:rPr>
              <w:t xml:space="preserve"> </w:t>
            </w:r>
            <w:r w:rsidRPr="00FA5477">
              <w:t>de</w:t>
            </w:r>
            <w:r w:rsidRPr="00FA5477">
              <w:rPr>
                <w:spacing w:val="-4"/>
              </w:rPr>
              <w:t xml:space="preserve"> </w:t>
            </w:r>
            <w:r w:rsidRPr="00FA5477">
              <w:t>finalización</w:t>
            </w:r>
            <w:r w:rsidRPr="00FA5477">
              <w:rPr>
                <w:spacing w:val="-3"/>
              </w:rPr>
              <w:t xml:space="preserve"> </w:t>
            </w:r>
            <w:r w:rsidRPr="00FA5477">
              <w:t>de</w:t>
            </w:r>
            <w:r w:rsidRPr="00FA5477">
              <w:rPr>
                <w:spacing w:val="-2"/>
              </w:rPr>
              <w:t xml:space="preserve"> </w:t>
            </w:r>
            <w:r w:rsidRPr="00FA5477">
              <w:t>la</w:t>
            </w:r>
            <w:r w:rsidRPr="00FA5477">
              <w:rPr>
                <w:spacing w:val="-3"/>
              </w:rPr>
              <w:t xml:space="preserve"> </w:t>
            </w:r>
            <w:r w:rsidRPr="00FA5477">
              <w:t>subvención</w:t>
            </w:r>
          </w:p>
        </w:tc>
        <w:tc>
          <w:tcPr>
            <w:tcW w:w="3987" w:type="dxa"/>
            <w:vAlign w:val="center"/>
          </w:tcPr>
          <w:p w14:paraId="3C9057FD" w14:textId="77777777" w:rsidR="003857D6" w:rsidRPr="00FA5477" w:rsidRDefault="003857D6" w:rsidP="00B36C53">
            <w:pPr>
              <w:pStyle w:val="TableParagraph"/>
              <w:rPr>
                <w:rFonts w:ascii="Times New Roman"/>
              </w:rPr>
            </w:pPr>
            <w:r w:rsidRPr="00FA5477">
              <w:t>31 diciembre 2027</w:t>
            </w:r>
          </w:p>
        </w:tc>
      </w:tr>
      <w:tr w:rsidR="003857D6" w:rsidRPr="00FA5477" w14:paraId="52996F36" w14:textId="77777777" w:rsidTr="00B36C53">
        <w:trPr>
          <w:trHeight w:hRule="exact" w:val="454"/>
        </w:trPr>
        <w:tc>
          <w:tcPr>
            <w:tcW w:w="6193" w:type="dxa"/>
            <w:shd w:val="clear" w:color="auto" w:fill="F1F1F1"/>
            <w:vAlign w:val="center"/>
          </w:tcPr>
          <w:p w14:paraId="091C3FF5" w14:textId="77777777" w:rsidR="003857D6" w:rsidRPr="00FA5477" w:rsidRDefault="003857D6" w:rsidP="00B36C53">
            <w:pPr>
              <w:pStyle w:val="TableParagraph"/>
              <w:ind w:left="57"/>
            </w:pPr>
            <w:r w:rsidRPr="00FA5477">
              <w:t>Receptor(es)</w:t>
            </w:r>
            <w:r w:rsidRPr="00FA5477">
              <w:rPr>
                <w:spacing w:val="-9"/>
              </w:rPr>
              <w:t xml:space="preserve"> </w:t>
            </w:r>
            <w:r w:rsidRPr="00FA5477">
              <w:t>Principal(es)</w:t>
            </w:r>
          </w:p>
        </w:tc>
        <w:tc>
          <w:tcPr>
            <w:tcW w:w="3987" w:type="dxa"/>
            <w:vAlign w:val="center"/>
          </w:tcPr>
          <w:p w14:paraId="1BCE40D2" w14:textId="77777777" w:rsidR="003857D6" w:rsidRPr="00FA5477" w:rsidRDefault="003857D6" w:rsidP="00B36C53">
            <w:pPr>
              <w:pStyle w:val="TableParagraph"/>
              <w:rPr>
                <w:rFonts w:ascii="Times New Roman"/>
              </w:rPr>
            </w:pPr>
            <w:r w:rsidRPr="00FA5477">
              <w:t>Ministerio de Salud y Plan International</w:t>
            </w:r>
          </w:p>
        </w:tc>
      </w:tr>
      <w:tr w:rsidR="003857D6" w:rsidRPr="00FA5477" w14:paraId="699FDFC1" w14:textId="77777777" w:rsidTr="00B36C53">
        <w:trPr>
          <w:trHeight w:hRule="exact" w:val="454"/>
        </w:trPr>
        <w:tc>
          <w:tcPr>
            <w:tcW w:w="6193" w:type="dxa"/>
            <w:shd w:val="clear" w:color="auto" w:fill="F1F1F1"/>
            <w:vAlign w:val="center"/>
          </w:tcPr>
          <w:p w14:paraId="634C49ED" w14:textId="77777777" w:rsidR="003857D6" w:rsidRPr="00FA5477" w:rsidRDefault="003857D6" w:rsidP="00B36C53">
            <w:pPr>
              <w:pStyle w:val="TableParagraph"/>
              <w:ind w:left="57"/>
            </w:pPr>
            <w:r w:rsidRPr="00FA5477">
              <w:t>Moneda</w:t>
            </w:r>
          </w:p>
        </w:tc>
        <w:tc>
          <w:tcPr>
            <w:tcW w:w="3987" w:type="dxa"/>
            <w:vAlign w:val="center"/>
          </w:tcPr>
          <w:p w14:paraId="00BCE4BD" w14:textId="77777777" w:rsidR="003857D6" w:rsidRPr="00FA5477" w:rsidRDefault="003857D6" w:rsidP="00B36C53">
            <w:pPr>
              <w:pStyle w:val="TableParagraph"/>
              <w:rPr>
                <w:rFonts w:ascii="Times New Roman"/>
              </w:rPr>
            </w:pPr>
            <w:r w:rsidRPr="00FA5477">
              <w:t>Dólar estadounidense</w:t>
            </w:r>
          </w:p>
        </w:tc>
      </w:tr>
      <w:tr w:rsidR="003857D6" w:rsidRPr="00FA5477" w14:paraId="23ADDC38" w14:textId="77777777" w:rsidTr="00B36C53">
        <w:trPr>
          <w:trHeight w:val="1227"/>
        </w:trPr>
        <w:tc>
          <w:tcPr>
            <w:tcW w:w="6193" w:type="dxa"/>
            <w:shd w:val="clear" w:color="auto" w:fill="F1F1F1"/>
          </w:tcPr>
          <w:p w14:paraId="3557D8B0" w14:textId="77777777" w:rsidR="003857D6" w:rsidRPr="00FA5477" w:rsidRDefault="003857D6" w:rsidP="008B2B26">
            <w:pPr>
              <w:pStyle w:val="TableParagraph"/>
              <w:spacing w:before="57" w:line="264" w:lineRule="auto"/>
              <w:ind w:left="57" w:right="178"/>
            </w:pPr>
            <w:r w:rsidRPr="00FA5477">
              <w:t>Áreas de atención que deben ser cubiertas por esta solicitud</w:t>
            </w:r>
            <w:r w:rsidRPr="00FA5477">
              <w:rPr>
                <w:spacing w:val="-59"/>
              </w:rPr>
              <w:t xml:space="preserve"> </w:t>
            </w:r>
            <w:r w:rsidRPr="00FA5477">
              <w:t>de</w:t>
            </w:r>
            <w:r w:rsidRPr="00FA5477">
              <w:rPr>
                <w:spacing w:val="-1"/>
              </w:rPr>
              <w:t xml:space="preserve"> </w:t>
            </w:r>
            <w:r w:rsidRPr="00FA5477">
              <w:t>financiamiento</w:t>
            </w:r>
          </w:p>
          <w:p w14:paraId="0620BA9F" w14:textId="77777777" w:rsidR="003857D6" w:rsidRPr="00FA5477" w:rsidRDefault="003857D6" w:rsidP="008B2B26">
            <w:pPr>
              <w:pStyle w:val="TableParagraph"/>
              <w:spacing w:line="264" w:lineRule="auto"/>
              <w:ind w:left="57" w:right="264"/>
            </w:pPr>
            <w:r w:rsidRPr="00FA5477">
              <w:t>(como se indique en la carta de asignación o se acuerde de</w:t>
            </w:r>
            <w:r w:rsidRPr="00FA5477">
              <w:rPr>
                <w:spacing w:val="-59"/>
              </w:rPr>
              <w:t xml:space="preserve"> </w:t>
            </w:r>
            <w:r w:rsidRPr="00FA5477">
              <w:t>otro</w:t>
            </w:r>
            <w:r w:rsidRPr="00FA5477">
              <w:rPr>
                <w:spacing w:val="-3"/>
              </w:rPr>
              <w:t xml:space="preserve"> </w:t>
            </w:r>
            <w:r w:rsidRPr="00FA5477">
              <w:t>modo</w:t>
            </w:r>
            <w:r w:rsidRPr="00FA5477">
              <w:rPr>
                <w:spacing w:val="-2"/>
              </w:rPr>
              <w:t xml:space="preserve"> </w:t>
            </w:r>
            <w:r w:rsidRPr="00FA5477">
              <w:t>con</w:t>
            </w:r>
            <w:r w:rsidRPr="00FA5477">
              <w:rPr>
                <w:spacing w:val="-2"/>
              </w:rPr>
              <w:t xml:space="preserve"> </w:t>
            </w:r>
            <w:r w:rsidRPr="00FA5477">
              <w:t>el</w:t>
            </w:r>
            <w:r w:rsidRPr="00FA5477">
              <w:rPr>
                <w:spacing w:val="1"/>
              </w:rPr>
              <w:t xml:space="preserve"> </w:t>
            </w:r>
            <w:r w:rsidRPr="00FA5477">
              <w:t>Fondo</w:t>
            </w:r>
            <w:r w:rsidRPr="00FA5477">
              <w:rPr>
                <w:spacing w:val="-2"/>
              </w:rPr>
              <w:t xml:space="preserve"> </w:t>
            </w:r>
            <w:r w:rsidRPr="00FA5477">
              <w:t>Mundial)</w:t>
            </w:r>
          </w:p>
        </w:tc>
        <w:tc>
          <w:tcPr>
            <w:tcW w:w="3987" w:type="dxa"/>
            <w:shd w:val="clear" w:color="auto" w:fill="auto"/>
            <w:vAlign w:val="center"/>
          </w:tcPr>
          <w:p w14:paraId="31564EE1" w14:textId="0F3C95E1" w:rsidR="00B36C53" w:rsidRPr="00B36C53" w:rsidRDefault="00B36C53" w:rsidP="00B36C53">
            <w:pPr>
              <w:pStyle w:val="TableParagraph"/>
              <w:numPr>
                <w:ilvl w:val="0"/>
                <w:numId w:val="38"/>
              </w:numPr>
              <w:spacing w:after="60"/>
              <w:ind w:left="256" w:hanging="284"/>
              <w:jc w:val="both"/>
            </w:pPr>
            <w:r w:rsidRPr="00B36C53">
              <w:t>Reducir la incidencia de VIH en poblaciones clave y vulnerables.</w:t>
            </w:r>
          </w:p>
          <w:p w14:paraId="571CE09C" w14:textId="77A9C117" w:rsidR="00B36C53" w:rsidRPr="00B36C53" w:rsidRDefault="00B36C53" w:rsidP="00B36C53">
            <w:pPr>
              <w:pStyle w:val="TableParagraph"/>
              <w:numPr>
                <w:ilvl w:val="0"/>
                <w:numId w:val="38"/>
              </w:numPr>
              <w:spacing w:after="60"/>
              <w:ind w:left="256" w:hanging="284"/>
              <w:jc w:val="both"/>
            </w:pPr>
            <w:r w:rsidRPr="00B36C53">
              <w:t>Reducir las brechas en la cascada del continuo de la atención de VIH: diagnóstico, vinculación, tratamiento de inicio temprano, adherencia y retención a la TAR.</w:t>
            </w:r>
          </w:p>
          <w:p w14:paraId="30A421B5" w14:textId="432EE3DB" w:rsidR="003857D6" w:rsidRPr="00B36C53" w:rsidRDefault="00B36C53" w:rsidP="00B36C53">
            <w:pPr>
              <w:pStyle w:val="TableParagraph"/>
              <w:numPr>
                <w:ilvl w:val="0"/>
                <w:numId w:val="37"/>
              </w:numPr>
              <w:ind w:left="255" w:hanging="284"/>
              <w:jc w:val="both"/>
            </w:pPr>
            <w:r w:rsidRPr="00B36C53">
              <w:t>Reducir la mortalidad por VIH, aumentando la detección temprana de casos TB/VIH.</w:t>
            </w:r>
          </w:p>
        </w:tc>
      </w:tr>
      <w:tr w:rsidR="003857D6" w:rsidRPr="00FA5477" w14:paraId="47938532" w14:textId="77777777" w:rsidTr="00B36C53">
        <w:trPr>
          <w:trHeight w:val="397"/>
        </w:trPr>
        <w:tc>
          <w:tcPr>
            <w:tcW w:w="6193" w:type="dxa"/>
            <w:shd w:val="clear" w:color="auto" w:fill="F1F1F1"/>
            <w:vAlign w:val="center"/>
          </w:tcPr>
          <w:p w14:paraId="5FE62469" w14:textId="77777777" w:rsidR="003857D6" w:rsidRPr="00FA5477" w:rsidRDefault="003857D6" w:rsidP="008B2B26">
            <w:pPr>
              <w:pStyle w:val="TableParagraph"/>
              <w:spacing w:before="117"/>
              <w:ind w:left="57"/>
            </w:pPr>
            <w:r w:rsidRPr="00FA5477">
              <w:t>Monto</w:t>
            </w:r>
            <w:r w:rsidRPr="00FA5477">
              <w:rPr>
                <w:spacing w:val="-6"/>
              </w:rPr>
              <w:t xml:space="preserve"> </w:t>
            </w:r>
            <w:r w:rsidRPr="00FA5477">
              <w:t>de</w:t>
            </w:r>
            <w:r w:rsidRPr="00FA5477">
              <w:rPr>
                <w:spacing w:val="-3"/>
              </w:rPr>
              <w:t xml:space="preserve"> </w:t>
            </w:r>
            <w:r w:rsidRPr="00FA5477">
              <w:t>la</w:t>
            </w:r>
            <w:r w:rsidRPr="00FA5477">
              <w:rPr>
                <w:spacing w:val="-5"/>
              </w:rPr>
              <w:t xml:space="preserve"> </w:t>
            </w:r>
            <w:r w:rsidRPr="00FA5477">
              <w:t>solicitud</w:t>
            </w:r>
            <w:r w:rsidRPr="00FA5477">
              <w:rPr>
                <w:spacing w:val="-3"/>
              </w:rPr>
              <w:t xml:space="preserve"> </w:t>
            </w:r>
            <w:r w:rsidRPr="00FA5477">
              <w:t>de</w:t>
            </w:r>
            <w:r w:rsidRPr="00FA5477">
              <w:rPr>
                <w:spacing w:val="-5"/>
              </w:rPr>
              <w:t xml:space="preserve"> </w:t>
            </w:r>
            <w:r w:rsidRPr="00FA5477">
              <w:t>financiamiento</w:t>
            </w:r>
            <w:r w:rsidRPr="00FA5477">
              <w:rPr>
                <w:spacing w:val="-2"/>
              </w:rPr>
              <w:t xml:space="preserve"> </w:t>
            </w:r>
            <w:r w:rsidRPr="00FA5477">
              <w:t>de</w:t>
            </w:r>
            <w:r w:rsidRPr="00FA5477">
              <w:rPr>
                <w:spacing w:val="-3"/>
              </w:rPr>
              <w:t xml:space="preserve"> </w:t>
            </w:r>
            <w:r w:rsidRPr="00FA5477">
              <w:t>asignación</w:t>
            </w:r>
          </w:p>
        </w:tc>
        <w:tc>
          <w:tcPr>
            <w:tcW w:w="3987" w:type="dxa"/>
            <w:shd w:val="clear" w:color="auto" w:fill="auto"/>
            <w:vAlign w:val="center"/>
          </w:tcPr>
          <w:p w14:paraId="1B0FC8B5" w14:textId="317C5C7C" w:rsidR="003857D6" w:rsidRPr="00FA5477" w:rsidRDefault="00A3281B" w:rsidP="00001B82">
            <w:pPr>
              <w:pStyle w:val="TableParagraph"/>
              <w:ind w:right="1249"/>
              <w:jc w:val="right"/>
            </w:pPr>
            <w:r>
              <w:t>$</w:t>
            </w:r>
            <w:r w:rsidR="003857D6" w:rsidRPr="00FA5477">
              <w:t>14,382,672</w:t>
            </w:r>
          </w:p>
        </w:tc>
      </w:tr>
      <w:tr w:rsidR="003857D6" w:rsidRPr="00FA5477" w14:paraId="009B66BA" w14:textId="77777777" w:rsidTr="00B36C53">
        <w:trPr>
          <w:trHeight w:val="670"/>
        </w:trPr>
        <w:tc>
          <w:tcPr>
            <w:tcW w:w="6193" w:type="dxa"/>
            <w:shd w:val="clear" w:color="auto" w:fill="F1F1F1"/>
          </w:tcPr>
          <w:p w14:paraId="0169A6E9" w14:textId="77777777" w:rsidR="003857D6" w:rsidRPr="00FA5477" w:rsidRDefault="003857D6" w:rsidP="00001B82">
            <w:pPr>
              <w:pStyle w:val="TableParagraph"/>
              <w:spacing w:before="59" w:line="264" w:lineRule="auto"/>
              <w:ind w:left="57"/>
            </w:pPr>
            <w:r w:rsidRPr="00FA5477">
              <w:t>Monto de la solicitud priorizada por encima del monto</w:t>
            </w:r>
            <w:r w:rsidRPr="00FA5477">
              <w:rPr>
                <w:spacing w:val="-60"/>
              </w:rPr>
              <w:t xml:space="preserve"> </w:t>
            </w:r>
            <w:r w:rsidRPr="00FA5477">
              <w:t>asignado</w:t>
            </w:r>
          </w:p>
        </w:tc>
        <w:tc>
          <w:tcPr>
            <w:tcW w:w="3987" w:type="dxa"/>
            <w:shd w:val="clear" w:color="auto" w:fill="auto"/>
            <w:vAlign w:val="center"/>
          </w:tcPr>
          <w:p w14:paraId="4D34E0A8" w14:textId="0AF4BC05" w:rsidR="003857D6" w:rsidRPr="00FA5477" w:rsidRDefault="00A3281B" w:rsidP="00001B82">
            <w:pPr>
              <w:pStyle w:val="TableParagraph"/>
              <w:ind w:right="1249"/>
              <w:jc w:val="right"/>
            </w:pPr>
            <w:r>
              <w:t>$</w:t>
            </w:r>
            <w:r w:rsidR="00ED1727" w:rsidRPr="00FA5477">
              <w:t>2,179</w:t>
            </w:r>
            <w:r w:rsidR="000A42A1" w:rsidRPr="00FA5477">
              <w:t>,</w:t>
            </w:r>
            <w:r w:rsidR="00ED1727" w:rsidRPr="00FA5477">
              <w:t>275</w:t>
            </w:r>
          </w:p>
        </w:tc>
      </w:tr>
      <w:tr w:rsidR="003857D6" w:rsidRPr="00FA5477" w14:paraId="60DE2A49" w14:textId="77777777" w:rsidTr="00B36C53">
        <w:trPr>
          <w:trHeight w:val="673"/>
        </w:trPr>
        <w:tc>
          <w:tcPr>
            <w:tcW w:w="6193" w:type="dxa"/>
            <w:shd w:val="clear" w:color="auto" w:fill="F1F1F1"/>
          </w:tcPr>
          <w:p w14:paraId="64C09668" w14:textId="09EE6303" w:rsidR="003857D6" w:rsidRPr="00FA5477" w:rsidRDefault="003857D6" w:rsidP="00001B82">
            <w:pPr>
              <w:pStyle w:val="TableParagraph"/>
              <w:spacing w:before="57" w:line="264" w:lineRule="auto"/>
              <w:ind w:left="57" w:right="94"/>
            </w:pPr>
            <w:r w:rsidRPr="00FA5477">
              <w:t>Monto de la solicitud de fondos de</w:t>
            </w:r>
            <w:r w:rsidR="00001B82" w:rsidRPr="00FA5477">
              <w:t xml:space="preserve"> contrapartida (si corresponde)</w:t>
            </w:r>
          </w:p>
        </w:tc>
        <w:tc>
          <w:tcPr>
            <w:tcW w:w="3987" w:type="dxa"/>
            <w:shd w:val="clear" w:color="auto" w:fill="auto"/>
            <w:vAlign w:val="center"/>
          </w:tcPr>
          <w:p w14:paraId="4B56ED65" w14:textId="4961FE1D" w:rsidR="003857D6" w:rsidRPr="00FA5477" w:rsidRDefault="000A42A1" w:rsidP="008B2B26">
            <w:pPr>
              <w:pStyle w:val="TableParagraph"/>
            </w:pPr>
            <w:r w:rsidRPr="00FA5477">
              <w:t>No aplica</w:t>
            </w:r>
          </w:p>
        </w:tc>
      </w:tr>
    </w:tbl>
    <w:p w14:paraId="46091041" w14:textId="77777777" w:rsidR="003857D6" w:rsidRPr="00FA5477" w:rsidRDefault="003857D6" w:rsidP="003857D6">
      <w:pPr>
        <w:pStyle w:val="Textoindependiente"/>
        <w:spacing w:before="120" w:line="264" w:lineRule="auto"/>
        <w:ind w:left="112" w:right="486"/>
        <w:jc w:val="both"/>
      </w:pPr>
      <w:r w:rsidRPr="00FA5477">
        <w:t>Consulte en</w:t>
      </w:r>
      <w:r w:rsidRPr="00FA5477">
        <w:rPr>
          <w:spacing w:val="1"/>
        </w:rPr>
        <w:t xml:space="preserve"> </w:t>
      </w:r>
      <w:r w:rsidRPr="00FA5477">
        <w:t>las</w:t>
      </w:r>
      <w:r w:rsidRPr="00FA5477">
        <w:rPr>
          <w:spacing w:val="1"/>
        </w:rPr>
        <w:t xml:space="preserve"> </w:t>
      </w:r>
      <w:hyperlink r:id="rId9">
        <w:r w:rsidRPr="00FA5477">
          <w:rPr>
            <w:color w:val="2D4DF8"/>
            <w:u w:val="single" w:color="2D4DF8"/>
          </w:rPr>
          <w:t>Instrucciones de</w:t>
        </w:r>
        <w:r w:rsidRPr="00FA5477">
          <w:rPr>
            <w:color w:val="2D4DF8"/>
            <w:spacing w:val="1"/>
            <w:u w:val="single" w:color="2D4DF8"/>
          </w:rPr>
          <w:t xml:space="preserve"> </w:t>
        </w:r>
        <w:r w:rsidRPr="00FA5477">
          <w:rPr>
            <w:color w:val="2D4DF8"/>
            <w:u w:val="single" w:color="2D4DF8"/>
          </w:rPr>
          <w:t>la</w:t>
        </w:r>
        <w:r w:rsidRPr="00FA5477">
          <w:rPr>
            <w:color w:val="2D4DF8"/>
            <w:spacing w:val="1"/>
            <w:u w:val="single" w:color="2D4DF8"/>
          </w:rPr>
          <w:t xml:space="preserve"> </w:t>
        </w:r>
        <w:r w:rsidRPr="00FA5477">
          <w:rPr>
            <w:color w:val="2D4DF8"/>
            <w:u w:val="single" w:color="2D4DF8"/>
          </w:rPr>
          <w:t>solicitud</w:t>
        </w:r>
        <w:r w:rsidRPr="00FA5477">
          <w:rPr>
            <w:color w:val="2D4DF8"/>
            <w:spacing w:val="1"/>
            <w:u w:val="single" w:color="2D4DF8"/>
          </w:rPr>
          <w:t xml:space="preserve"> </w:t>
        </w:r>
        <w:r w:rsidRPr="00FA5477">
          <w:rPr>
            <w:color w:val="2D4DF8"/>
            <w:u w:val="single" w:color="2D4DF8"/>
          </w:rPr>
          <w:t>de financiamiento adaptada</w:t>
        </w:r>
        <w:r w:rsidRPr="00FA5477">
          <w:rPr>
            <w:color w:val="2D4DF8"/>
            <w:spacing w:val="1"/>
            <w:u w:val="single" w:color="2D4DF8"/>
          </w:rPr>
          <w:t xml:space="preserve"> </w:t>
        </w:r>
        <w:r w:rsidRPr="00FA5477">
          <w:rPr>
            <w:color w:val="2D4DF8"/>
            <w:u w:val="single" w:color="2D4DF8"/>
          </w:rPr>
          <w:t>a</w:t>
        </w:r>
        <w:r w:rsidRPr="00FA5477">
          <w:rPr>
            <w:color w:val="2D4DF8"/>
            <w:spacing w:val="1"/>
            <w:u w:val="single" w:color="2D4DF8"/>
          </w:rPr>
          <w:t xml:space="preserve"> </w:t>
        </w:r>
        <w:r w:rsidRPr="00FA5477">
          <w:rPr>
            <w:color w:val="2D4DF8"/>
            <w:u w:val="single" w:color="2D4DF8"/>
          </w:rPr>
          <w:t>los portafolios</w:t>
        </w:r>
      </w:hyperlink>
      <w:r w:rsidRPr="00FA5477">
        <w:rPr>
          <w:color w:val="2D4DF8"/>
          <w:spacing w:val="1"/>
        </w:rPr>
        <w:t xml:space="preserve"> </w:t>
      </w:r>
      <w:hyperlink r:id="rId10">
        <w:r w:rsidRPr="00FA5477">
          <w:rPr>
            <w:color w:val="2D4DF8"/>
            <w:u w:val="single" w:color="2D4DF8"/>
          </w:rPr>
          <w:t>enfocados</w:t>
        </w:r>
        <w:r w:rsidRPr="00FA5477">
          <w:rPr>
            <w:color w:val="2D4DF8"/>
          </w:rPr>
          <w:t xml:space="preserve"> </w:t>
        </w:r>
      </w:hyperlink>
      <w:r w:rsidRPr="00FA5477">
        <w:t>cuáles son los elementos detallados relacionados con cada pregunta que se deben</w:t>
      </w:r>
      <w:r w:rsidRPr="00FA5477">
        <w:rPr>
          <w:spacing w:val="1"/>
        </w:rPr>
        <w:t xml:space="preserve"> </w:t>
      </w:r>
      <w:r w:rsidRPr="00FA5477">
        <w:t>abordar para que la respuesta se considere completa. Las instrucciones también incluyen</w:t>
      </w:r>
      <w:r w:rsidRPr="00FA5477">
        <w:rPr>
          <w:spacing w:val="1"/>
        </w:rPr>
        <w:t xml:space="preserve"> </w:t>
      </w:r>
      <w:r w:rsidRPr="00FA5477">
        <w:t>información, recursos y una descripción de los documentos necesarios que se deben presentar</w:t>
      </w:r>
      <w:r w:rsidRPr="00FA5477">
        <w:rPr>
          <w:spacing w:val="1"/>
        </w:rPr>
        <w:t xml:space="preserve"> </w:t>
      </w:r>
      <w:r w:rsidRPr="00FA5477">
        <w:t>junto con</w:t>
      </w:r>
      <w:r w:rsidRPr="00FA5477">
        <w:rPr>
          <w:spacing w:val="-2"/>
        </w:rPr>
        <w:t xml:space="preserve"> </w:t>
      </w:r>
      <w:r w:rsidRPr="00FA5477">
        <w:t>este</w:t>
      </w:r>
      <w:r w:rsidRPr="00FA5477">
        <w:rPr>
          <w:spacing w:val="-1"/>
        </w:rPr>
        <w:t xml:space="preserve"> </w:t>
      </w:r>
      <w:r w:rsidRPr="00FA5477">
        <w:t>formulario.</w:t>
      </w:r>
    </w:p>
    <w:p w14:paraId="64C1705E" w14:textId="0DCA89B9" w:rsidR="003857D6" w:rsidRPr="00FA5477" w:rsidRDefault="003857D6" w:rsidP="003857D6">
      <w:pPr>
        <w:pStyle w:val="Textoindependiente"/>
        <w:rPr>
          <w:sz w:val="20"/>
        </w:rPr>
      </w:pPr>
    </w:p>
    <w:p w14:paraId="23DC28FF" w14:textId="1269472E" w:rsidR="003857D6" w:rsidRPr="00FA5477" w:rsidRDefault="003857D6" w:rsidP="003857D6">
      <w:pPr>
        <w:pStyle w:val="Textoindependiente"/>
        <w:spacing w:before="11"/>
        <w:rPr>
          <w:sz w:val="27"/>
        </w:rPr>
      </w:pPr>
    </w:p>
    <w:p w14:paraId="501D8D63" w14:textId="21D7CF5C" w:rsidR="003857D6" w:rsidRPr="00FA5477" w:rsidRDefault="00744B92" w:rsidP="003857D6">
      <w:pPr>
        <w:pStyle w:val="Textoindependiente"/>
        <w:spacing w:before="1"/>
        <w:rPr>
          <w:sz w:val="6"/>
        </w:rPr>
      </w:pPr>
      <w:r w:rsidRPr="00FA5477">
        <w:rPr>
          <w:noProof/>
        </w:rPr>
        <w:drawing>
          <wp:anchor distT="0" distB="0" distL="0" distR="0" simplePos="0" relativeHeight="487596544" behindDoc="1" locked="0" layoutInCell="1" allowOverlap="1" wp14:anchorId="63C4E7AC" wp14:editId="6F3AC866">
            <wp:simplePos x="0" y="0"/>
            <wp:positionH relativeFrom="margin">
              <wp:align>left</wp:align>
            </wp:positionH>
            <wp:positionV relativeFrom="page">
              <wp:posOffset>10095230</wp:posOffset>
            </wp:positionV>
            <wp:extent cx="1462405" cy="146685"/>
            <wp:effectExtent l="0" t="0" r="4445" b="5715"/>
            <wp:wrapNone/>
            <wp:docPr id="7126234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1462405" cy="146685"/>
                    </a:xfrm>
                    <a:prstGeom prst="rect">
                      <a:avLst/>
                    </a:prstGeom>
                  </pic:spPr>
                </pic:pic>
              </a:graphicData>
            </a:graphic>
          </wp:anchor>
        </w:drawing>
      </w:r>
    </w:p>
    <w:p w14:paraId="18C5E523" w14:textId="77777777" w:rsidR="003857D6" w:rsidRPr="00FA5477" w:rsidRDefault="003857D6" w:rsidP="003857D6">
      <w:pPr>
        <w:rPr>
          <w:sz w:val="6"/>
        </w:rPr>
        <w:sectPr w:rsidR="003857D6" w:rsidRPr="00FA5477" w:rsidSect="003632F2">
          <w:pgSz w:w="11910" w:h="16840"/>
          <w:pgMar w:top="0" w:right="360" w:bottom="0" w:left="740" w:header="720" w:footer="720" w:gutter="0"/>
          <w:cols w:space="720"/>
        </w:sectPr>
      </w:pPr>
    </w:p>
    <w:p w14:paraId="581A5DB0" w14:textId="3D26D1F0" w:rsidR="003857D6" w:rsidRPr="00FA5477" w:rsidRDefault="00526060" w:rsidP="00744B92">
      <w:pPr>
        <w:pStyle w:val="Textoindependiente"/>
        <w:rPr>
          <w:sz w:val="14"/>
        </w:rPr>
      </w:pPr>
      <w:r w:rsidRPr="00FA5477">
        <w:rPr>
          <w:noProof/>
        </w:rPr>
        <mc:AlternateContent>
          <mc:Choice Requires="wps">
            <w:drawing>
              <wp:anchor distT="0" distB="0" distL="0" distR="0" simplePos="0" relativeHeight="487594496" behindDoc="1" locked="0" layoutInCell="1" allowOverlap="1" wp14:anchorId="14CF5C35" wp14:editId="0E96948F">
                <wp:simplePos x="0" y="0"/>
                <wp:positionH relativeFrom="page">
                  <wp:posOffset>469900</wp:posOffset>
                </wp:positionH>
                <wp:positionV relativeFrom="paragraph">
                  <wp:posOffset>94615</wp:posOffset>
                </wp:positionV>
                <wp:extent cx="6482715" cy="6350"/>
                <wp:effectExtent l="0" t="0" r="0" b="0"/>
                <wp:wrapTopAndBottom/>
                <wp:docPr id="1398071194" name="Forma libre: forma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2715" cy="6350"/>
                        </a:xfrm>
                        <a:custGeom>
                          <a:avLst/>
                          <a:gdLst>
                            <a:gd name="T0" fmla="+- 0 8833 874"/>
                            <a:gd name="T1" fmla="*/ T0 w 10209"/>
                            <a:gd name="T2" fmla="+- 0 361 361"/>
                            <a:gd name="T3" fmla="*/ 361 h 10"/>
                            <a:gd name="T4" fmla="+- 0 8824 874"/>
                            <a:gd name="T5" fmla="*/ T4 w 10209"/>
                            <a:gd name="T6" fmla="+- 0 361 361"/>
                            <a:gd name="T7" fmla="*/ 361 h 10"/>
                            <a:gd name="T8" fmla="+- 0 5883 874"/>
                            <a:gd name="T9" fmla="*/ T8 w 10209"/>
                            <a:gd name="T10" fmla="+- 0 361 361"/>
                            <a:gd name="T11" fmla="*/ 361 h 10"/>
                            <a:gd name="T12" fmla="+- 0 5874 874"/>
                            <a:gd name="T13" fmla="*/ T12 w 10209"/>
                            <a:gd name="T14" fmla="+- 0 361 361"/>
                            <a:gd name="T15" fmla="*/ 361 h 10"/>
                            <a:gd name="T16" fmla="+- 0 874 874"/>
                            <a:gd name="T17" fmla="*/ T16 w 10209"/>
                            <a:gd name="T18" fmla="+- 0 361 361"/>
                            <a:gd name="T19" fmla="*/ 361 h 10"/>
                            <a:gd name="T20" fmla="+- 0 874 874"/>
                            <a:gd name="T21" fmla="*/ T20 w 10209"/>
                            <a:gd name="T22" fmla="+- 0 370 361"/>
                            <a:gd name="T23" fmla="*/ 370 h 10"/>
                            <a:gd name="T24" fmla="+- 0 5874 874"/>
                            <a:gd name="T25" fmla="*/ T24 w 10209"/>
                            <a:gd name="T26" fmla="+- 0 370 361"/>
                            <a:gd name="T27" fmla="*/ 370 h 10"/>
                            <a:gd name="T28" fmla="+- 0 5883 874"/>
                            <a:gd name="T29" fmla="*/ T28 w 10209"/>
                            <a:gd name="T30" fmla="+- 0 370 361"/>
                            <a:gd name="T31" fmla="*/ 370 h 10"/>
                            <a:gd name="T32" fmla="+- 0 8824 874"/>
                            <a:gd name="T33" fmla="*/ T32 w 10209"/>
                            <a:gd name="T34" fmla="+- 0 370 361"/>
                            <a:gd name="T35" fmla="*/ 370 h 10"/>
                            <a:gd name="T36" fmla="+- 0 8833 874"/>
                            <a:gd name="T37" fmla="*/ T36 w 10209"/>
                            <a:gd name="T38" fmla="+- 0 370 361"/>
                            <a:gd name="T39" fmla="*/ 370 h 10"/>
                            <a:gd name="T40" fmla="+- 0 8833 874"/>
                            <a:gd name="T41" fmla="*/ T40 w 10209"/>
                            <a:gd name="T42" fmla="+- 0 361 361"/>
                            <a:gd name="T43" fmla="*/ 361 h 10"/>
                            <a:gd name="T44" fmla="+- 0 11083 874"/>
                            <a:gd name="T45" fmla="*/ T44 w 10209"/>
                            <a:gd name="T46" fmla="+- 0 361 361"/>
                            <a:gd name="T47" fmla="*/ 361 h 10"/>
                            <a:gd name="T48" fmla="+- 0 8833 874"/>
                            <a:gd name="T49" fmla="*/ T48 w 10209"/>
                            <a:gd name="T50" fmla="+- 0 361 361"/>
                            <a:gd name="T51" fmla="*/ 361 h 10"/>
                            <a:gd name="T52" fmla="+- 0 8833 874"/>
                            <a:gd name="T53" fmla="*/ T52 w 10209"/>
                            <a:gd name="T54" fmla="+- 0 370 361"/>
                            <a:gd name="T55" fmla="*/ 370 h 10"/>
                            <a:gd name="T56" fmla="+- 0 11083 874"/>
                            <a:gd name="T57" fmla="*/ T56 w 10209"/>
                            <a:gd name="T58" fmla="+- 0 370 361"/>
                            <a:gd name="T59" fmla="*/ 370 h 10"/>
                            <a:gd name="T60" fmla="+- 0 11083 874"/>
                            <a:gd name="T61" fmla="*/ T60 w 10209"/>
                            <a:gd name="T62" fmla="+- 0 361 361"/>
                            <a:gd name="T63" fmla="*/ 361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209" h="10">
                              <a:moveTo>
                                <a:pt x="7959" y="0"/>
                              </a:moveTo>
                              <a:lnTo>
                                <a:pt x="7950" y="0"/>
                              </a:lnTo>
                              <a:lnTo>
                                <a:pt x="5009" y="0"/>
                              </a:lnTo>
                              <a:lnTo>
                                <a:pt x="5000" y="0"/>
                              </a:lnTo>
                              <a:lnTo>
                                <a:pt x="0" y="0"/>
                              </a:lnTo>
                              <a:lnTo>
                                <a:pt x="0" y="9"/>
                              </a:lnTo>
                              <a:lnTo>
                                <a:pt x="5000" y="9"/>
                              </a:lnTo>
                              <a:lnTo>
                                <a:pt x="5009" y="9"/>
                              </a:lnTo>
                              <a:lnTo>
                                <a:pt x="7950" y="9"/>
                              </a:lnTo>
                              <a:lnTo>
                                <a:pt x="7959" y="9"/>
                              </a:lnTo>
                              <a:lnTo>
                                <a:pt x="7959" y="0"/>
                              </a:lnTo>
                              <a:close/>
                              <a:moveTo>
                                <a:pt x="10209" y="0"/>
                              </a:moveTo>
                              <a:lnTo>
                                <a:pt x="7959" y="0"/>
                              </a:lnTo>
                              <a:lnTo>
                                <a:pt x="7959" y="9"/>
                              </a:lnTo>
                              <a:lnTo>
                                <a:pt x="10209" y="9"/>
                              </a:lnTo>
                              <a:lnTo>
                                <a:pt x="10209"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8E8E9" id="Forma libre: forma 10" o:spid="_x0000_s1026" style="position:absolute;margin-left:37pt;margin-top:7.45pt;width:510.45pt;height:.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" path="m7959,r-9,l5009,r-9,l,,,9r5000,l5009,9r2941,l7959,9r,-9xm10209,l7959,r,9l10209,9r,-9xe" fillcolor="black" stroked="f">
                <v:path arrowok="t" o:connecttype="custom" o:connectlocs="5053965,229235;5048250,229235;3180715,229235;3175000,229235;0,229235;0,234950;3175000,234950;3180715,234950;5048250,234950;5053965,234950;5053965,229235;6482715,229235;5053965,229235;5053965,234950;6482715,234950;6482715,229235" o:connectangles="0,0,0,0,0,0,0,0,0,0,0,0,0,0,0,0"/>
                <w10:wrap type="topAndBottom" anchorx="page"/>
              </v:shape>
            </w:pict>
          </mc:Fallback>
        </mc:AlternateContent>
      </w:r>
      <w:r w:rsidR="003857D6" w:rsidRPr="00FA5477">
        <w:rPr>
          <w:noProof/>
        </w:rPr>
        <w:drawing>
          <wp:anchor distT="0" distB="0" distL="0" distR="0" simplePos="0" relativeHeight="487592448" behindDoc="1" locked="0" layoutInCell="1" allowOverlap="1" wp14:anchorId="261A9E2A" wp14:editId="73C4E2BC">
            <wp:simplePos x="0" y="0"/>
            <wp:positionH relativeFrom="page">
              <wp:posOffset>0</wp:posOffset>
            </wp:positionH>
            <wp:positionV relativeFrom="page">
              <wp:posOffset>0</wp:posOffset>
            </wp:positionV>
            <wp:extent cx="7558277" cy="146747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7558277" cy="1467474"/>
                    </a:xfrm>
                    <a:prstGeom prst="rect">
                      <a:avLst/>
                    </a:prstGeom>
                  </pic:spPr>
                </pic:pic>
              </a:graphicData>
            </a:graphic>
          </wp:anchor>
        </w:drawing>
      </w:r>
      <w:r w:rsidR="003857D6" w:rsidRPr="00FA5477">
        <w:rPr>
          <w:sz w:val="14"/>
        </w:rPr>
        <w:t>Formulario de solicitud de financiamiento adaptada a los portafolios enfocados</w:t>
      </w:r>
      <w:r w:rsidR="003857D6" w:rsidRPr="00FA5477">
        <w:rPr>
          <w:spacing w:val="-37"/>
          <w:sz w:val="14"/>
        </w:rPr>
        <w:t xml:space="preserve"> </w:t>
      </w:r>
      <w:r w:rsidR="003857D6" w:rsidRPr="00FA5477">
        <w:rPr>
          <w:sz w:val="14"/>
        </w:rPr>
        <w:t>Fecha de</w:t>
      </w:r>
      <w:r w:rsidR="003857D6" w:rsidRPr="00FA5477">
        <w:rPr>
          <w:spacing w:val="1"/>
          <w:sz w:val="14"/>
        </w:rPr>
        <w:t xml:space="preserve"> </w:t>
      </w:r>
      <w:r w:rsidR="003857D6" w:rsidRPr="00FA5477">
        <w:rPr>
          <w:sz w:val="14"/>
        </w:rPr>
        <w:t>publicación: Noviembre</w:t>
      </w:r>
      <w:r w:rsidR="003857D6" w:rsidRPr="00FA5477">
        <w:rPr>
          <w:spacing w:val="-2"/>
          <w:sz w:val="14"/>
        </w:rPr>
        <w:t xml:space="preserve"> </w:t>
      </w:r>
      <w:r w:rsidR="003857D6" w:rsidRPr="00FA5477">
        <w:rPr>
          <w:sz w:val="14"/>
        </w:rPr>
        <w:t>de</w:t>
      </w:r>
      <w:r w:rsidR="003857D6" w:rsidRPr="00FA5477">
        <w:rPr>
          <w:spacing w:val="1"/>
          <w:sz w:val="14"/>
        </w:rPr>
        <w:t xml:space="preserve"> </w:t>
      </w:r>
      <w:r w:rsidR="003857D6" w:rsidRPr="00FA5477">
        <w:rPr>
          <w:sz w:val="14"/>
        </w:rPr>
        <w:t>2022</w:t>
      </w:r>
    </w:p>
    <w:p w14:paraId="068907CE" w14:textId="54CDAD44" w:rsidR="003857D6" w:rsidRPr="00FA5477" w:rsidRDefault="003857D6" w:rsidP="003857D6">
      <w:pPr>
        <w:spacing w:before="79"/>
        <w:ind w:left="133"/>
        <w:rPr>
          <w:rFonts w:ascii="Arial Black" w:hAnsi="Arial Black"/>
          <w:sz w:val="18"/>
        </w:rPr>
      </w:pPr>
      <w:r w:rsidRPr="00FA5477">
        <w:br w:type="column"/>
      </w:r>
      <w:r w:rsidRPr="00FA5477">
        <w:rPr>
          <w:rFonts w:ascii="Arial Black" w:hAnsi="Arial Black"/>
          <w:sz w:val="18"/>
        </w:rPr>
        <w:t>Página</w:t>
      </w:r>
      <w:r w:rsidRPr="00FA5477">
        <w:rPr>
          <w:rFonts w:ascii="Arial Black" w:hAnsi="Arial Black"/>
          <w:spacing w:val="-3"/>
          <w:sz w:val="18"/>
        </w:rPr>
        <w:t xml:space="preserve"> </w:t>
      </w:r>
      <w:r w:rsidRPr="00FA5477">
        <w:rPr>
          <w:rFonts w:ascii="Arial Black" w:hAnsi="Arial Black"/>
          <w:sz w:val="18"/>
        </w:rPr>
        <w:t>1</w:t>
      </w:r>
      <w:r w:rsidRPr="00FA5477">
        <w:rPr>
          <w:rFonts w:ascii="Arial Black" w:hAnsi="Arial Black"/>
          <w:spacing w:val="-3"/>
          <w:sz w:val="18"/>
        </w:rPr>
        <w:t xml:space="preserve"> </w:t>
      </w:r>
      <w:r w:rsidRPr="00FA5477">
        <w:rPr>
          <w:rFonts w:ascii="Arial Black" w:hAnsi="Arial Black"/>
          <w:sz w:val="18"/>
        </w:rPr>
        <w:t>de</w:t>
      </w:r>
      <w:r w:rsidRPr="00FA5477">
        <w:rPr>
          <w:rFonts w:ascii="Arial Black" w:hAnsi="Arial Black"/>
          <w:spacing w:val="-3"/>
          <w:sz w:val="18"/>
        </w:rPr>
        <w:t xml:space="preserve"> </w:t>
      </w:r>
      <w:r w:rsidR="00420910" w:rsidRPr="00FA5477">
        <w:rPr>
          <w:rFonts w:ascii="Arial Black" w:hAnsi="Arial Black"/>
          <w:sz w:val="18"/>
        </w:rPr>
        <w:t>3</w:t>
      </w:r>
      <w:r w:rsidR="00744B92">
        <w:rPr>
          <w:rFonts w:ascii="Arial Black" w:hAnsi="Arial Black"/>
          <w:sz w:val="18"/>
        </w:rPr>
        <w:t>6</w:t>
      </w:r>
    </w:p>
    <w:p w14:paraId="51FD0C4D" w14:textId="77777777" w:rsidR="003857D6" w:rsidRPr="00FA5477" w:rsidRDefault="003857D6" w:rsidP="003857D6">
      <w:pPr>
        <w:rPr>
          <w:rFonts w:ascii="Arial Black" w:hAnsi="Arial Black"/>
          <w:sz w:val="18"/>
        </w:rPr>
        <w:sectPr w:rsidR="003857D6" w:rsidRPr="00FA5477" w:rsidSect="003632F2">
          <w:type w:val="continuous"/>
          <w:pgSz w:w="11910" w:h="16840"/>
          <w:pgMar w:top="0" w:right="360" w:bottom="0" w:left="740" w:header="720" w:footer="720" w:gutter="0"/>
          <w:cols w:num="2" w:space="720" w:equalWidth="0">
            <w:col w:w="5045" w:space="3833"/>
            <w:col w:w="1932"/>
          </w:cols>
        </w:sectPr>
      </w:pPr>
    </w:p>
    <w:p w14:paraId="3F07358A" w14:textId="77777777" w:rsidR="000F3D1A" w:rsidRPr="00FA5477" w:rsidRDefault="008B2B26">
      <w:pPr>
        <w:pStyle w:val="Ttulo1"/>
        <w:spacing w:before="146"/>
      </w:pPr>
      <w:r w:rsidRPr="00FA5477">
        <w:t>Sección</w:t>
      </w:r>
      <w:r w:rsidRPr="00FA5477">
        <w:rPr>
          <w:spacing w:val="-3"/>
        </w:rPr>
        <w:t xml:space="preserve"> </w:t>
      </w:r>
      <w:r w:rsidRPr="00FA5477">
        <w:t>1.</w:t>
      </w:r>
      <w:r w:rsidRPr="00FA5477">
        <w:rPr>
          <w:spacing w:val="-3"/>
        </w:rPr>
        <w:t xml:space="preserve"> </w:t>
      </w:r>
      <w:r w:rsidRPr="00FA5477">
        <w:t>Solicitud</w:t>
      </w:r>
      <w:r w:rsidRPr="00FA5477">
        <w:rPr>
          <w:spacing w:val="-3"/>
        </w:rPr>
        <w:t xml:space="preserve"> </w:t>
      </w:r>
      <w:r w:rsidRPr="00FA5477">
        <w:t>de</w:t>
      </w:r>
      <w:r w:rsidRPr="00FA5477">
        <w:rPr>
          <w:spacing w:val="-3"/>
        </w:rPr>
        <w:t xml:space="preserve"> </w:t>
      </w:r>
      <w:r w:rsidRPr="00FA5477">
        <w:t>financiamiento</w:t>
      </w:r>
      <w:r w:rsidRPr="00FA5477">
        <w:rPr>
          <w:spacing w:val="-3"/>
        </w:rPr>
        <w:t xml:space="preserve"> </w:t>
      </w:r>
      <w:r w:rsidRPr="00FA5477">
        <w:t>y</w:t>
      </w:r>
      <w:r w:rsidRPr="00FA5477">
        <w:rPr>
          <w:spacing w:val="-2"/>
        </w:rPr>
        <w:t xml:space="preserve"> </w:t>
      </w:r>
      <w:r w:rsidRPr="00FA5477">
        <w:t>justificación</w:t>
      </w:r>
    </w:p>
    <w:p w14:paraId="49117731" w14:textId="77777777" w:rsidR="000F3D1A" w:rsidRPr="00FA5477" w:rsidRDefault="008B2B26">
      <w:pPr>
        <w:pStyle w:val="Ttulo3"/>
        <w:numPr>
          <w:ilvl w:val="1"/>
          <w:numId w:val="3"/>
        </w:numPr>
        <w:tabs>
          <w:tab w:val="left" w:pos="831"/>
          <w:tab w:val="left" w:pos="832"/>
        </w:tabs>
        <w:jc w:val="left"/>
        <w:rPr>
          <w:rFonts w:ascii="Arial MT"/>
          <w:b w:val="0"/>
        </w:rPr>
      </w:pPr>
      <w:r w:rsidRPr="00FA5477">
        <w:t>Solicitud</w:t>
      </w:r>
      <w:r w:rsidRPr="00FA5477">
        <w:rPr>
          <w:spacing w:val="-1"/>
        </w:rPr>
        <w:t xml:space="preserve"> </w:t>
      </w:r>
      <w:r w:rsidRPr="00FA5477">
        <w:t>priorizada</w:t>
      </w:r>
      <w:r w:rsidRPr="00FA5477">
        <w:rPr>
          <w:rFonts w:ascii="Arial MT"/>
          <w:b w:val="0"/>
        </w:rPr>
        <w:t>:</w:t>
      </w:r>
    </w:p>
    <w:p w14:paraId="4A6EFC07" w14:textId="14785505" w:rsidR="00605630" w:rsidRPr="00FA5477" w:rsidRDefault="00605630" w:rsidP="00CF3598">
      <w:pPr>
        <w:tabs>
          <w:tab w:val="left" w:pos="832"/>
        </w:tabs>
        <w:spacing w:before="147" w:line="264" w:lineRule="auto"/>
        <w:ind w:left="471" w:right="118"/>
        <w:jc w:val="both"/>
        <w:rPr>
          <w:sz w:val="24"/>
        </w:rPr>
      </w:pPr>
      <w:r w:rsidRPr="00FA5477">
        <w:rPr>
          <w:sz w:val="24"/>
          <w:szCs w:val="24"/>
        </w:rPr>
        <w:t>Esta solicitud de financiamiento consta de dos elementos para su implementación. La sección 1.1A, contiene los módulos e intervenciones que serán implementadas por el RP-Plan International (PLAN), financiadas a partir de</w:t>
      </w:r>
      <w:r w:rsidR="00C01CB3" w:rsidRPr="00FA5477">
        <w:rPr>
          <w:sz w:val="24"/>
          <w:szCs w:val="24"/>
        </w:rPr>
        <w:t xml:space="preserve"> la</w:t>
      </w:r>
      <w:r w:rsidRPr="00FA5477">
        <w:rPr>
          <w:sz w:val="24"/>
          <w:szCs w:val="24"/>
        </w:rPr>
        <w:t xml:space="preserve"> </w:t>
      </w:r>
      <w:r w:rsidR="00C01CB3" w:rsidRPr="00FA5477">
        <w:rPr>
          <w:sz w:val="24"/>
          <w:szCs w:val="24"/>
        </w:rPr>
        <w:t xml:space="preserve">modalidad de </w:t>
      </w:r>
      <w:r w:rsidRPr="00FA5477">
        <w:rPr>
          <w:sz w:val="24"/>
          <w:szCs w:val="24"/>
        </w:rPr>
        <w:t>insumos</w:t>
      </w:r>
      <w:r w:rsidR="00C01CB3" w:rsidRPr="00FA5477">
        <w:rPr>
          <w:sz w:val="24"/>
          <w:szCs w:val="24"/>
        </w:rPr>
        <w:t xml:space="preserve"> (paquetes de prevención, servicios diferenciados de diagnóstico de VIH, gestión de programas y SSRS sistemas de monitoreo y evaluación)</w:t>
      </w:r>
      <w:r w:rsidRPr="00FA5477">
        <w:rPr>
          <w:sz w:val="24"/>
          <w:szCs w:val="24"/>
        </w:rPr>
        <w:t>; y en la sección 1.1B</w:t>
      </w:r>
      <w:r w:rsidR="000A42A1" w:rsidRPr="00FA5477">
        <w:rPr>
          <w:sz w:val="24"/>
          <w:szCs w:val="24"/>
        </w:rPr>
        <w:t>,</w:t>
      </w:r>
      <w:r w:rsidRPr="00FA5477">
        <w:rPr>
          <w:sz w:val="24"/>
          <w:szCs w:val="24"/>
        </w:rPr>
        <w:t xml:space="preserve"> con financiamiento basado en resultados, est</w:t>
      </w:r>
      <w:r w:rsidR="00C01CB3" w:rsidRPr="00FA5477">
        <w:rPr>
          <w:sz w:val="24"/>
          <w:szCs w:val="24"/>
        </w:rPr>
        <w:t>ando</w:t>
      </w:r>
      <w:r w:rsidRPr="00FA5477">
        <w:rPr>
          <w:sz w:val="24"/>
          <w:szCs w:val="24"/>
        </w:rPr>
        <w:t xml:space="preserve"> las metas ligadas a las intervenciones</w:t>
      </w:r>
      <w:r w:rsidR="000A42A1" w:rsidRPr="00FA5477">
        <w:rPr>
          <w:sz w:val="24"/>
          <w:szCs w:val="24"/>
        </w:rPr>
        <w:t>,</w:t>
      </w:r>
      <w:r w:rsidRPr="00FA5477">
        <w:rPr>
          <w:sz w:val="24"/>
          <w:szCs w:val="24"/>
        </w:rPr>
        <w:t xml:space="preserve"> </w:t>
      </w:r>
      <w:r w:rsidR="000A42A1" w:rsidRPr="00FA5477">
        <w:rPr>
          <w:sz w:val="24"/>
          <w:szCs w:val="24"/>
        </w:rPr>
        <w:t xml:space="preserve">será </w:t>
      </w:r>
      <w:r w:rsidRPr="00FA5477">
        <w:rPr>
          <w:sz w:val="24"/>
          <w:szCs w:val="24"/>
        </w:rPr>
        <w:t>implementad</w:t>
      </w:r>
      <w:r w:rsidR="000A42A1" w:rsidRPr="00FA5477">
        <w:rPr>
          <w:sz w:val="24"/>
          <w:szCs w:val="24"/>
        </w:rPr>
        <w:t>o</w:t>
      </w:r>
      <w:r w:rsidRPr="00FA5477">
        <w:rPr>
          <w:sz w:val="24"/>
          <w:szCs w:val="24"/>
        </w:rPr>
        <w:t xml:space="preserve"> por el RP Ministerio de Salud (MINSAL) (suministro de profilaxis pre exposición al VIH -PrEP, adherencia y retención de personas con VIH, y la coinfección TB/VIH). </w:t>
      </w:r>
    </w:p>
    <w:p w14:paraId="3E16666C" w14:textId="6CF9E910" w:rsidR="000F3D1A" w:rsidRPr="00FA5477" w:rsidRDefault="008B2B26">
      <w:pPr>
        <w:pStyle w:val="Prrafodelista"/>
        <w:numPr>
          <w:ilvl w:val="2"/>
          <w:numId w:val="3"/>
        </w:numPr>
        <w:tabs>
          <w:tab w:val="left" w:pos="832"/>
        </w:tabs>
        <w:spacing w:before="147" w:line="264" w:lineRule="auto"/>
        <w:ind w:left="831" w:right="118"/>
        <w:rPr>
          <w:sz w:val="24"/>
        </w:rPr>
      </w:pPr>
      <w:r w:rsidRPr="00FA5477">
        <w:rPr>
          <w:sz w:val="24"/>
        </w:rPr>
        <w:t>Facilite para</w:t>
      </w:r>
      <w:r w:rsidRPr="00FA5477">
        <w:rPr>
          <w:spacing w:val="-2"/>
          <w:sz w:val="24"/>
        </w:rPr>
        <w:t xml:space="preserve"> </w:t>
      </w:r>
      <w:r w:rsidRPr="00FA5477">
        <w:rPr>
          <w:sz w:val="24"/>
        </w:rPr>
        <w:t>cada</w:t>
      </w:r>
      <w:r w:rsidRPr="00FA5477">
        <w:rPr>
          <w:spacing w:val="-3"/>
          <w:sz w:val="24"/>
        </w:rPr>
        <w:t xml:space="preserve"> </w:t>
      </w:r>
      <w:r w:rsidRPr="00FA5477">
        <w:rPr>
          <w:sz w:val="24"/>
        </w:rPr>
        <w:t>módulo,</w:t>
      </w:r>
      <w:r w:rsidRPr="00FA5477">
        <w:rPr>
          <w:spacing w:val="-2"/>
          <w:sz w:val="24"/>
        </w:rPr>
        <w:t xml:space="preserve"> </w:t>
      </w:r>
      <w:r w:rsidRPr="00FA5477">
        <w:rPr>
          <w:sz w:val="24"/>
        </w:rPr>
        <w:t>según</w:t>
      </w:r>
      <w:r w:rsidRPr="00FA5477">
        <w:rPr>
          <w:spacing w:val="-3"/>
          <w:sz w:val="24"/>
        </w:rPr>
        <w:t xml:space="preserve"> </w:t>
      </w:r>
      <w:r w:rsidRPr="00FA5477">
        <w:rPr>
          <w:sz w:val="24"/>
        </w:rPr>
        <w:t>proceda,</w:t>
      </w:r>
      <w:r w:rsidRPr="00FA5477">
        <w:rPr>
          <w:spacing w:val="-2"/>
          <w:sz w:val="24"/>
        </w:rPr>
        <w:t xml:space="preserve"> </w:t>
      </w:r>
      <w:r w:rsidRPr="00FA5477">
        <w:rPr>
          <w:sz w:val="24"/>
        </w:rPr>
        <w:t>información</w:t>
      </w:r>
      <w:r w:rsidRPr="00FA5477">
        <w:rPr>
          <w:spacing w:val="-1"/>
          <w:sz w:val="24"/>
        </w:rPr>
        <w:t xml:space="preserve"> </w:t>
      </w:r>
      <w:r w:rsidRPr="00FA5477">
        <w:rPr>
          <w:sz w:val="24"/>
        </w:rPr>
        <w:t>sobre</w:t>
      </w:r>
      <w:r w:rsidRPr="00FA5477">
        <w:rPr>
          <w:spacing w:val="-2"/>
          <w:sz w:val="24"/>
        </w:rPr>
        <w:t xml:space="preserve"> </w:t>
      </w:r>
      <w:r w:rsidRPr="00FA5477">
        <w:rPr>
          <w:sz w:val="24"/>
        </w:rPr>
        <w:t>el</w:t>
      </w:r>
      <w:r w:rsidRPr="00FA5477">
        <w:rPr>
          <w:spacing w:val="-4"/>
          <w:sz w:val="24"/>
        </w:rPr>
        <w:t xml:space="preserve"> </w:t>
      </w:r>
      <w:r w:rsidRPr="00FA5477">
        <w:rPr>
          <w:sz w:val="24"/>
        </w:rPr>
        <w:t>financiamiento</w:t>
      </w:r>
      <w:r w:rsidRPr="00FA5477">
        <w:rPr>
          <w:spacing w:val="-3"/>
          <w:sz w:val="24"/>
        </w:rPr>
        <w:t xml:space="preserve"> </w:t>
      </w:r>
      <w:r w:rsidRPr="00FA5477">
        <w:rPr>
          <w:sz w:val="24"/>
        </w:rPr>
        <w:t>que</w:t>
      </w:r>
      <w:r w:rsidRPr="00FA5477">
        <w:rPr>
          <w:spacing w:val="-2"/>
          <w:sz w:val="24"/>
        </w:rPr>
        <w:t xml:space="preserve"> </w:t>
      </w:r>
      <w:r w:rsidRPr="00FA5477">
        <w:rPr>
          <w:sz w:val="24"/>
        </w:rPr>
        <w:t>se</w:t>
      </w:r>
      <w:r w:rsidRPr="00FA5477">
        <w:rPr>
          <w:spacing w:val="-2"/>
          <w:sz w:val="24"/>
        </w:rPr>
        <w:t xml:space="preserve"> </w:t>
      </w:r>
      <w:r w:rsidRPr="00FA5477">
        <w:rPr>
          <w:sz w:val="24"/>
        </w:rPr>
        <w:t>solicita</w:t>
      </w:r>
      <w:r w:rsidRPr="00FA5477">
        <w:rPr>
          <w:spacing w:val="-2"/>
          <w:sz w:val="24"/>
        </w:rPr>
        <w:t xml:space="preserve"> </w:t>
      </w:r>
      <w:r w:rsidRPr="00FA5477">
        <w:rPr>
          <w:sz w:val="24"/>
        </w:rPr>
        <w:t>al</w:t>
      </w:r>
      <w:r w:rsidRPr="00FA5477">
        <w:rPr>
          <w:spacing w:val="-2"/>
          <w:sz w:val="24"/>
        </w:rPr>
        <w:t xml:space="preserve"> </w:t>
      </w:r>
      <w:r w:rsidRPr="00FA5477">
        <w:rPr>
          <w:sz w:val="24"/>
        </w:rPr>
        <w:t>Fondo</w:t>
      </w:r>
      <w:r w:rsidRPr="00FA5477">
        <w:rPr>
          <w:spacing w:val="-4"/>
          <w:sz w:val="24"/>
        </w:rPr>
        <w:t xml:space="preserve"> </w:t>
      </w:r>
      <w:r w:rsidRPr="00FA5477">
        <w:rPr>
          <w:sz w:val="24"/>
        </w:rPr>
        <w:t>Mundial,</w:t>
      </w:r>
      <w:r w:rsidRPr="00FA5477">
        <w:rPr>
          <w:spacing w:val="-3"/>
          <w:sz w:val="24"/>
        </w:rPr>
        <w:t xml:space="preserve"> </w:t>
      </w:r>
      <w:r w:rsidRPr="00FA5477">
        <w:rPr>
          <w:sz w:val="24"/>
        </w:rPr>
        <w:t>limitada</w:t>
      </w:r>
      <w:r w:rsidRPr="00FA5477">
        <w:rPr>
          <w:spacing w:val="-4"/>
          <w:sz w:val="24"/>
        </w:rPr>
        <w:t xml:space="preserve"> </w:t>
      </w:r>
      <w:r w:rsidRPr="00FA5477">
        <w:rPr>
          <w:sz w:val="24"/>
        </w:rPr>
        <w:t>a las</w:t>
      </w:r>
      <w:r w:rsidRPr="00FA5477">
        <w:rPr>
          <w:spacing w:val="-5"/>
          <w:sz w:val="24"/>
        </w:rPr>
        <w:t xml:space="preserve"> </w:t>
      </w:r>
      <w:r w:rsidRPr="00FA5477">
        <w:rPr>
          <w:sz w:val="24"/>
        </w:rPr>
        <w:t>áreas</w:t>
      </w:r>
      <w:r w:rsidRPr="00FA5477">
        <w:rPr>
          <w:spacing w:val="-4"/>
          <w:sz w:val="24"/>
        </w:rPr>
        <w:t xml:space="preserve"> </w:t>
      </w:r>
      <w:r w:rsidRPr="00FA5477">
        <w:rPr>
          <w:sz w:val="24"/>
        </w:rPr>
        <w:t>de</w:t>
      </w:r>
      <w:r w:rsidRPr="00FA5477">
        <w:rPr>
          <w:spacing w:val="-64"/>
          <w:sz w:val="24"/>
        </w:rPr>
        <w:t xml:space="preserve"> </w:t>
      </w:r>
      <w:r w:rsidRPr="00FA5477">
        <w:rPr>
          <w:sz w:val="24"/>
        </w:rPr>
        <w:t>atención</w:t>
      </w:r>
      <w:r w:rsidRPr="00FA5477">
        <w:rPr>
          <w:spacing w:val="-1"/>
          <w:sz w:val="24"/>
        </w:rPr>
        <w:t xml:space="preserve"> </w:t>
      </w:r>
      <w:r w:rsidRPr="00FA5477">
        <w:rPr>
          <w:sz w:val="24"/>
        </w:rPr>
        <w:t>indicadas en</w:t>
      </w:r>
      <w:r w:rsidRPr="00FA5477">
        <w:rPr>
          <w:spacing w:val="-1"/>
          <w:sz w:val="24"/>
        </w:rPr>
        <w:t xml:space="preserve"> </w:t>
      </w:r>
      <w:r w:rsidRPr="00FA5477">
        <w:rPr>
          <w:sz w:val="24"/>
        </w:rPr>
        <w:t>la carta</w:t>
      </w:r>
      <w:r w:rsidRPr="00FA5477">
        <w:rPr>
          <w:spacing w:val="-2"/>
          <w:sz w:val="24"/>
        </w:rPr>
        <w:t xml:space="preserve"> </w:t>
      </w:r>
      <w:r w:rsidRPr="00FA5477">
        <w:rPr>
          <w:sz w:val="24"/>
        </w:rPr>
        <w:t>de</w:t>
      </w:r>
      <w:r w:rsidRPr="00FA5477">
        <w:rPr>
          <w:spacing w:val="-3"/>
          <w:sz w:val="24"/>
        </w:rPr>
        <w:t xml:space="preserve"> </w:t>
      </w:r>
      <w:r w:rsidRPr="00FA5477">
        <w:rPr>
          <w:sz w:val="24"/>
        </w:rPr>
        <w:t>asignación</w:t>
      </w:r>
      <w:r w:rsidRPr="00FA5477">
        <w:rPr>
          <w:spacing w:val="-3"/>
          <w:sz w:val="24"/>
        </w:rPr>
        <w:t xml:space="preserve"> </w:t>
      </w:r>
      <w:r w:rsidRPr="00FA5477">
        <w:rPr>
          <w:sz w:val="24"/>
        </w:rPr>
        <w:t>o acordadas</w:t>
      </w:r>
      <w:r w:rsidRPr="00FA5477">
        <w:rPr>
          <w:spacing w:val="-1"/>
          <w:sz w:val="24"/>
        </w:rPr>
        <w:t xml:space="preserve"> </w:t>
      </w:r>
      <w:r w:rsidRPr="00FA5477">
        <w:rPr>
          <w:sz w:val="24"/>
        </w:rPr>
        <w:t>de otro</w:t>
      </w:r>
      <w:r w:rsidRPr="00FA5477">
        <w:rPr>
          <w:spacing w:val="-2"/>
          <w:sz w:val="24"/>
        </w:rPr>
        <w:t xml:space="preserve"> </w:t>
      </w:r>
      <w:r w:rsidRPr="00FA5477">
        <w:rPr>
          <w:sz w:val="24"/>
        </w:rPr>
        <w:t>modo</w:t>
      </w:r>
      <w:r w:rsidRPr="00FA5477">
        <w:rPr>
          <w:spacing w:val="-1"/>
          <w:sz w:val="24"/>
        </w:rPr>
        <w:t xml:space="preserve"> </w:t>
      </w:r>
      <w:r w:rsidRPr="00FA5477">
        <w:rPr>
          <w:sz w:val="24"/>
        </w:rPr>
        <w:t>con</w:t>
      </w:r>
      <w:r w:rsidRPr="00FA5477">
        <w:rPr>
          <w:spacing w:val="-2"/>
          <w:sz w:val="24"/>
        </w:rPr>
        <w:t xml:space="preserve"> </w:t>
      </w:r>
      <w:r w:rsidRPr="00FA5477">
        <w:rPr>
          <w:sz w:val="24"/>
        </w:rPr>
        <w:t>el</w:t>
      </w:r>
      <w:r w:rsidRPr="00FA5477">
        <w:rPr>
          <w:spacing w:val="-1"/>
          <w:sz w:val="24"/>
        </w:rPr>
        <w:t xml:space="preserve"> </w:t>
      </w:r>
      <w:r w:rsidRPr="00FA5477">
        <w:rPr>
          <w:sz w:val="24"/>
        </w:rPr>
        <w:t>Fondo</w:t>
      </w:r>
      <w:r w:rsidRPr="00FA5477">
        <w:rPr>
          <w:spacing w:val="-1"/>
          <w:sz w:val="24"/>
        </w:rPr>
        <w:t xml:space="preserve"> </w:t>
      </w:r>
      <w:r w:rsidRPr="00FA5477">
        <w:rPr>
          <w:sz w:val="24"/>
        </w:rPr>
        <w:t>Mundial.</w:t>
      </w:r>
      <w:r w:rsidR="002420DB" w:rsidRPr="00FA5477">
        <w:rPr>
          <w:sz w:val="24"/>
        </w:rPr>
        <w:t xml:space="preserve"> </w:t>
      </w:r>
    </w:p>
    <w:tbl>
      <w:tblPr>
        <w:tblStyle w:val="TableNormal1"/>
        <w:tblW w:w="0" w:type="auto"/>
        <w:tblInd w:w="1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709"/>
        <w:gridCol w:w="12415"/>
      </w:tblGrid>
      <w:tr w:rsidR="00922DB7" w:rsidRPr="00FA5477" w14:paraId="5F5FA86D" w14:textId="77777777" w:rsidTr="00360383">
        <w:trPr>
          <w:trHeight w:hRule="exact" w:val="525"/>
          <w:tblHeader/>
        </w:trPr>
        <w:tc>
          <w:tcPr>
            <w:tcW w:w="2709" w:type="dxa"/>
            <w:shd w:val="clear" w:color="auto" w:fill="auto"/>
          </w:tcPr>
          <w:p w14:paraId="0CDA1D93" w14:textId="77777777" w:rsidR="00922DB7" w:rsidRPr="00FA5477" w:rsidRDefault="00922DB7" w:rsidP="00922DB7">
            <w:pPr>
              <w:pStyle w:val="TableParagraph"/>
              <w:ind w:left="107"/>
              <w:rPr>
                <w:rFonts w:ascii="Arial" w:hAnsi="Arial"/>
                <w:b/>
                <w:sz w:val="24"/>
              </w:rPr>
            </w:pPr>
            <w:r w:rsidRPr="00FA5477">
              <w:rPr>
                <w:rFonts w:ascii="Arial" w:hAnsi="Arial"/>
                <w:b/>
                <w:sz w:val="24"/>
              </w:rPr>
              <w:t>Módulo</w:t>
            </w:r>
            <w:r w:rsidRPr="00FA5477">
              <w:rPr>
                <w:rFonts w:ascii="Arial" w:hAnsi="Arial"/>
                <w:b/>
                <w:spacing w:val="-2"/>
                <w:sz w:val="24"/>
              </w:rPr>
              <w:t xml:space="preserve"> </w:t>
            </w:r>
            <w:r w:rsidRPr="00FA5477">
              <w:rPr>
                <w:rFonts w:ascii="Arial" w:hAnsi="Arial"/>
                <w:b/>
                <w:sz w:val="24"/>
              </w:rPr>
              <w:t>1</w:t>
            </w:r>
          </w:p>
        </w:tc>
        <w:tc>
          <w:tcPr>
            <w:tcW w:w="12415" w:type="dxa"/>
            <w:tcMar>
              <w:left w:w="85" w:type="dxa"/>
              <w:right w:w="85" w:type="dxa"/>
            </w:tcMar>
            <w:vAlign w:val="center"/>
          </w:tcPr>
          <w:p w14:paraId="26AD3F3C" w14:textId="3509CE60" w:rsidR="00922DB7" w:rsidRPr="00FA5477" w:rsidRDefault="00922DB7" w:rsidP="00922DB7">
            <w:pPr>
              <w:pStyle w:val="TableParagraph"/>
              <w:spacing w:before="120" w:after="120"/>
              <w:ind w:left="105"/>
              <w:rPr>
                <w:rFonts w:ascii="Arial" w:hAnsi="Arial"/>
                <w:b/>
                <w:bCs/>
                <w:sz w:val="24"/>
                <w:szCs w:val="24"/>
              </w:rPr>
            </w:pPr>
            <w:r w:rsidRPr="00FA5477">
              <w:rPr>
                <w:b/>
                <w:bCs/>
                <w:sz w:val="24"/>
                <w:szCs w:val="24"/>
              </w:rPr>
              <w:t>Paquete de prevención para hombres que tienen relaciones sexuales con hombres y sus parejas sexuales</w:t>
            </w:r>
          </w:p>
        </w:tc>
      </w:tr>
      <w:tr w:rsidR="00922DB7" w:rsidRPr="00FA5477" w14:paraId="53C417A9" w14:textId="77777777" w:rsidTr="0081686B">
        <w:trPr>
          <w:trHeight w:hRule="exact" w:val="2933"/>
        </w:trPr>
        <w:tc>
          <w:tcPr>
            <w:tcW w:w="2709" w:type="dxa"/>
            <w:shd w:val="clear" w:color="auto" w:fill="F1F1F1"/>
          </w:tcPr>
          <w:p w14:paraId="73CD504F" w14:textId="77777777" w:rsidR="00922DB7" w:rsidRPr="00FA5477" w:rsidRDefault="00922DB7" w:rsidP="00922DB7">
            <w:pPr>
              <w:pStyle w:val="TableParagraph"/>
              <w:ind w:left="107"/>
              <w:rPr>
                <w:rFonts w:ascii="Arial" w:hAnsi="Arial"/>
                <w:b/>
                <w:sz w:val="24"/>
              </w:rPr>
            </w:pPr>
            <w:r w:rsidRPr="00FA5477">
              <w:rPr>
                <w:rFonts w:ascii="Arial" w:hAnsi="Arial"/>
                <w:b/>
                <w:sz w:val="24"/>
              </w:rPr>
              <w:t>Intervención(es)</w:t>
            </w:r>
          </w:p>
        </w:tc>
        <w:tc>
          <w:tcPr>
            <w:tcW w:w="12415" w:type="dxa"/>
            <w:shd w:val="clear" w:color="auto" w:fill="F1F1F1"/>
            <w:tcMar>
              <w:left w:w="85" w:type="dxa"/>
              <w:right w:w="85" w:type="dxa"/>
            </w:tcMar>
            <w:vAlign w:val="center"/>
          </w:tcPr>
          <w:p w14:paraId="2ED21DF0" w14:textId="77777777" w:rsidR="00216516" w:rsidRPr="00FA5477" w:rsidRDefault="00922DB7" w:rsidP="00216516">
            <w:pPr>
              <w:pStyle w:val="TableParagraph"/>
              <w:spacing w:before="60" w:after="60"/>
              <w:ind w:left="508" w:hanging="400"/>
              <w:jc w:val="both"/>
              <w:rPr>
                <w:b/>
                <w:bCs/>
                <w:sz w:val="24"/>
                <w:szCs w:val="24"/>
              </w:rPr>
            </w:pPr>
            <w:r w:rsidRPr="00FA5477">
              <w:rPr>
                <w:b/>
                <w:bCs/>
                <w:sz w:val="24"/>
                <w:szCs w:val="24"/>
              </w:rPr>
              <w:t>Programas de preservativos y lubricantes para hombres que tienen relaciones sexuales con hombres</w:t>
            </w:r>
          </w:p>
          <w:p w14:paraId="6886FAE1" w14:textId="6FFBED79" w:rsidR="00922DB7" w:rsidRPr="00FA5477" w:rsidRDefault="00922DB7" w:rsidP="00216516">
            <w:pPr>
              <w:pStyle w:val="TableParagraph"/>
              <w:spacing w:before="60" w:after="60"/>
              <w:ind w:left="508" w:hanging="400"/>
              <w:jc w:val="both"/>
              <w:rPr>
                <w:b/>
                <w:bCs/>
                <w:sz w:val="24"/>
                <w:szCs w:val="24"/>
              </w:rPr>
            </w:pPr>
            <w:r w:rsidRPr="00FA5477">
              <w:rPr>
                <w:b/>
                <w:bCs/>
                <w:sz w:val="24"/>
                <w:szCs w:val="24"/>
              </w:rPr>
              <w:t>Programas de profilaxis previa a la exposición (PrEP) para hombres que tienen relaciones sexuales con hombres</w:t>
            </w:r>
          </w:p>
          <w:p w14:paraId="30CAE5D7" w14:textId="77777777" w:rsidR="00922DB7" w:rsidRPr="00FA5477" w:rsidRDefault="00922DB7" w:rsidP="00216516">
            <w:pPr>
              <w:pStyle w:val="TableParagraph"/>
              <w:spacing w:before="60" w:after="60"/>
              <w:ind w:left="508" w:hanging="400"/>
              <w:jc w:val="both"/>
              <w:rPr>
                <w:b/>
                <w:bCs/>
                <w:sz w:val="24"/>
                <w:szCs w:val="24"/>
              </w:rPr>
            </w:pPr>
            <w:r w:rsidRPr="00FA5477">
              <w:rPr>
                <w:b/>
                <w:bCs/>
                <w:sz w:val="24"/>
                <w:szCs w:val="24"/>
              </w:rPr>
              <w:t>Comunicación, información y generación de demanda sobre prevención del VIH para hombres que tienen relaciones sexuales con hombres</w:t>
            </w:r>
          </w:p>
          <w:p w14:paraId="72E03CA6" w14:textId="72806F5F" w:rsidR="0081686B" w:rsidRPr="00FA5477" w:rsidRDefault="0081686B" w:rsidP="0081686B">
            <w:pPr>
              <w:pStyle w:val="TableParagraph"/>
              <w:spacing w:after="60"/>
              <w:ind w:left="510" w:hanging="272"/>
              <w:jc w:val="both"/>
              <w:rPr>
                <w:b/>
                <w:bCs/>
                <w:sz w:val="24"/>
                <w:szCs w:val="24"/>
              </w:rPr>
            </w:pPr>
            <w:r w:rsidRPr="00FA5477">
              <w:rPr>
                <w:b/>
                <w:bCs/>
                <w:sz w:val="24"/>
                <w:szCs w:val="24"/>
              </w:rPr>
              <w:t>Servicios de salud sexual y reproductiva, por ejemplo, de ITS, hepatitis y atención para víctimas de la violencia, destinados a HSH</w:t>
            </w:r>
          </w:p>
          <w:p w14:paraId="268EEA6D" w14:textId="2DFDD3BC" w:rsidR="0081686B" w:rsidRPr="00FA5477" w:rsidRDefault="0081686B" w:rsidP="0081686B">
            <w:pPr>
              <w:pStyle w:val="TableParagraph"/>
              <w:spacing w:before="60" w:after="60"/>
              <w:ind w:left="508" w:hanging="400"/>
              <w:jc w:val="both"/>
              <w:rPr>
                <w:b/>
                <w:bCs/>
                <w:sz w:val="24"/>
                <w:szCs w:val="24"/>
              </w:rPr>
            </w:pPr>
            <w:r w:rsidRPr="00FA5477">
              <w:rPr>
                <w:b/>
                <w:bCs/>
                <w:sz w:val="24"/>
                <w:szCs w:val="24"/>
              </w:rPr>
              <w:t>Eliminación de los obstáculos relacionados con los derechos humanos que impiden el acceso a los servicios de prevención de HSH</w:t>
            </w:r>
          </w:p>
        </w:tc>
      </w:tr>
      <w:tr w:rsidR="00922DB7" w:rsidRPr="00FA5477" w14:paraId="3F0211E0" w14:textId="77777777" w:rsidTr="00216516">
        <w:trPr>
          <w:trHeight w:val="1101"/>
        </w:trPr>
        <w:tc>
          <w:tcPr>
            <w:tcW w:w="2709" w:type="dxa"/>
          </w:tcPr>
          <w:p w14:paraId="24CC93D9" w14:textId="655A7876" w:rsidR="006447CE" w:rsidRPr="00FA5477" w:rsidRDefault="00922DB7" w:rsidP="009F704B">
            <w:pPr>
              <w:pStyle w:val="TableParagraph"/>
              <w:spacing w:line="264" w:lineRule="auto"/>
              <w:ind w:left="107" w:right="424"/>
            </w:pPr>
            <w:r w:rsidRPr="00FA5477">
              <w:rPr>
                <w:rFonts w:ascii="Arial" w:hAnsi="Arial"/>
                <w:b/>
                <w:sz w:val="24"/>
              </w:rPr>
              <w:t>Población, regiones</w:t>
            </w:r>
            <w:r w:rsidRPr="00FA5477">
              <w:rPr>
                <w:rFonts w:ascii="Arial" w:hAnsi="Arial"/>
                <w:b/>
                <w:spacing w:val="1"/>
                <w:sz w:val="24"/>
              </w:rPr>
              <w:t xml:space="preserve"> </w:t>
            </w:r>
            <w:r w:rsidRPr="00FA5477">
              <w:rPr>
                <w:rFonts w:ascii="Arial" w:hAnsi="Arial"/>
                <w:b/>
                <w:sz w:val="24"/>
              </w:rPr>
              <w:t>geográficas u</w:t>
            </w:r>
            <w:r w:rsidRPr="00FA5477">
              <w:rPr>
                <w:rFonts w:ascii="Arial" w:hAnsi="Arial"/>
                <w:b/>
                <w:spacing w:val="1"/>
                <w:sz w:val="24"/>
              </w:rPr>
              <w:t xml:space="preserve"> </w:t>
            </w:r>
            <w:r w:rsidRPr="00FA5477">
              <w:rPr>
                <w:rFonts w:ascii="Arial" w:hAnsi="Arial"/>
                <w:b/>
                <w:sz w:val="24"/>
              </w:rPr>
              <w:t>obstáculos</w:t>
            </w:r>
            <w:r w:rsidRPr="00FA5477">
              <w:rPr>
                <w:rFonts w:ascii="Arial" w:hAnsi="Arial"/>
                <w:b/>
                <w:spacing w:val="-14"/>
                <w:sz w:val="24"/>
              </w:rPr>
              <w:t xml:space="preserve"> </w:t>
            </w:r>
            <w:r w:rsidRPr="00FA5477">
              <w:rPr>
                <w:rFonts w:ascii="Arial" w:hAnsi="Arial"/>
                <w:b/>
                <w:sz w:val="24"/>
              </w:rPr>
              <w:t>abordados</w:t>
            </w:r>
          </w:p>
        </w:tc>
        <w:tc>
          <w:tcPr>
            <w:tcW w:w="12415" w:type="dxa"/>
            <w:shd w:val="clear" w:color="auto" w:fill="auto"/>
            <w:tcMar>
              <w:left w:w="85" w:type="dxa"/>
              <w:right w:w="85" w:type="dxa"/>
            </w:tcMar>
          </w:tcPr>
          <w:p w14:paraId="699F2600" w14:textId="3E759DB3" w:rsidR="00922DB7" w:rsidRPr="00FA5477" w:rsidRDefault="00922DB7" w:rsidP="009F704B">
            <w:pPr>
              <w:pStyle w:val="TableParagraph"/>
              <w:spacing w:before="60" w:after="60"/>
              <w:jc w:val="both"/>
            </w:pPr>
            <w:r w:rsidRPr="00FA5477">
              <w:t>En este módulo se trabajará en actividades que contribuyen a aumentar el uso del preservativo en esta población y en actividades que promuevan la educación sobre prevención del VIH y el uso de la PrEP</w:t>
            </w:r>
            <w:r w:rsidR="006447CE" w:rsidRPr="00FA5477">
              <w:t>.</w:t>
            </w:r>
            <w:r w:rsidR="00350435" w:rsidRPr="00FA5477">
              <w:t xml:space="preserve"> Con la intención de generar espacios de acceso a los servicios de salud -más allá de los de carácter institucional (MINSAL)- aproximándolos donde se reúnen, las intervenciones se adaptan según las necesidades y demanda de atención de estas poblaciones. Complementándose con las acciones de las clínicas VICITS y Amigables.</w:t>
            </w:r>
          </w:p>
          <w:p w14:paraId="2C804E6D" w14:textId="6357C959" w:rsidR="00870E1C" w:rsidRPr="00FA5477" w:rsidRDefault="00870E1C" w:rsidP="009F704B">
            <w:pPr>
              <w:pStyle w:val="TableParagraph"/>
              <w:spacing w:before="60" w:after="60"/>
              <w:jc w:val="both"/>
            </w:pPr>
            <w:r w:rsidRPr="00FA5477">
              <w:t>Según el acuerdo de implementación, los paquetes de prevención serán distribuidos por PLAN Internacional y sus socios implementadores, MINSAL y Socios Implementadores de PEPFAR que trabajan en la respuesta nacional.</w:t>
            </w:r>
          </w:p>
          <w:p w14:paraId="5053B61F" w14:textId="77777777" w:rsidR="00FE248A" w:rsidRPr="00FA5477" w:rsidRDefault="00FE248A" w:rsidP="00FE248A">
            <w:pPr>
              <w:pStyle w:val="TableParagraph"/>
              <w:spacing w:before="60" w:after="60"/>
              <w:jc w:val="both"/>
            </w:pPr>
            <w:r w:rsidRPr="00FA5477">
              <w:t>Contexto:</w:t>
            </w:r>
          </w:p>
          <w:p w14:paraId="367E9B74" w14:textId="21B311A8" w:rsidR="00FE248A" w:rsidRPr="00FA5477" w:rsidRDefault="00FE248A" w:rsidP="00FE248A">
            <w:pPr>
              <w:jc w:val="both"/>
              <w:rPr>
                <w:rFonts w:cs="Arial"/>
              </w:rPr>
            </w:pPr>
            <w:r w:rsidRPr="00FA5477">
              <w:rPr>
                <w:rFonts w:cs="Arial"/>
              </w:rPr>
              <w:t xml:space="preserve">En febrero de 2024 el gobierno de El Salvador ha limitado la incorporación de temas críticos relacionados con género, población LGBTI, diversidad sexual, </w:t>
            </w:r>
            <w:r w:rsidR="00AE06A5" w:rsidRPr="00FA5477">
              <w:rPr>
                <w:rFonts w:cs="Arial"/>
              </w:rPr>
              <w:t>ideología de género</w:t>
            </w:r>
            <w:r w:rsidRPr="00FA5477">
              <w:rPr>
                <w:rFonts w:cs="Arial"/>
              </w:rPr>
              <w:t>, salud sexual y reproductiva, en los centros educativos del país, retirando de las escuelas todo material educativo con estos temas. Al personal de todos los ministerios le han dado orientaciones de no incluir en el trabajo gubernamental, de manera visible, actividades relacionadas con estos temas, el Ministerio de Salud, acatando las indicaciones gubernamentales ha solicitado:</w:t>
            </w:r>
          </w:p>
          <w:p w14:paraId="321E82F7" w14:textId="3BB61BAE" w:rsidR="00FE248A" w:rsidRPr="00FA5477" w:rsidRDefault="00FE248A" w:rsidP="008F64B1">
            <w:pPr>
              <w:pStyle w:val="Prrafodelista"/>
              <w:widowControl/>
              <w:numPr>
                <w:ilvl w:val="0"/>
                <w:numId w:val="30"/>
              </w:numPr>
              <w:autoSpaceDE/>
              <w:autoSpaceDN/>
              <w:spacing w:before="0" w:after="160" w:line="259" w:lineRule="auto"/>
              <w:ind w:left="480"/>
              <w:contextualSpacing/>
              <w:rPr>
                <w:rFonts w:cs="Arial"/>
              </w:rPr>
            </w:pPr>
            <w:r w:rsidRPr="00FA5477">
              <w:rPr>
                <w:rFonts w:cs="Arial"/>
              </w:rPr>
              <w:t xml:space="preserve">Cambio de </w:t>
            </w:r>
            <w:r w:rsidR="001E679B" w:rsidRPr="00FA5477">
              <w:rPr>
                <w:rFonts w:cs="Arial"/>
              </w:rPr>
              <w:t>términos</w:t>
            </w:r>
            <w:r w:rsidRPr="00FA5477">
              <w:rPr>
                <w:rFonts w:cs="Arial"/>
              </w:rPr>
              <w:t xml:space="preserve"> en el formulario FVIH-01 -el formato utilizado para registrar los datos de personas que se realizan la prueba de VIH-, y en el Sistema Único de Monitoreo, Evaluación y Vigilancia Epidemiológica del VIH (SUMEVE) -donde se registran lo datos de quienes se realizan pruebas de VIH y quienes han sido diagnosticados se les da seguimiento- sustituyendo el término ampliamente utilizado hasta entonces de ‘Hombres que tienen sexo con otros hombres’ por ‘</w:t>
            </w:r>
            <w:r w:rsidRPr="00FA5477">
              <w:rPr>
                <w:rFonts w:cs="Arial"/>
                <w:i/>
                <w:iCs/>
              </w:rPr>
              <w:t>Hombres de alta prevalencia</w:t>
            </w:r>
            <w:r w:rsidRPr="00FA5477">
              <w:rPr>
                <w:rFonts w:cs="Arial"/>
              </w:rPr>
              <w:t>’ y el término ‘Mujeres Transgénero’ por ‘</w:t>
            </w:r>
            <w:r w:rsidRPr="00FA5477">
              <w:rPr>
                <w:rFonts w:cs="Arial"/>
                <w:i/>
                <w:iCs/>
              </w:rPr>
              <w:t>Hombres de muy alta prevalencia</w:t>
            </w:r>
            <w:r w:rsidRPr="00FA5477">
              <w:rPr>
                <w:rFonts w:cs="Arial"/>
              </w:rPr>
              <w:t xml:space="preserve">’. </w:t>
            </w:r>
          </w:p>
          <w:p w14:paraId="5792FEB1" w14:textId="51FCCCFA" w:rsidR="00FE248A" w:rsidRPr="00FA5477" w:rsidRDefault="00FE248A" w:rsidP="008F64B1">
            <w:pPr>
              <w:pStyle w:val="Prrafodelista"/>
              <w:widowControl/>
              <w:numPr>
                <w:ilvl w:val="0"/>
                <w:numId w:val="30"/>
              </w:numPr>
              <w:autoSpaceDE/>
              <w:autoSpaceDN/>
              <w:spacing w:before="0" w:after="160" w:line="259" w:lineRule="auto"/>
              <w:ind w:left="480"/>
              <w:contextualSpacing/>
              <w:rPr>
                <w:rFonts w:cs="Arial"/>
              </w:rPr>
            </w:pPr>
            <w:r w:rsidRPr="00FA5477">
              <w:rPr>
                <w:rFonts w:cs="Arial"/>
              </w:rPr>
              <w:t>Así mismo todos los lineamientos de atención están siendo revisando para hacer los cambios de</w:t>
            </w:r>
            <w:r w:rsidR="00D94604" w:rsidRPr="00FA5477">
              <w:rPr>
                <w:rFonts w:cs="Arial"/>
              </w:rPr>
              <w:t xml:space="preserve"> terminología</w:t>
            </w:r>
            <w:r w:rsidRPr="00FA5477">
              <w:rPr>
                <w:rFonts w:cs="Arial"/>
              </w:rPr>
              <w:t>.</w:t>
            </w:r>
          </w:p>
          <w:p w14:paraId="3D41B8A6" w14:textId="551D2B1F" w:rsidR="00FE248A" w:rsidRPr="00FA5477" w:rsidRDefault="00FE248A" w:rsidP="008F64B1">
            <w:pPr>
              <w:pStyle w:val="Prrafodelista"/>
              <w:widowControl/>
              <w:numPr>
                <w:ilvl w:val="0"/>
                <w:numId w:val="30"/>
              </w:numPr>
              <w:autoSpaceDE/>
              <w:autoSpaceDN/>
              <w:spacing w:before="0" w:after="60" w:line="259" w:lineRule="auto"/>
              <w:ind w:left="480" w:hanging="357"/>
              <w:contextualSpacing/>
              <w:rPr>
                <w:rFonts w:cs="Arial"/>
              </w:rPr>
            </w:pPr>
            <w:r w:rsidRPr="00FA5477">
              <w:rPr>
                <w:rFonts w:cs="Arial"/>
              </w:rPr>
              <w:t xml:space="preserve">El documento de atención a poblaciones LGBTI ha sido </w:t>
            </w:r>
            <w:bookmarkStart w:id="0" w:name="_Hlk164942884"/>
            <w:r w:rsidRPr="00FA5477">
              <w:rPr>
                <w:rFonts w:cs="Arial"/>
              </w:rPr>
              <w:t>derogado</w:t>
            </w:r>
            <w:r w:rsidR="00FD7BCD" w:rsidRPr="00FA5477">
              <w:rPr>
                <w:rFonts w:cs="Arial"/>
              </w:rPr>
              <w:t xml:space="preserve">, sin embargo se mantiene la misma oferta de servicios a poblaciones clave, además se está trabajando en un nuevo documento que contenga </w:t>
            </w:r>
            <w:r w:rsidR="00FA5477" w:rsidRPr="00FA5477">
              <w:rPr>
                <w:rFonts w:cs="Arial"/>
              </w:rPr>
              <w:t>la actualización</w:t>
            </w:r>
            <w:r w:rsidR="00D94604" w:rsidRPr="00FA5477">
              <w:rPr>
                <w:rFonts w:cs="Arial"/>
              </w:rPr>
              <w:t xml:space="preserve"> para </w:t>
            </w:r>
            <w:r w:rsidR="00FD7BCD" w:rsidRPr="00FA5477">
              <w:rPr>
                <w:rFonts w:cs="Arial"/>
              </w:rPr>
              <w:t xml:space="preserve">la atención de </w:t>
            </w:r>
            <w:r w:rsidR="00AE06A5" w:rsidRPr="00FA5477">
              <w:rPr>
                <w:rFonts w:cs="Arial"/>
              </w:rPr>
              <w:t>estas poblaciones</w:t>
            </w:r>
            <w:r w:rsidR="00FD7BCD" w:rsidRPr="00FA5477">
              <w:rPr>
                <w:rFonts w:cs="Arial"/>
              </w:rPr>
              <w:t>. De parte de organizaciones de sociedad civil</w:t>
            </w:r>
            <w:r w:rsidR="001B50EA" w:rsidRPr="00FA5477">
              <w:rPr>
                <w:rFonts w:cs="Arial"/>
              </w:rPr>
              <w:t>,</w:t>
            </w:r>
            <w:r w:rsidR="00FD7BCD" w:rsidRPr="00FA5477">
              <w:rPr>
                <w:rFonts w:cs="Arial"/>
              </w:rPr>
              <w:t xml:space="preserve"> la derogación </w:t>
            </w:r>
            <w:r w:rsidR="00AE06A5" w:rsidRPr="00FA5477">
              <w:rPr>
                <w:rFonts w:cs="Arial"/>
              </w:rPr>
              <w:t xml:space="preserve">de este documento </w:t>
            </w:r>
            <w:r w:rsidR="00FD7BCD" w:rsidRPr="00FA5477">
              <w:rPr>
                <w:rFonts w:cs="Arial"/>
              </w:rPr>
              <w:t>ha generado la percepción de temo</w:t>
            </w:r>
            <w:r w:rsidR="00CF3598" w:rsidRPr="00FA5477">
              <w:rPr>
                <w:rFonts w:cs="Arial"/>
              </w:rPr>
              <w:t>r</w:t>
            </w:r>
            <w:r w:rsidR="00FD7BCD" w:rsidRPr="00FA5477">
              <w:rPr>
                <w:rFonts w:cs="Arial"/>
              </w:rPr>
              <w:t xml:space="preserve"> a la discriminación en los servicios de salud.</w:t>
            </w:r>
            <w:bookmarkEnd w:id="0"/>
          </w:p>
          <w:p w14:paraId="1D5584CF" w14:textId="1204CFE9" w:rsidR="00FE248A" w:rsidRPr="00FA5477" w:rsidRDefault="00FE248A" w:rsidP="00FE248A">
            <w:pPr>
              <w:widowControl/>
              <w:autoSpaceDE/>
              <w:autoSpaceDN/>
              <w:spacing w:after="60" w:line="259" w:lineRule="auto"/>
              <w:ind w:left="61"/>
              <w:contextualSpacing/>
              <w:jc w:val="both"/>
              <w:rPr>
                <w:b/>
                <w:bCs/>
              </w:rPr>
            </w:pPr>
            <w:r w:rsidRPr="00FA5477">
              <w:rPr>
                <w:rFonts w:cs="Arial"/>
              </w:rPr>
              <w:t xml:space="preserve">Estos cambios en el contexto han creado una barrera para el acceso a la salud de las poblaciones HSH y personas transgénero y consecuentemente ha habido reacción en organizaciones de sociedad civil, que han propuesto alternativas para continuar garantizando el acceso a servicios de salud y así mitigar los efectos de las medidas. </w:t>
            </w:r>
            <w:r w:rsidR="001B50EA" w:rsidRPr="00FA5477">
              <w:rPr>
                <w:rFonts w:cs="Arial"/>
              </w:rPr>
              <w:t xml:space="preserve">Las siguientes </w:t>
            </w:r>
            <w:r w:rsidRPr="00FA5477">
              <w:rPr>
                <w:rFonts w:cs="Arial"/>
              </w:rPr>
              <w:t>acciones serán financiadas por el Fondo Mundial</w:t>
            </w:r>
            <w:r w:rsidR="001B50EA" w:rsidRPr="00FA5477">
              <w:rPr>
                <w:rFonts w:cs="Arial"/>
              </w:rPr>
              <w:t>:</w:t>
            </w:r>
            <w:r w:rsidR="00067D9B" w:rsidRPr="00FA5477">
              <w:rPr>
                <w:rFonts w:cs="Arial"/>
              </w:rPr>
              <w:t xml:space="preserve"> </w:t>
            </w:r>
            <w:r w:rsidR="00067D9B" w:rsidRPr="00FA5477">
              <w:t xml:space="preserve">[Para ampliar ver </w:t>
            </w:r>
            <w:r w:rsidR="005968FB" w:rsidRPr="00FA5477">
              <w:t>a</w:t>
            </w:r>
            <w:r w:rsidR="00067D9B" w:rsidRPr="00FA5477">
              <w:t>nexo 1]</w:t>
            </w:r>
          </w:p>
          <w:p w14:paraId="74D4BE21" w14:textId="6622342A" w:rsidR="00FE248A" w:rsidRPr="00FA5477" w:rsidRDefault="00FE248A" w:rsidP="008F64B1">
            <w:pPr>
              <w:pStyle w:val="TableParagraph"/>
              <w:numPr>
                <w:ilvl w:val="0"/>
                <w:numId w:val="30"/>
              </w:numPr>
              <w:spacing w:after="60"/>
              <w:ind w:left="480"/>
              <w:jc w:val="both"/>
            </w:pPr>
            <w:r w:rsidRPr="00FA5477">
              <w:t xml:space="preserve">Servicios de salud sexual y </w:t>
            </w:r>
            <w:bookmarkStart w:id="1" w:name="_Hlk164943191"/>
            <w:r w:rsidRPr="00FA5477">
              <w:t xml:space="preserve">reproductiva, </w:t>
            </w:r>
            <w:r w:rsidR="00067D9B" w:rsidRPr="00FA5477">
              <w:t>como</w:t>
            </w:r>
            <w:r w:rsidRPr="00FA5477">
              <w:t xml:space="preserve"> </w:t>
            </w:r>
            <w:r w:rsidR="00067D9B" w:rsidRPr="00FA5477">
              <w:t xml:space="preserve">prevención y tamizaje de VIH, atención </w:t>
            </w:r>
            <w:r w:rsidRPr="00FA5477">
              <w:t xml:space="preserve">de ITS, </w:t>
            </w:r>
            <w:bookmarkEnd w:id="1"/>
            <w:r w:rsidRPr="00FA5477">
              <w:t xml:space="preserve">hepatitis y atención para víctimas de la violencia, destinados a personas </w:t>
            </w:r>
            <w:r w:rsidR="00F82210" w:rsidRPr="00FA5477">
              <w:t xml:space="preserve">HSH </w:t>
            </w:r>
            <w:r w:rsidRPr="00FA5477">
              <w:t xml:space="preserve">a través de servicios privados y </w:t>
            </w:r>
            <w:r w:rsidR="00F82210" w:rsidRPr="00FA5477">
              <w:t>acompañamiento a clínicas VICITS y Amigables para garantizar un trato integral, libre de estigma y discriminación.</w:t>
            </w:r>
            <w:r w:rsidRPr="00FA5477">
              <w:t xml:space="preserve"> </w:t>
            </w:r>
          </w:p>
          <w:p w14:paraId="208EFC64" w14:textId="5673856B" w:rsidR="00FE248A" w:rsidRPr="00FA5477" w:rsidRDefault="00FE248A" w:rsidP="008F64B1">
            <w:pPr>
              <w:pStyle w:val="Prrafodelista"/>
              <w:widowControl/>
              <w:numPr>
                <w:ilvl w:val="0"/>
                <w:numId w:val="30"/>
              </w:numPr>
              <w:autoSpaceDE/>
              <w:autoSpaceDN/>
              <w:spacing w:before="0" w:after="60" w:line="259" w:lineRule="auto"/>
              <w:ind w:left="480" w:hanging="357"/>
              <w:contextualSpacing/>
              <w:rPr>
                <w:rFonts w:cs="Arial"/>
              </w:rPr>
            </w:pPr>
            <w:r w:rsidRPr="00FA5477">
              <w:t>Eliminación de los obstáculos relacionados con los derechos humanos que impiden el acceso a los servicios de prevención de las personas transgénero. Se ha incluido el desarrollo de planes de formación continua a prestadores de servicios sin estigma ni discriminación y prevención de violencia.</w:t>
            </w:r>
            <w:r w:rsidR="00176559" w:rsidRPr="00FA5477">
              <w:t xml:space="preserve"> Se incluyen actividades de disminución de estigma y discriminación.</w:t>
            </w:r>
          </w:p>
          <w:p w14:paraId="1981CF67" w14:textId="10009BF1" w:rsidR="00922DB7" w:rsidRPr="00FA5477" w:rsidRDefault="00922DB7" w:rsidP="009F704B">
            <w:pPr>
              <w:pStyle w:val="TableParagraph"/>
              <w:spacing w:before="60" w:after="60"/>
              <w:jc w:val="both"/>
            </w:pPr>
            <w:r w:rsidRPr="00FA5477">
              <w:t xml:space="preserve">Las actividades </w:t>
            </w:r>
            <w:r w:rsidR="0015658A" w:rsidRPr="00FA5477">
              <w:t xml:space="preserve">de este módulo que serán financiadas con </w:t>
            </w:r>
            <w:r w:rsidR="007C6B4D" w:rsidRPr="00FA5477">
              <w:t>esta subvención</w:t>
            </w:r>
            <w:r w:rsidR="0015658A" w:rsidRPr="00FA5477">
              <w:t xml:space="preserve"> </w:t>
            </w:r>
            <w:r w:rsidR="007C6B4D" w:rsidRPr="00FA5477">
              <w:t xml:space="preserve">e </w:t>
            </w:r>
            <w:r w:rsidR="0015658A" w:rsidRPr="00FA5477">
              <w:t>implementadas por el RP-PLAN Internacional y tres organizaciones SR (una por población clave)</w:t>
            </w:r>
            <w:r w:rsidR="007C6B4D" w:rsidRPr="00FA5477">
              <w:t xml:space="preserve"> se describen a continuación</w:t>
            </w:r>
            <w:r w:rsidR="0015658A" w:rsidRPr="00FA5477">
              <w:t>:</w:t>
            </w:r>
          </w:p>
          <w:p w14:paraId="586FE5DC" w14:textId="4663FB3F" w:rsidR="00922DB7" w:rsidRPr="00FA5477" w:rsidRDefault="00922DB7" w:rsidP="00747B90">
            <w:pPr>
              <w:pStyle w:val="TableParagraph"/>
              <w:numPr>
                <w:ilvl w:val="0"/>
                <w:numId w:val="16"/>
              </w:numPr>
              <w:ind w:left="903" w:hanging="357"/>
              <w:jc w:val="both"/>
            </w:pPr>
            <w:r w:rsidRPr="00FA5477">
              <w:t>Promoción y distribución de preservativos y lubricantes: A través de 3 modalidades</w:t>
            </w:r>
            <w:r w:rsidR="0009096F" w:rsidRPr="00FA5477">
              <w:t>:</w:t>
            </w:r>
          </w:p>
          <w:p w14:paraId="57D2090E" w14:textId="12194B5F" w:rsidR="00922DB7" w:rsidRPr="00FA5477" w:rsidRDefault="00922DB7" w:rsidP="009F704B">
            <w:pPr>
              <w:pStyle w:val="TableParagraph"/>
              <w:numPr>
                <w:ilvl w:val="0"/>
                <w:numId w:val="27"/>
              </w:numPr>
              <w:spacing w:after="40"/>
              <w:ind w:left="1052" w:hanging="84"/>
              <w:jc w:val="both"/>
            </w:pPr>
            <w:r w:rsidRPr="00FA5477">
              <w:t xml:space="preserve">Referencias efectivas a clínicas VICITS/Amigables: Para la entrega de paquetes de prevención, toma de prueba de VIH y otras ITS, PrEP y seguimiento a HSH con riesgo sustancial. </w:t>
            </w:r>
          </w:p>
          <w:p w14:paraId="2FB239A6" w14:textId="3F94178D" w:rsidR="00922DB7" w:rsidRPr="00FA5477" w:rsidRDefault="00E76B6C" w:rsidP="009F704B">
            <w:pPr>
              <w:pStyle w:val="TableParagraph"/>
              <w:numPr>
                <w:ilvl w:val="0"/>
                <w:numId w:val="27"/>
              </w:numPr>
              <w:spacing w:after="40"/>
              <w:ind w:left="1052" w:hanging="82"/>
              <w:jc w:val="both"/>
            </w:pPr>
            <w:r w:rsidRPr="00FA5477">
              <w:t>Unidades móviles: para HSH serán 3 unidades móviles distribuidas así</w:t>
            </w:r>
            <w:r w:rsidR="00CF3598" w:rsidRPr="00FA5477">
              <w:t>:</w:t>
            </w:r>
            <w:r w:rsidR="00AE06A5" w:rsidRPr="00FA5477">
              <w:t xml:space="preserve"> </w:t>
            </w:r>
            <w:r w:rsidR="006A45CB" w:rsidRPr="00FA5477">
              <w:t>una</w:t>
            </w:r>
            <w:r w:rsidRPr="00FA5477">
              <w:t xml:space="preserve"> de PLAN y </w:t>
            </w:r>
            <w:r w:rsidR="006A45CB" w:rsidRPr="00FA5477">
              <w:t>dos</w:t>
            </w:r>
            <w:r w:rsidRPr="00FA5477">
              <w:t xml:space="preserve"> de SR, las cuales realizan actividades comunitarias para el abordaje </w:t>
            </w:r>
            <w:r w:rsidR="00DB22E8" w:rsidRPr="00FA5477">
              <w:t>a usuarios con riesgo sustancial</w:t>
            </w:r>
            <w:r w:rsidRPr="00FA5477">
              <w:t>, toma de pruebas diagnósticas y de confirmación, además de la entrega de condones y lubricantes</w:t>
            </w:r>
            <w:r w:rsidR="00067D9B" w:rsidRPr="00FA5477">
              <w:t xml:space="preserve"> en el marco de la estrategia de prevención combinada</w:t>
            </w:r>
            <w:r w:rsidRPr="00FA5477">
              <w:t>.</w:t>
            </w:r>
          </w:p>
          <w:p w14:paraId="1F32F272" w14:textId="1007BC69" w:rsidR="00922DB7" w:rsidRPr="00FA5477" w:rsidRDefault="00922DB7" w:rsidP="007C6B4D">
            <w:pPr>
              <w:pStyle w:val="TableParagraph"/>
              <w:numPr>
                <w:ilvl w:val="0"/>
                <w:numId w:val="27"/>
              </w:numPr>
              <w:spacing w:after="180"/>
              <w:ind w:left="1052" w:hanging="82"/>
              <w:jc w:val="both"/>
            </w:pPr>
            <w:r w:rsidRPr="00FA5477">
              <w:t>Estrategia en línea a través de</w:t>
            </w:r>
            <w:r w:rsidR="0015658A" w:rsidRPr="00FA5477">
              <w:t xml:space="preserve"> la aplicación</w:t>
            </w:r>
            <w:r w:rsidRPr="00FA5477">
              <w:t xml:space="preserve"> </w:t>
            </w:r>
            <w:r w:rsidR="00747B90" w:rsidRPr="00FA5477">
              <w:t>‘</w:t>
            </w:r>
            <w:r w:rsidRPr="00FA5477">
              <w:rPr>
                <w:i/>
                <w:iCs/>
              </w:rPr>
              <w:t>Match con tu</w:t>
            </w:r>
            <w:r w:rsidR="0015658A" w:rsidRPr="00FA5477">
              <w:rPr>
                <w:i/>
                <w:iCs/>
              </w:rPr>
              <w:t xml:space="preserve"> S</w:t>
            </w:r>
            <w:r w:rsidRPr="00FA5477">
              <w:rPr>
                <w:i/>
                <w:iCs/>
              </w:rPr>
              <w:t>alud</w:t>
            </w:r>
            <w:r w:rsidR="00747B90" w:rsidRPr="00FA5477">
              <w:rPr>
                <w:i/>
                <w:iCs/>
              </w:rPr>
              <w:t>’</w:t>
            </w:r>
            <w:r w:rsidRPr="00FA5477">
              <w:t>, la cual promueve el uso del condón, la realización de la prueba, la PrEP, auto prueba y referencia a laboratorios privados a través de redes sociales.</w:t>
            </w:r>
            <w:r w:rsidR="00CA26E5" w:rsidRPr="00FA5477">
              <w:t xml:space="preserve"> Esta referencia se realiza además a servicios VICITS y unidades móviles.</w:t>
            </w:r>
            <w:r w:rsidR="00067D9B" w:rsidRPr="00FA5477">
              <w:t xml:space="preserve"> </w:t>
            </w:r>
            <w:bookmarkStart w:id="2" w:name="_Hlk164943439"/>
            <w:r w:rsidR="00067D9B" w:rsidRPr="00FA5477">
              <w:t>Esta estrategia permitirá un alcance mucho mayor a poblaciones en riesgo a través de las redes sociales y la red virtual, alcanzando a quienes no pueden abordarse con mecanismos presenciales, brindando espacios con mayor confidencialidad, incluso para quienes no quieren ser identificados como parte de grupos de la diversidad por el miedo al estigma y la discriminación.</w:t>
            </w:r>
            <w:bookmarkEnd w:id="2"/>
          </w:p>
          <w:p w14:paraId="008BAFE6" w14:textId="556BB552" w:rsidR="00922DB7" w:rsidRPr="00FA5477" w:rsidRDefault="00922DB7" w:rsidP="007C6B4D">
            <w:pPr>
              <w:pStyle w:val="TableParagraph"/>
              <w:spacing w:after="180"/>
              <w:ind w:left="1052"/>
              <w:jc w:val="both"/>
            </w:pPr>
            <w:r w:rsidRPr="00FA5477">
              <w:t xml:space="preserve">La entrega de condones y lubricantes va acompañada de intervenciones </w:t>
            </w:r>
            <w:r w:rsidR="00DB22E8" w:rsidRPr="00FA5477">
              <w:t>dirigidas a la disminución del riesgo sustancial</w:t>
            </w:r>
            <w:r w:rsidRPr="00FA5477">
              <w:t xml:space="preserve"> y toma de prueba, para </w:t>
            </w:r>
            <w:r w:rsidR="00E76B6C" w:rsidRPr="00FA5477">
              <w:t xml:space="preserve">esta intervención se está solicitando </w:t>
            </w:r>
            <w:r w:rsidR="0015658A" w:rsidRPr="00FA5477">
              <w:t xml:space="preserve">por lo menos </w:t>
            </w:r>
            <w:r w:rsidR="00E76B6C" w:rsidRPr="00FA5477">
              <w:t xml:space="preserve">dos </w:t>
            </w:r>
            <w:r w:rsidR="0015658A" w:rsidRPr="00FA5477">
              <w:t xml:space="preserve">contactos </w:t>
            </w:r>
            <w:r w:rsidR="00E76B6C" w:rsidRPr="00FA5477">
              <w:t>para los HSH con riesgo sustancial cada año.</w:t>
            </w:r>
          </w:p>
          <w:p w14:paraId="3ECDE230" w14:textId="6DCC46B5" w:rsidR="00DC4D1E" w:rsidRPr="00FA5477" w:rsidRDefault="00922DB7" w:rsidP="007C6B4D">
            <w:pPr>
              <w:pStyle w:val="TableParagraph"/>
              <w:spacing w:after="180"/>
              <w:ind w:left="1052"/>
              <w:jc w:val="both"/>
            </w:pPr>
            <w:r w:rsidRPr="00FA5477">
              <w:t>En el caso de la población HSH se ha priorizado en cada intervención la entrega de 30 condones masculinos, 3 tubos de lubricante base agua de 50ml y 20 sachet de lubricantes de 5ml</w:t>
            </w:r>
            <w:r w:rsidR="00470536" w:rsidRPr="00FA5477">
              <w:t>,</w:t>
            </w:r>
            <w:r w:rsidRPr="00FA5477">
              <w:t xml:space="preserve"> </w:t>
            </w:r>
            <w:bookmarkStart w:id="3" w:name="_Hlk164945133"/>
            <w:r w:rsidRPr="00FA5477">
              <w:t>cantidades validadas por las poblaciones</w:t>
            </w:r>
            <w:r w:rsidR="00611DB3" w:rsidRPr="00FA5477">
              <w:t xml:space="preserve"> a través de </w:t>
            </w:r>
            <w:r w:rsidR="00F82210" w:rsidRPr="00FA5477">
              <w:t xml:space="preserve">una reunión de </w:t>
            </w:r>
            <w:r w:rsidR="00611DB3" w:rsidRPr="00FA5477">
              <w:t>consulta</w:t>
            </w:r>
            <w:r w:rsidR="00F82210" w:rsidRPr="00FA5477">
              <w:t xml:space="preserve"> con representantes de las tres poblaciones claves quienes </w:t>
            </w:r>
            <w:r w:rsidR="00470536" w:rsidRPr="00FA5477">
              <w:t xml:space="preserve">las </w:t>
            </w:r>
            <w:r w:rsidR="00F82210" w:rsidRPr="00FA5477">
              <w:t xml:space="preserve">definieron de acuerdo a varios parámetros: si la </w:t>
            </w:r>
            <w:r w:rsidR="00CF3598" w:rsidRPr="00FA5477">
              <w:t>población clave</w:t>
            </w:r>
            <w:r w:rsidR="00F82210" w:rsidRPr="00FA5477">
              <w:t xml:space="preserve"> hacía trabajo sexual, si recibía condones y lubricantes del MINSAL, si se encontraba con PrEP, si podía adquirir condones en el mercado, y de acuerdo a estas condiciones se determinaron las cantidades de condones y lubricantes para las tres poblaciones clave para esta subvención.</w:t>
            </w:r>
            <w:r w:rsidR="00611DB3" w:rsidRPr="00FA5477">
              <w:t xml:space="preserve"> </w:t>
            </w:r>
            <w:bookmarkEnd w:id="3"/>
            <w:r w:rsidR="007C6B4D" w:rsidRPr="00FA5477">
              <w:t>[Para ampliar ver anexo 1]</w:t>
            </w:r>
          </w:p>
          <w:p w14:paraId="1AA95D72" w14:textId="7FC548CA" w:rsidR="00922DB7" w:rsidRPr="00FA5477" w:rsidRDefault="00922DB7" w:rsidP="007C6B4D">
            <w:pPr>
              <w:pStyle w:val="TableParagraph"/>
              <w:numPr>
                <w:ilvl w:val="0"/>
                <w:numId w:val="16"/>
              </w:numPr>
              <w:spacing w:after="180"/>
              <w:ind w:left="901" w:hanging="357"/>
              <w:jc w:val="both"/>
            </w:pPr>
            <w:r w:rsidRPr="00FA5477">
              <w:t xml:space="preserve">Información sobre PrEP y generación de demanda, también a través de enfoques basados en pares: Todos los promotores pares contratados con la subvención promoverán la PrEP en HSH con riesgo sustancial y aquellos que </w:t>
            </w:r>
            <w:r w:rsidR="00E76B6C" w:rsidRPr="00FA5477">
              <w:t>la soliciten con su debida evaluación. Esto se realizará en cada abordaje realizado, estas personas identificadas deberán ser referidas a los servicios de prevención de MINSAL.</w:t>
            </w:r>
            <w:r w:rsidR="0009096F" w:rsidRPr="00FA5477">
              <w:t xml:space="preserve"> </w:t>
            </w:r>
            <w:r w:rsidR="007C6B4D" w:rsidRPr="00FA5477">
              <w:t>[Para ampliar ver anexo 1]</w:t>
            </w:r>
          </w:p>
          <w:p w14:paraId="43330401" w14:textId="5AC567A8" w:rsidR="0009096F" w:rsidRPr="00FA5477" w:rsidRDefault="0009096F" w:rsidP="007C6B4D">
            <w:pPr>
              <w:pStyle w:val="TableParagraph"/>
              <w:numPr>
                <w:ilvl w:val="0"/>
                <w:numId w:val="16"/>
              </w:numPr>
              <w:spacing w:after="180"/>
              <w:ind w:left="903" w:hanging="357"/>
              <w:jc w:val="both"/>
            </w:pPr>
            <w:r w:rsidRPr="00FA5477">
              <w:t xml:space="preserve">Identificación del riesgo sustancial, </w:t>
            </w:r>
            <w:r w:rsidR="00AC2A37" w:rsidRPr="00FA5477">
              <w:t>a través de los promotores pares para ampliar el paquete de prevención con al menos dos contactos al año, que incluyen toma de pruebas y entrega de paquetes de prevención</w:t>
            </w:r>
            <w:r w:rsidR="007C6B4D" w:rsidRPr="00FA5477">
              <w:t>. [Para ampliar ver anexo 1]</w:t>
            </w:r>
          </w:p>
          <w:p w14:paraId="741CFD89" w14:textId="77777777" w:rsidR="00F66EEE" w:rsidRPr="00FA5477" w:rsidRDefault="00922DB7" w:rsidP="007C6B4D">
            <w:pPr>
              <w:pStyle w:val="TableParagraph"/>
              <w:numPr>
                <w:ilvl w:val="0"/>
                <w:numId w:val="16"/>
              </w:numPr>
              <w:spacing w:after="180"/>
              <w:ind w:left="903" w:hanging="357"/>
              <w:jc w:val="both"/>
            </w:pPr>
            <w:r w:rsidRPr="00FA5477">
              <w:t xml:space="preserve">Información, </w:t>
            </w:r>
            <w:r w:rsidR="00E76B6C" w:rsidRPr="00FA5477">
              <w:t>educación y comunicación específicas a través de Internet y las redes sociales: A través de</w:t>
            </w:r>
            <w:r w:rsidR="0009096F" w:rsidRPr="00FA5477">
              <w:t xml:space="preserve"> la aplicación</w:t>
            </w:r>
            <w:r w:rsidR="00E76B6C" w:rsidRPr="00FA5477">
              <w:t xml:space="preserve"> </w:t>
            </w:r>
            <w:r w:rsidR="0009096F" w:rsidRPr="00FA5477">
              <w:t>‘</w:t>
            </w:r>
            <w:r w:rsidR="00E76B6C" w:rsidRPr="00FA5477">
              <w:rPr>
                <w:i/>
                <w:iCs/>
              </w:rPr>
              <w:t xml:space="preserve">Match con tu </w:t>
            </w:r>
            <w:r w:rsidR="0009096F" w:rsidRPr="00FA5477">
              <w:rPr>
                <w:i/>
                <w:iCs/>
              </w:rPr>
              <w:t>S</w:t>
            </w:r>
            <w:r w:rsidR="00E76B6C" w:rsidRPr="00FA5477">
              <w:rPr>
                <w:i/>
                <w:iCs/>
              </w:rPr>
              <w:t>alud</w:t>
            </w:r>
            <w:r w:rsidR="0009096F" w:rsidRPr="00FA5477">
              <w:t>’</w:t>
            </w:r>
            <w:r w:rsidR="00D54A7C" w:rsidRPr="00FA5477">
              <w:t xml:space="preserve"> </w:t>
            </w:r>
            <w:r w:rsidR="00E76B6C" w:rsidRPr="00FA5477">
              <w:t xml:space="preserve">que permite enviar mensajes educativos e identificar HSH que no acceden fácilmente a otros servicios de prevención, en esta intervención a través de los ciber educadores se contactan </w:t>
            </w:r>
            <w:r w:rsidR="00747B90" w:rsidRPr="00FA5477">
              <w:t>HSH con</w:t>
            </w:r>
            <w:r w:rsidR="00E76B6C" w:rsidRPr="00FA5477">
              <w:t xml:space="preserve"> perfiles clandestinos y se ofrecen los servicios de prevención. </w:t>
            </w:r>
          </w:p>
          <w:p w14:paraId="40460C0B" w14:textId="4EB62017" w:rsidR="00922DB7" w:rsidRPr="00FA5477" w:rsidRDefault="00F66EEE" w:rsidP="007C6B4D">
            <w:pPr>
              <w:pStyle w:val="TableParagraph"/>
              <w:numPr>
                <w:ilvl w:val="0"/>
                <w:numId w:val="16"/>
              </w:numPr>
              <w:spacing w:after="180"/>
              <w:ind w:left="903" w:hanging="357"/>
              <w:jc w:val="both"/>
            </w:pPr>
            <w:r w:rsidRPr="00FA5477">
              <w:t xml:space="preserve">Adquisición de servicios privados que ofrezcan el paquete de servicios VICITS que incluya: tres consultas médicas anuales, pruebas de ITS -incluyendo prueba de VIH-, entrega de condones y lubricantes, así como acciones de acompañamiento para la reducción del riesgo sustancial. </w:t>
            </w:r>
            <w:r w:rsidR="007C6B4D" w:rsidRPr="00FA5477">
              <w:t>[Para ampliar ver anexo 2]</w:t>
            </w:r>
          </w:p>
          <w:p w14:paraId="50A11118" w14:textId="35F36C28" w:rsidR="00A37697" w:rsidRPr="00FA5477" w:rsidRDefault="00A37697" w:rsidP="00A37697">
            <w:pPr>
              <w:pStyle w:val="TableParagraph"/>
              <w:spacing w:before="120"/>
              <w:ind w:left="357"/>
              <w:jc w:val="both"/>
            </w:pPr>
            <w:r w:rsidRPr="00FA5477">
              <w:t>A su vez, las actividades siguientes serán implementadas con fondos de otras fuentes:</w:t>
            </w:r>
          </w:p>
          <w:p w14:paraId="3699C443" w14:textId="6970CAD4" w:rsidR="00922DB7" w:rsidRPr="00FA5477" w:rsidRDefault="00475CD7" w:rsidP="00747B90">
            <w:pPr>
              <w:pStyle w:val="TableParagraph"/>
              <w:numPr>
                <w:ilvl w:val="0"/>
                <w:numId w:val="15"/>
              </w:numPr>
              <w:spacing w:before="120"/>
              <w:ind w:left="714" w:hanging="357"/>
              <w:jc w:val="both"/>
              <w:rPr>
                <w:b/>
                <w:bCs/>
              </w:rPr>
            </w:pPr>
            <w:r w:rsidRPr="00FA5477">
              <w:rPr>
                <w:b/>
                <w:bCs/>
              </w:rPr>
              <w:t>Gobierno de El Salvador, a través del Ministerio de Salud -</w:t>
            </w:r>
            <w:r w:rsidR="00922DB7" w:rsidRPr="00FA5477">
              <w:rPr>
                <w:b/>
                <w:bCs/>
              </w:rPr>
              <w:t>MINSAL</w:t>
            </w:r>
            <w:r w:rsidRPr="00FA5477">
              <w:rPr>
                <w:b/>
                <w:bCs/>
              </w:rPr>
              <w:t>, implementará</w:t>
            </w:r>
            <w:r w:rsidR="00922DB7" w:rsidRPr="00FA5477">
              <w:rPr>
                <w:b/>
                <w:bCs/>
              </w:rPr>
              <w:t xml:space="preserve">: </w:t>
            </w:r>
          </w:p>
          <w:p w14:paraId="2E910DB2" w14:textId="75B7B582" w:rsidR="00E76B6C" w:rsidRPr="00FA5477" w:rsidRDefault="00E76B6C" w:rsidP="009F704B">
            <w:pPr>
              <w:pStyle w:val="TableParagraph"/>
              <w:numPr>
                <w:ilvl w:val="0"/>
                <w:numId w:val="29"/>
              </w:numPr>
              <w:spacing w:after="60"/>
              <w:ind w:left="913" w:hanging="357"/>
              <w:jc w:val="both"/>
            </w:pPr>
            <w:r w:rsidRPr="00FA5477">
              <w:t xml:space="preserve">VICITS/amigables: Pruebas de VIH/ITS y otros servicios, </w:t>
            </w:r>
            <w:r w:rsidR="00D54A7C" w:rsidRPr="00FA5477">
              <w:t xml:space="preserve">actualmente se cuenta con </w:t>
            </w:r>
            <w:r w:rsidRPr="00FA5477">
              <w:t>25 VICITS</w:t>
            </w:r>
            <w:r w:rsidR="00E716AA" w:rsidRPr="00FA5477">
              <w:rPr>
                <w:rStyle w:val="Refdenotaalpie"/>
              </w:rPr>
              <w:footnoteReference w:id="1"/>
            </w:r>
            <w:r w:rsidRPr="00FA5477">
              <w:t xml:space="preserve"> y 13 </w:t>
            </w:r>
            <w:r w:rsidR="00D54A7C" w:rsidRPr="00FA5477">
              <w:t>Clínicas A</w:t>
            </w:r>
            <w:r w:rsidRPr="00FA5477">
              <w:t>migables</w:t>
            </w:r>
            <w:r w:rsidR="00E716AA" w:rsidRPr="00FA5477">
              <w:rPr>
                <w:rStyle w:val="Refdenotaalpie"/>
              </w:rPr>
              <w:footnoteReference w:id="2"/>
            </w:r>
            <w:r w:rsidRPr="00FA5477">
              <w:t xml:space="preserve"> distribuidas en todo el territorio nacional, las cuales cuentan con una amplia oferta de servicios de prevención de ITS</w:t>
            </w:r>
            <w:r w:rsidR="00D85DA5" w:rsidRPr="00FA5477">
              <w:t xml:space="preserve"> y </w:t>
            </w:r>
            <w:r w:rsidRPr="00FA5477">
              <w:t>VIH, con personal capacitado y sensibilizado en la atención integral de ITS.</w:t>
            </w:r>
          </w:p>
          <w:p w14:paraId="0DC742F4" w14:textId="31C45BC5" w:rsidR="00E76B6C" w:rsidRPr="00FA5477" w:rsidRDefault="00E76B6C" w:rsidP="009F704B">
            <w:pPr>
              <w:pStyle w:val="TableParagraph"/>
              <w:numPr>
                <w:ilvl w:val="0"/>
                <w:numId w:val="29"/>
              </w:numPr>
              <w:spacing w:after="60"/>
              <w:ind w:left="913" w:hanging="357"/>
              <w:jc w:val="both"/>
            </w:pPr>
            <w:r w:rsidRPr="00FA5477">
              <w:t>Actividades de promoción: De estrategias de prevención y auto cuido, estas se hacen desde espacios virtuales</w:t>
            </w:r>
            <w:r w:rsidR="00E376DE" w:rsidRPr="00FA5477">
              <w:t xml:space="preserve"> de los educadores pares</w:t>
            </w:r>
            <w:r w:rsidRPr="00FA5477">
              <w:t xml:space="preserve"> </w:t>
            </w:r>
            <w:r w:rsidR="0071773C" w:rsidRPr="00FA5477">
              <w:t>y también presencialmente desde las clínicas VICITS/Amigables.</w:t>
            </w:r>
          </w:p>
          <w:p w14:paraId="30604396" w14:textId="1D8579B5" w:rsidR="00E76B6C" w:rsidRPr="00FA5477" w:rsidRDefault="00E76B6C" w:rsidP="009F704B">
            <w:pPr>
              <w:pStyle w:val="TableParagraph"/>
              <w:numPr>
                <w:ilvl w:val="0"/>
                <w:numId w:val="29"/>
              </w:numPr>
              <w:spacing w:after="60"/>
              <w:ind w:left="913" w:hanging="357"/>
              <w:jc w:val="both"/>
            </w:pPr>
            <w:r w:rsidRPr="00FA5477">
              <w:t xml:space="preserve">PrEP: Entrega de PrEP </w:t>
            </w:r>
            <w:r w:rsidR="0071773C" w:rsidRPr="00FA5477">
              <w:t xml:space="preserve">continua y </w:t>
            </w:r>
            <w:r w:rsidR="004A5511" w:rsidRPr="00FA5477">
              <w:t>a demanda,</w:t>
            </w:r>
            <w:r w:rsidR="00E716AA" w:rsidRPr="00FA5477">
              <w:t xml:space="preserve"> </w:t>
            </w:r>
            <w:r w:rsidR="0071773C" w:rsidRPr="00FA5477">
              <w:t xml:space="preserve">así como </w:t>
            </w:r>
            <w:r w:rsidRPr="00FA5477">
              <w:t>su seguimiento.</w:t>
            </w:r>
          </w:p>
          <w:p w14:paraId="2E94911C" w14:textId="7D083FF2" w:rsidR="00922DB7" w:rsidRPr="00FA5477" w:rsidRDefault="00E76B6C" w:rsidP="00D54A7C">
            <w:pPr>
              <w:pStyle w:val="TableParagraph"/>
              <w:numPr>
                <w:ilvl w:val="0"/>
                <w:numId w:val="29"/>
              </w:numPr>
              <w:spacing w:after="120"/>
              <w:ind w:left="913" w:hanging="357"/>
              <w:jc w:val="both"/>
            </w:pPr>
            <w:r w:rsidRPr="00FA5477">
              <w:t>Unidades móviles: A</w:t>
            </w:r>
            <w:r w:rsidR="0020340A" w:rsidRPr="00FA5477">
              <w:t xml:space="preserve">demás de acercar </w:t>
            </w:r>
            <w:r w:rsidRPr="00FA5477">
              <w:t>la toma de pruebas de VIH en la comunidad</w:t>
            </w:r>
            <w:r w:rsidR="0020340A" w:rsidRPr="00FA5477">
              <w:t xml:space="preserve">, facilitan la entrega de material educativo en prevención </w:t>
            </w:r>
            <w:r w:rsidR="00A510A2" w:rsidRPr="00FA5477">
              <w:t xml:space="preserve">volviendo </w:t>
            </w:r>
            <w:r w:rsidR="0020340A" w:rsidRPr="00FA5477">
              <w:t>más atractiv</w:t>
            </w:r>
            <w:r w:rsidR="00A510A2" w:rsidRPr="00FA5477">
              <w:t>a</w:t>
            </w:r>
            <w:r w:rsidR="0020340A" w:rsidRPr="00FA5477">
              <w:t xml:space="preserve">s </w:t>
            </w:r>
            <w:r w:rsidR="00A510A2" w:rsidRPr="00FA5477">
              <w:t>las actividades</w:t>
            </w:r>
            <w:r w:rsidR="0020340A" w:rsidRPr="00FA5477">
              <w:t xml:space="preserve"> de prevención al ofertar servicios adicionales</w:t>
            </w:r>
            <w:r w:rsidR="004A5511" w:rsidRPr="00FA5477">
              <w:t>,</w:t>
            </w:r>
            <w:r w:rsidR="0020340A" w:rsidRPr="00FA5477">
              <w:t xml:space="preserve"> </w:t>
            </w:r>
            <w:r w:rsidR="004A5511" w:rsidRPr="00FA5477">
              <w:t>referencias</w:t>
            </w:r>
            <w:r w:rsidR="00611DB3" w:rsidRPr="00FA5477">
              <w:t xml:space="preserve"> efectivas</w:t>
            </w:r>
            <w:r w:rsidR="004A5511" w:rsidRPr="00FA5477">
              <w:t xml:space="preserve"> a PrEP y entrega de Autopruebas </w:t>
            </w:r>
            <w:r w:rsidR="0020340A" w:rsidRPr="00FA5477">
              <w:t>que son demandados por la población clave</w:t>
            </w:r>
            <w:r w:rsidRPr="00FA5477">
              <w:t>. Existen 2 unidades móviles que acercan la prueba dual VIH/sífilis a la población clave. cuentan con profesionales capacitados en el procesamiento de pruebas y confirmación. Estas coordinan con otros socios para hacer pruebas de VIH a poblaciones claves como actividades extramurales</w:t>
            </w:r>
            <w:r w:rsidR="00D85DA5" w:rsidRPr="00FA5477">
              <w:t>.</w:t>
            </w:r>
          </w:p>
          <w:p w14:paraId="310F59EE" w14:textId="432CF2AB" w:rsidR="00922DB7" w:rsidRPr="00FA5477" w:rsidRDefault="00922DB7" w:rsidP="00747B90">
            <w:pPr>
              <w:pStyle w:val="TableParagraph"/>
              <w:numPr>
                <w:ilvl w:val="0"/>
                <w:numId w:val="15"/>
              </w:numPr>
              <w:ind w:left="714" w:hanging="357"/>
              <w:jc w:val="both"/>
              <w:rPr>
                <w:b/>
                <w:bCs/>
              </w:rPr>
            </w:pPr>
            <w:r w:rsidRPr="00FA5477">
              <w:rPr>
                <w:b/>
                <w:bCs/>
              </w:rPr>
              <w:t>PEPFAR:</w:t>
            </w:r>
            <w:r w:rsidR="00A510A2" w:rsidRPr="00FA5477">
              <w:rPr>
                <w:b/>
                <w:bCs/>
              </w:rPr>
              <w:t xml:space="preserve"> </w:t>
            </w:r>
            <w:r w:rsidR="00A510A2" w:rsidRPr="00FA5477">
              <w:t>Los socios implementadores de PEPFAR</w:t>
            </w:r>
            <w:r w:rsidR="00D54A7C" w:rsidRPr="00FA5477">
              <w:t>,</w:t>
            </w:r>
            <w:r w:rsidR="00A510A2" w:rsidRPr="00FA5477">
              <w:t xml:space="preserve"> en forma coordinada</w:t>
            </w:r>
            <w:r w:rsidR="00D54A7C" w:rsidRPr="00FA5477">
              <w:t>,</w:t>
            </w:r>
            <w:r w:rsidR="00A510A2" w:rsidRPr="00FA5477">
              <w:t xml:space="preserve"> ejecutan acciones en apoyo a la respuesta nacional a través del MINSAL, a excepción de la Organización Panamericana de Mercadeo Social (PASMO) que realizan acciones en forma directa a usuarios/as. Todas las acciones son complementarias tanto en el tipo de intervención como en la cobertura geográfica.</w:t>
            </w:r>
            <w:r w:rsidR="00797139" w:rsidRPr="00FA5477">
              <w:t xml:space="preserve"> Con su apoyo se realizan:</w:t>
            </w:r>
          </w:p>
          <w:p w14:paraId="34F9DFAB" w14:textId="77777777" w:rsidR="00922DB7" w:rsidRPr="00FA5477" w:rsidRDefault="00922DB7" w:rsidP="00747B90">
            <w:pPr>
              <w:pStyle w:val="TableParagraph"/>
              <w:numPr>
                <w:ilvl w:val="0"/>
                <w:numId w:val="17"/>
              </w:numPr>
              <w:ind w:left="1077" w:hanging="357"/>
              <w:jc w:val="both"/>
            </w:pPr>
            <w:r w:rsidRPr="00FA5477">
              <w:t>PrEP: En clínicas privadas</w:t>
            </w:r>
          </w:p>
          <w:p w14:paraId="710685A6" w14:textId="77777777" w:rsidR="00922DB7" w:rsidRPr="00FA5477" w:rsidRDefault="00922DB7" w:rsidP="00747B90">
            <w:pPr>
              <w:pStyle w:val="TableParagraph"/>
              <w:numPr>
                <w:ilvl w:val="0"/>
                <w:numId w:val="17"/>
              </w:numPr>
              <w:ind w:left="1077" w:hanging="357"/>
              <w:jc w:val="both"/>
            </w:pPr>
            <w:r w:rsidRPr="00FA5477">
              <w:t>Paquetes de prevención: actividades comunitarias</w:t>
            </w:r>
          </w:p>
          <w:p w14:paraId="22422C0A" w14:textId="77777777" w:rsidR="00922DB7" w:rsidRPr="00FA5477" w:rsidRDefault="00922DB7" w:rsidP="00747B90">
            <w:pPr>
              <w:pStyle w:val="TableParagraph"/>
              <w:numPr>
                <w:ilvl w:val="0"/>
                <w:numId w:val="17"/>
              </w:numPr>
              <w:ind w:left="1077" w:hanging="357"/>
              <w:jc w:val="both"/>
            </w:pPr>
            <w:r w:rsidRPr="00FA5477">
              <w:t>Actividades de promoción a través de ChatBot y tecnologías de innovación</w:t>
            </w:r>
          </w:p>
          <w:p w14:paraId="40AF8998" w14:textId="77777777" w:rsidR="00922DB7" w:rsidRPr="00FA5477" w:rsidRDefault="00922DB7" w:rsidP="00747B90">
            <w:pPr>
              <w:pStyle w:val="TableParagraph"/>
              <w:numPr>
                <w:ilvl w:val="0"/>
                <w:numId w:val="17"/>
              </w:numPr>
              <w:spacing w:after="120"/>
              <w:ind w:left="1077" w:hanging="357"/>
              <w:jc w:val="both"/>
            </w:pPr>
            <w:r w:rsidRPr="00FA5477">
              <w:t>Promoción y asistencia técnica en PrEP</w:t>
            </w:r>
          </w:p>
          <w:p w14:paraId="27A44313" w14:textId="77777777" w:rsidR="00A510A2" w:rsidRPr="00FA5477" w:rsidRDefault="00A510A2" w:rsidP="00A510A2">
            <w:pPr>
              <w:pStyle w:val="TableParagraph"/>
              <w:spacing w:after="120"/>
              <w:jc w:val="both"/>
            </w:pPr>
            <w:r w:rsidRPr="00FA5477">
              <w:t>Todas las intervenciones serán documentadas y registradas en el SUMEVE.</w:t>
            </w:r>
          </w:p>
          <w:p w14:paraId="71435433" w14:textId="41727466" w:rsidR="006662B2" w:rsidRPr="00FA5477" w:rsidRDefault="006662B2" w:rsidP="00A510A2">
            <w:pPr>
              <w:pStyle w:val="TableParagraph"/>
              <w:spacing w:after="120"/>
              <w:jc w:val="both"/>
            </w:pPr>
            <w:r w:rsidRPr="00FA5477">
              <w:t xml:space="preserve">Teniendo en cuenta los posibles riesgos de seguridad que pueden limitar el alcance de los programas y perjudicar a las poblaciones clave y a quienes les prestan servicios se apoyará y se dará acompañamiento a los Planes de Seguridad y Protección, se han asignado recursos para financiar estas actividades. [Ver </w:t>
            </w:r>
            <w:r w:rsidR="005A067C" w:rsidRPr="00FA5477">
              <w:t xml:space="preserve">anexo </w:t>
            </w:r>
            <w:r w:rsidR="00E131F1" w:rsidRPr="00FA5477">
              <w:t>6</w:t>
            </w:r>
            <w:r w:rsidRPr="00FA5477">
              <w:t xml:space="preserve">] </w:t>
            </w:r>
          </w:p>
        </w:tc>
      </w:tr>
      <w:tr w:rsidR="00922DB7" w:rsidRPr="00FA5477" w14:paraId="05CC6532" w14:textId="77777777" w:rsidTr="00216516">
        <w:trPr>
          <w:trHeight w:val="451"/>
        </w:trPr>
        <w:tc>
          <w:tcPr>
            <w:tcW w:w="2709" w:type="dxa"/>
            <w:shd w:val="clear" w:color="auto" w:fill="F1F1F1"/>
          </w:tcPr>
          <w:p w14:paraId="4D74A733" w14:textId="77777777" w:rsidR="00922DB7" w:rsidRPr="00FA5477" w:rsidRDefault="00922DB7" w:rsidP="00922DB7">
            <w:pPr>
              <w:pStyle w:val="TableParagraph"/>
              <w:ind w:left="107"/>
              <w:rPr>
                <w:rFonts w:ascii="Arial"/>
                <w:b/>
                <w:sz w:val="24"/>
              </w:rPr>
            </w:pPr>
            <w:r w:rsidRPr="00FA5477">
              <w:rPr>
                <w:rFonts w:ascii="Arial"/>
                <w:b/>
                <w:sz w:val="24"/>
              </w:rPr>
              <w:t>Monto</w:t>
            </w:r>
            <w:r w:rsidRPr="00FA5477">
              <w:rPr>
                <w:rFonts w:ascii="Arial"/>
                <w:b/>
                <w:spacing w:val="-1"/>
                <w:sz w:val="24"/>
              </w:rPr>
              <w:t xml:space="preserve"> </w:t>
            </w:r>
            <w:r w:rsidRPr="00FA5477">
              <w:rPr>
                <w:rFonts w:ascii="Arial"/>
                <w:b/>
                <w:sz w:val="24"/>
              </w:rPr>
              <w:t>solicitado</w:t>
            </w:r>
          </w:p>
        </w:tc>
        <w:tc>
          <w:tcPr>
            <w:tcW w:w="12415" w:type="dxa"/>
            <w:shd w:val="clear" w:color="auto" w:fill="F1F1F1"/>
            <w:tcMar>
              <w:left w:w="85" w:type="dxa"/>
              <w:right w:w="85" w:type="dxa"/>
            </w:tcMar>
          </w:tcPr>
          <w:p w14:paraId="0F3F2DCA" w14:textId="1CF077BD" w:rsidR="00922DB7" w:rsidRPr="00FA5477" w:rsidRDefault="00922DB7" w:rsidP="00922DB7">
            <w:pPr>
              <w:pStyle w:val="TableParagraph"/>
              <w:spacing w:before="120" w:after="120"/>
              <w:rPr>
                <w:rFonts w:ascii="Times New Roman"/>
                <w:b/>
                <w:bCs/>
                <w:sz w:val="24"/>
                <w:szCs w:val="24"/>
              </w:rPr>
            </w:pPr>
            <w:r w:rsidRPr="00FA5477">
              <w:rPr>
                <w:b/>
                <w:bCs/>
              </w:rPr>
              <w:t>$</w:t>
            </w:r>
            <w:r w:rsidR="000A1B74">
              <w:rPr>
                <w:b/>
                <w:bCs/>
              </w:rPr>
              <w:t>2</w:t>
            </w:r>
            <w:r w:rsidRPr="00FA5477">
              <w:rPr>
                <w:b/>
                <w:bCs/>
              </w:rPr>
              <w:t>,</w:t>
            </w:r>
            <w:r w:rsidR="000A1B74">
              <w:rPr>
                <w:b/>
                <w:bCs/>
              </w:rPr>
              <w:t>949</w:t>
            </w:r>
            <w:r w:rsidRPr="00FA5477">
              <w:rPr>
                <w:b/>
                <w:bCs/>
              </w:rPr>
              <w:t>,</w:t>
            </w:r>
            <w:r w:rsidR="000A1B74">
              <w:rPr>
                <w:b/>
                <w:bCs/>
              </w:rPr>
              <w:t>682</w:t>
            </w:r>
            <w:r w:rsidRPr="00FA5477">
              <w:rPr>
                <w:b/>
                <w:bCs/>
              </w:rPr>
              <w:t>.</w:t>
            </w:r>
            <w:r w:rsidR="000A1B74">
              <w:rPr>
                <w:b/>
                <w:bCs/>
              </w:rPr>
              <w:t>00</w:t>
            </w:r>
          </w:p>
        </w:tc>
      </w:tr>
      <w:tr w:rsidR="00922DB7" w:rsidRPr="00FA5477" w14:paraId="2E5B8936" w14:textId="77777777" w:rsidTr="00216516">
        <w:trPr>
          <w:trHeight w:val="450"/>
        </w:trPr>
        <w:tc>
          <w:tcPr>
            <w:tcW w:w="2709" w:type="dxa"/>
          </w:tcPr>
          <w:p w14:paraId="0D52D53B" w14:textId="77777777" w:rsidR="00922DB7" w:rsidRPr="00FA5477" w:rsidRDefault="00922DB7" w:rsidP="00922DB7">
            <w:pPr>
              <w:pStyle w:val="TableParagraph"/>
              <w:ind w:left="107"/>
              <w:rPr>
                <w:rFonts w:ascii="Arial"/>
                <w:b/>
                <w:sz w:val="24"/>
              </w:rPr>
            </w:pPr>
            <w:r w:rsidRPr="00FA5477">
              <w:rPr>
                <w:rFonts w:ascii="Arial"/>
                <w:b/>
                <w:sz w:val="24"/>
              </w:rPr>
              <w:t>Resultado</w:t>
            </w:r>
            <w:r w:rsidRPr="00FA5477">
              <w:rPr>
                <w:rFonts w:ascii="Arial"/>
                <w:b/>
                <w:spacing w:val="-1"/>
                <w:sz w:val="24"/>
              </w:rPr>
              <w:t xml:space="preserve"> </w:t>
            </w:r>
            <w:r w:rsidRPr="00FA5477">
              <w:rPr>
                <w:rFonts w:ascii="Arial"/>
                <w:b/>
                <w:sz w:val="24"/>
              </w:rPr>
              <w:t>previsto</w:t>
            </w:r>
          </w:p>
        </w:tc>
        <w:tc>
          <w:tcPr>
            <w:tcW w:w="12415" w:type="dxa"/>
            <w:shd w:val="clear" w:color="auto" w:fill="auto"/>
            <w:tcMar>
              <w:left w:w="85" w:type="dxa"/>
              <w:right w:w="85" w:type="dxa"/>
            </w:tcMar>
          </w:tcPr>
          <w:p w14:paraId="1F6F83AA" w14:textId="0AE8717F" w:rsidR="00922DB7" w:rsidRPr="00FA5477" w:rsidRDefault="00922DB7" w:rsidP="00732655">
            <w:pPr>
              <w:pStyle w:val="TableParagraph"/>
              <w:spacing w:before="120" w:after="120"/>
              <w:ind w:left="336" w:hanging="336"/>
              <w:jc w:val="both"/>
            </w:pPr>
            <w:r w:rsidRPr="00FA5477">
              <w:t xml:space="preserve">Contribuir a la disminución de la </w:t>
            </w:r>
            <w:r w:rsidR="00523EE6" w:rsidRPr="00FA5477">
              <w:t>prevalencia</w:t>
            </w:r>
            <w:r w:rsidRPr="00FA5477">
              <w:t xml:space="preserve"> de VIH en la población de HSH (hombres que tienen relaciones sexuales con hombres)</w:t>
            </w:r>
            <w:r w:rsidR="00523EE6" w:rsidRPr="00FA5477">
              <w:t xml:space="preserve">, lo cual se va a lograr a través de la distribución y reforzamiento del uso continuo y permanente del condón, las acciones de </w:t>
            </w:r>
            <w:r w:rsidR="00DB22E8" w:rsidRPr="00FA5477">
              <w:t>disminución de riesgo sustancial</w:t>
            </w:r>
            <w:r w:rsidRPr="00FA5477">
              <w:t>.</w:t>
            </w:r>
            <w:r w:rsidR="00523EE6" w:rsidRPr="00FA5477">
              <w:t xml:space="preserve"> Con esto se espera también ampliar los servicios de prevención de los HSH con al menos dos contactos en un año.</w:t>
            </w:r>
          </w:p>
          <w:p w14:paraId="158F72F8" w14:textId="77777777" w:rsidR="008F64B1" w:rsidRPr="00FA5477" w:rsidRDefault="00944E3C" w:rsidP="008F64B1">
            <w:pPr>
              <w:pStyle w:val="TableParagraph"/>
              <w:spacing w:before="120" w:after="120"/>
              <w:ind w:left="336" w:hanging="336"/>
            </w:pPr>
            <w:r w:rsidRPr="00FA5477">
              <w:t xml:space="preserve">Promover ambientes de atención a </w:t>
            </w:r>
            <w:r w:rsidR="00BC4002" w:rsidRPr="00FA5477">
              <w:t>HSH</w:t>
            </w:r>
            <w:r w:rsidRPr="00FA5477">
              <w:t xml:space="preserve"> libres de estigma y discriminación.</w:t>
            </w:r>
          </w:p>
          <w:p w14:paraId="3DCAF666" w14:textId="41C429D4" w:rsidR="00944E3C" w:rsidRPr="00FA5477" w:rsidRDefault="008F64B1" w:rsidP="008F64B1">
            <w:pPr>
              <w:pStyle w:val="TableParagraph"/>
              <w:spacing w:before="120" w:after="120"/>
              <w:ind w:left="336" w:hanging="336"/>
              <w:rPr>
                <w:rFonts w:ascii="Times New Roman"/>
              </w:rPr>
            </w:pPr>
            <w:r w:rsidRPr="00FA5477">
              <w:t>El 49.69% de la población estimada de HSH ha recibido paquetes ha recibido paquetes definidos de servicios al final de esta subvención</w:t>
            </w:r>
            <w:r w:rsidR="00EB683A" w:rsidRPr="00FA5477">
              <w:t xml:space="preserve"> (meta en marco de desempeño).</w:t>
            </w:r>
          </w:p>
        </w:tc>
      </w:tr>
    </w:tbl>
    <w:p w14:paraId="7B3ADA18" w14:textId="77777777" w:rsidR="00581DC6" w:rsidRPr="00FA5477" w:rsidRDefault="00581DC6">
      <w:pPr>
        <w:rPr>
          <w:rFonts w:ascii="Arial" w:hAnsi="Arial"/>
          <w:i/>
          <w:sz w:val="20"/>
        </w:rPr>
      </w:pPr>
      <w:r w:rsidRPr="00FA5477">
        <w:rPr>
          <w:rFonts w:ascii="Arial" w:hAnsi="Arial"/>
          <w:i/>
          <w:sz w:val="20"/>
        </w:rPr>
        <w:br w:type="page"/>
      </w:r>
    </w:p>
    <w:tbl>
      <w:tblPr>
        <w:tblStyle w:val="TableNormal1"/>
        <w:tblW w:w="0" w:type="auto"/>
        <w:tblInd w:w="1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568"/>
        <w:gridCol w:w="12556"/>
      </w:tblGrid>
      <w:tr w:rsidR="00922DB7" w:rsidRPr="00FA5477" w14:paraId="50361942" w14:textId="77777777" w:rsidTr="00360383">
        <w:trPr>
          <w:trHeight w:hRule="exact" w:val="451"/>
          <w:tblHeader/>
        </w:trPr>
        <w:tc>
          <w:tcPr>
            <w:tcW w:w="2568" w:type="dxa"/>
            <w:shd w:val="clear" w:color="auto" w:fill="auto"/>
          </w:tcPr>
          <w:p w14:paraId="175D1D91" w14:textId="1078C3A6" w:rsidR="00922DB7" w:rsidRPr="00FA5477" w:rsidRDefault="00922DB7" w:rsidP="00922DB7">
            <w:pPr>
              <w:pStyle w:val="TableParagraph"/>
              <w:ind w:left="107"/>
              <w:rPr>
                <w:rFonts w:ascii="Arial" w:hAnsi="Arial"/>
                <w:b/>
                <w:sz w:val="24"/>
              </w:rPr>
            </w:pPr>
            <w:r w:rsidRPr="00FA5477">
              <w:rPr>
                <w:rFonts w:ascii="Arial" w:hAnsi="Arial"/>
                <w:b/>
                <w:sz w:val="24"/>
              </w:rPr>
              <w:t>Módulo</w:t>
            </w:r>
            <w:r w:rsidRPr="00FA5477">
              <w:rPr>
                <w:rFonts w:ascii="Arial" w:hAnsi="Arial"/>
                <w:b/>
                <w:spacing w:val="-2"/>
                <w:sz w:val="24"/>
              </w:rPr>
              <w:t xml:space="preserve"> </w:t>
            </w:r>
            <w:r w:rsidRPr="00FA5477">
              <w:rPr>
                <w:rFonts w:ascii="Arial" w:hAnsi="Arial"/>
                <w:b/>
                <w:sz w:val="24"/>
              </w:rPr>
              <w:t>2</w:t>
            </w:r>
          </w:p>
        </w:tc>
        <w:tc>
          <w:tcPr>
            <w:tcW w:w="12556" w:type="dxa"/>
            <w:tcMar>
              <w:left w:w="85" w:type="dxa"/>
              <w:right w:w="85" w:type="dxa"/>
            </w:tcMar>
            <w:vAlign w:val="center"/>
          </w:tcPr>
          <w:p w14:paraId="6A441066" w14:textId="4636778B" w:rsidR="00922DB7" w:rsidRPr="00FA5477" w:rsidRDefault="00922DB7" w:rsidP="00922DB7">
            <w:pPr>
              <w:pStyle w:val="TableParagraph"/>
              <w:spacing w:before="120" w:after="120"/>
              <w:ind w:left="105"/>
              <w:rPr>
                <w:rFonts w:ascii="Arial" w:hAnsi="Arial"/>
                <w:b/>
                <w:bCs/>
                <w:sz w:val="24"/>
                <w:szCs w:val="24"/>
              </w:rPr>
            </w:pPr>
            <w:r w:rsidRPr="00FA5477">
              <w:rPr>
                <w:b/>
                <w:bCs/>
                <w:sz w:val="24"/>
                <w:szCs w:val="24"/>
              </w:rPr>
              <w:t>Paquete de prevención para personas transgénero y sus parejas sexuales</w:t>
            </w:r>
          </w:p>
        </w:tc>
      </w:tr>
      <w:tr w:rsidR="00922DB7" w:rsidRPr="00FA5477" w14:paraId="145D49E4" w14:textId="77777777" w:rsidTr="003E63EE">
        <w:trPr>
          <w:trHeight w:hRule="exact" w:val="2261"/>
        </w:trPr>
        <w:tc>
          <w:tcPr>
            <w:tcW w:w="2568" w:type="dxa"/>
            <w:shd w:val="clear" w:color="auto" w:fill="F1F1F1"/>
          </w:tcPr>
          <w:p w14:paraId="4673CAA6" w14:textId="77777777" w:rsidR="00922DB7" w:rsidRPr="00FA5477" w:rsidRDefault="00922DB7" w:rsidP="00922DB7">
            <w:pPr>
              <w:pStyle w:val="TableParagraph"/>
              <w:ind w:left="107"/>
              <w:rPr>
                <w:rFonts w:ascii="Arial" w:hAnsi="Arial"/>
                <w:b/>
                <w:sz w:val="24"/>
              </w:rPr>
            </w:pPr>
            <w:r w:rsidRPr="00FA5477">
              <w:rPr>
                <w:rFonts w:ascii="Arial" w:hAnsi="Arial"/>
                <w:b/>
                <w:sz w:val="24"/>
              </w:rPr>
              <w:t>Intervención(es)</w:t>
            </w:r>
          </w:p>
        </w:tc>
        <w:tc>
          <w:tcPr>
            <w:tcW w:w="12556" w:type="dxa"/>
            <w:shd w:val="clear" w:color="auto" w:fill="F1F1F1"/>
            <w:tcMar>
              <w:left w:w="85" w:type="dxa"/>
              <w:right w:w="85" w:type="dxa"/>
            </w:tcMar>
            <w:vAlign w:val="center"/>
          </w:tcPr>
          <w:p w14:paraId="16FBEC14" w14:textId="77777777" w:rsidR="00922DB7" w:rsidRPr="00FA5477" w:rsidRDefault="00922DB7" w:rsidP="003E63EE">
            <w:pPr>
              <w:pStyle w:val="TableParagraph"/>
              <w:spacing w:after="60"/>
              <w:ind w:left="510" w:hanging="272"/>
              <w:jc w:val="both"/>
              <w:rPr>
                <w:b/>
                <w:bCs/>
                <w:sz w:val="24"/>
                <w:szCs w:val="24"/>
              </w:rPr>
            </w:pPr>
            <w:r w:rsidRPr="00FA5477">
              <w:rPr>
                <w:b/>
                <w:bCs/>
                <w:sz w:val="24"/>
                <w:szCs w:val="24"/>
              </w:rPr>
              <w:t>Programas de preservativos y lubricantes para personas transgénero</w:t>
            </w:r>
          </w:p>
          <w:p w14:paraId="599C81B2" w14:textId="77777777" w:rsidR="00922DB7" w:rsidRPr="00FA5477" w:rsidRDefault="00922DB7" w:rsidP="003E63EE">
            <w:pPr>
              <w:pStyle w:val="TableParagraph"/>
              <w:spacing w:after="60"/>
              <w:ind w:left="510" w:hanging="272"/>
              <w:jc w:val="both"/>
              <w:rPr>
                <w:b/>
                <w:bCs/>
                <w:sz w:val="24"/>
                <w:szCs w:val="24"/>
              </w:rPr>
            </w:pPr>
            <w:r w:rsidRPr="00FA5477">
              <w:rPr>
                <w:b/>
                <w:bCs/>
                <w:sz w:val="24"/>
                <w:szCs w:val="24"/>
              </w:rPr>
              <w:t>Programas de profilaxis previa a la exposición (PrEP) para personas transgénero</w:t>
            </w:r>
          </w:p>
          <w:p w14:paraId="64287FF9" w14:textId="77777777" w:rsidR="00922DB7" w:rsidRPr="00FA5477" w:rsidRDefault="00922DB7" w:rsidP="003E63EE">
            <w:pPr>
              <w:pStyle w:val="TableParagraph"/>
              <w:spacing w:after="60"/>
              <w:ind w:left="510" w:hanging="272"/>
              <w:jc w:val="both"/>
              <w:rPr>
                <w:b/>
                <w:bCs/>
                <w:sz w:val="24"/>
                <w:szCs w:val="24"/>
              </w:rPr>
            </w:pPr>
            <w:r w:rsidRPr="00FA5477">
              <w:rPr>
                <w:b/>
                <w:bCs/>
                <w:sz w:val="24"/>
                <w:szCs w:val="24"/>
              </w:rPr>
              <w:t>Comunicación, información y generación de demanda sobre prevención del VIH para personas transgénero</w:t>
            </w:r>
          </w:p>
          <w:p w14:paraId="7B22825E" w14:textId="77777777" w:rsidR="003E63EE" w:rsidRPr="00FA5477" w:rsidRDefault="00922DB7" w:rsidP="003E63EE">
            <w:pPr>
              <w:pStyle w:val="TableParagraph"/>
              <w:spacing w:after="60"/>
              <w:ind w:left="510" w:hanging="272"/>
              <w:jc w:val="both"/>
              <w:rPr>
                <w:b/>
                <w:bCs/>
                <w:sz w:val="24"/>
                <w:szCs w:val="24"/>
              </w:rPr>
            </w:pPr>
            <w:r w:rsidRPr="00FA5477">
              <w:rPr>
                <w:b/>
                <w:bCs/>
                <w:sz w:val="24"/>
                <w:szCs w:val="24"/>
              </w:rPr>
              <w:t>Servicios de salud sexual y reproductiva, por ejemplo, de ITS, hepatitis y atención para víctimas de la violencia, destinados a personas transgénero</w:t>
            </w:r>
          </w:p>
          <w:p w14:paraId="63321BB1" w14:textId="5657A359" w:rsidR="00922DB7" w:rsidRPr="00FA5477" w:rsidRDefault="003E63EE" w:rsidP="003E63EE">
            <w:pPr>
              <w:pStyle w:val="TableParagraph"/>
              <w:spacing w:after="60"/>
              <w:ind w:left="510" w:hanging="272"/>
              <w:jc w:val="both"/>
              <w:rPr>
                <w:b/>
                <w:bCs/>
                <w:sz w:val="24"/>
                <w:szCs w:val="24"/>
              </w:rPr>
            </w:pPr>
            <w:r w:rsidRPr="00FA5477">
              <w:rPr>
                <w:b/>
                <w:bCs/>
                <w:sz w:val="24"/>
                <w:szCs w:val="24"/>
              </w:rPr>
              <w:t>Eliminación de los obstáculos relacionados con los derechos humanos que impiden el acceso a los servicios de prevención de las personas transgénero</w:t>
            </w:r>
          </w:p>
        </w:tc>
      </w:tr>
      <w:tr w:rsidR="008B1619" w:rsidRPr="00FA5477" w14:paraId="4B5256EF" w14:textId="77777777" w:rsidTr="00216516">
        <w:trPr>
          <w:trHeight w:val="558"/>
        </w:trPr>
        <w:tc>
          <w:tcPr>
            <w:tcW w:w="2568" w:type="dxa"/>
          </w:tcPr>
          <w:p w14:paraId="59E87B94" w14:textId="77777777" w:rsidR="008B1619" w:rsidRPr="00FA5477" w:rsidRDefault="008B1619" w:rsidP="008B1619">
            <w:pPr>
              <w:pStyle w:val="TableParagraph"/>
              <w:spacing w:line="264" w:lineRule="auto"/>
              <w:ind w:left="107" w:right="424"/>
              <w:rPr>
                <w:rFonts w:ascii="Arial" w:hAnsi="Arial"/>
                <w:b/>
                <w:sz w:val="24"/>
              </w:rPr>
            </w:pPr>
            <w:r w:rsidRPr="00FA5477">
              <w:rPr>
                <w:rFonts w:ascii="Arial" w:hAnsi="Arial"/>
                <w:b/>
                <w:sz w:val="24"/>
              </w:rPr>
              <w:t>Población, regiones</w:t>
            </w:r>
            <w:r w:rsidRPr="00FA5477">
              <w:rPr>
                <w:rFonts w:ascii="Arial" w:hAnsi="Arial"/>
                <w:b/>
                <w:spacing w:val="1"/>
                <w:sz w:val="24"/>
              </w:rPr>
              <w:t xml:space="preserve"> </w:t>
            </w:r>
            <w:r w:rsidRPr="00FA5477">
              <w:rPr>
                <w:rFonts w:ascii="Arial" w:hAnsi="Arial"/>
                <w:b/>
                <w:sz w:val="24"/>
              </w:rPr>
              <w:t>geográficas u</w:t>
            </w:r>
            <w:r w:rsidRPr="00FA5477">
              <w:rPr>
                <w:rFonts w:ascii="Arial" w:hAnsi="Arial"/>
                <w:b/>
                <w:spacing w:val="1"/>
                <w:sz w:val="24"/>
              </w:rPr>
              <w:t xml:space="preserve"> </w:t>
            </w:r>
            <w:r w:rsidRPr="00FA5477">
              <w:rPr>
                <w:rFonts w:ascii="Arial" w:hAnsi="Arial"/>
                <w:b/>
                <w:sz w:val="24"/>
              </w:rPr>
              <w:t>obstáculos</w:t>
            </w:r>
            <w:r w:rsidRPr="00FA5477">
              <w:rPr>
                <w:rFonts w:ascii="Arial" w:hAnsi="Arial"/>
                <w:b/>
                <w:spacing w:val="-14"/>
                <w:sz w:val="24"/>
              </w:rPr>
              <w:t xml:space="preserve"> </w:t>
            </w:r>
            <w:r w:rsidRPr="00FA5477">
              <w:rPr>
                <w:rFonts w:ascii="Arial" w:hAnsi="Arial"/>
                <w:b/>
                <w:sz w:val="24"/>
              </w:rPr>
              <w:t>abordados</w:t>
            </w:r>
          </w:p>
        </w:tc>
        <w:tc>
          <w:tcPr>
            <w:tcW w:w="12556" w:type="dxa"/>
            <w:shd w:val="clear" w:color="auto" w:fill="auto"/>
            <w:tcMar>
              <w:left w:w="85" w:type="dxa"/>
              <w:right w:w="85" w:type="dxa"/>
            </w:tcMar>
          </w:tcPr>
          <w:p w14:paraId="7BF7DD04" w14:textId="2D7044AC" w:rsidR="00A975C9" w:rsidRPr="00FA5477" w:rsidRDefault="00A975C9" w:rsidP="00AE3F80">
            <w:pPr>
              <w:pStyle w:val="TableParagraph"/>
              <w:spacing w:before="60" w:after="60"/>
              <w:jc w:val="both"/>
            </w:pPr>
            <w:r w:rsidRPr="00FA5477">
              <w:t>En este módulo se trabajará en actividades que contribuyen a aumentar el uso del preservativo en esta población y en actividades que promuevan la educación sobre prevención del VIH y el uso de la PrEP.</w:t>
            </w:r>
            <w:r w:rsidR="00746BCE" w:rsidRPr="00FA5477">
              <w:t xml:space="preserve"> Con la intención de generar espacios de acceso a los servicios de salud -más allá de los de carácter institucional (MINSAL)- aproximándolos donde se reúnen, las intervenciones se adaptan según las necesidades y demanda de atención a la población de </w:t>
            </w:r>
            <w:r w:rsidR="00732655" w:rsidRPr="00FA5477">
              <w:t>personas transgénero</w:t>
            </w:r>
            <w:r w:rsidR="00746BCE" w:rsidRPr="00FA5477">
              <w:t>.</w:t>
            </w:r>
          </w:p>
          <w:p w14:paraId="6EE6E221" w14:textId="30A4E649" w:rsidR="00A975C9" w:rsidRPr="00FA5477" w:rsidRDefault="00746BCE" w:rsidP="00AE3F80">
            <w:pPr>
              <w:widowControl/>
              <w:autoSpaceDE/>
              <w:autoSpaceDN/>
              <w:spacing w:after="60" w:line="259" w:lineRule="auto"/>
              <w:contextualSpacing/>
              <w:jc w:val="both"/>
              <w:rPr>
                <w:rFonts w:cs="Arial"/>
              </w:rPr>
            </w:pPr>
            <w:r w:rsidRPr="00FA5477">
              <w:t xml:space="preserve">Para la población de </w:t>
            </w:r>
            <w:r w:rsidR="00732655" w:rsidRPr="00FA5477">
              <w:t>personas transgénero</w:t>
            </w:r>
            <w:r w:rsidRPr="00FA5477">
              <w:t xml:space="preserve"> se implementarán t</w:t>
            </w:r>
            <w:r w:rsidR="00A975C9" w:rsidRPr="00FA5477">
              <w:t xml:space="preserve">odas las intervenciones y actividades </w:t>
            </w:r>
            <w:r w:rsidRPr="00FA5477">
              <w:t xml:space="preserve">mencionadas en el </w:t>
            </w:r>
            <w:r w:rsidR="00A975C9" w:rsidRPr="00FA5477">
              <w:t>Módulo 1</w:t>
            </w:r>
            <w:r w:rsidRPr="00FA5477">
              <w:t xml:space="preserve"> (HSH</w:t>
            </w:r>
            <w:r w:rsidR="00A975C9" w:rsidRPr="00FA5477">
              <w:t xml:space="preserve">) </w:t>
            </w:r>
            <w:r w:rsidRPr="00FA5477">
              <w:t xml:space="preserve">y adicionalmente las actividades relacionadas con las siguientes intervenciones: </w:t>
            </w:r>
            <w:r w:rsidR="00A975C9" w:rsidRPr="00FA5477">
              <w:t xml:space="preserve">Servicios de salud sexual y reproductiva, por ejemplo, de ITS, hepatitis y atención para víctimas de la violencia, </w:t>
            </w:r>
            <w:r w:rsidR="000E08A9" w:rsidRPr="00FA5477">
              <w:t xml:space="preserve">las cuales serán derivadas a las atenciones nacionales relacionadas con los lineamientos que incluyen PEP y atención psicológica </w:t>
            </w:r>
            <w:r w:rsidR="00A975C9" w:rsidRPr="00FA5477">
              <w:t>destinados a personas transgénero la cual será implementada solo por el RP PLAN y eliminación de los obstáculos relacionados con los derechos humanos que impiden el acceso a los servicios de prevención de las personas transgénero</w:t>
            </w:r>
            <w:r w:rsidR="00DD06D3" w:rsidRPr="00FA5477">
              <w:t>. Así mismo se incluirán el fortalecimiento para la instalación, seguimiento y monitoreo de un observatorio de derechos humanos el cual estará liderado por las organizaciones de la sociedad civil que incluyen mecanismos de denuncias para reducir el estigma y la discriminación en los servicios.</w:t>
            </w:r>
          </w:p>
          <w:p w14:paraId="2A7DF99C" w14:textId="2E0328CE" w:rsidR="00A975C9" w:rsidRPr="00FA5477" w:rsidRDefault="00A975C9" w:rsidP="00AE3F80">
            <w:pPr>
              <w:pStyle w:val="TableParagraph"/>
              <w:spacing w:before="60" w:after="60"/>
              <w:jc w:val="both"/>
            </w:pPr>
            <w:r w:rsidRPr="00FA5477">
              <w:t>Contexto:</w:t>
            </w:r>
            <w:r w:rsidR="001E679B" w:rsidRPr="00FA5477">
              <w:t xml:space="preserve"> La situación planteada para HSH, es común para personas</w:t>
            </w:r>
            <w:r w:rsidR="00732655" w:rsidRPr="00FA5477">
              <w:t xml:space="preserve"> transgénero </w:t>
            </w:r>
            <w:r w:rsidR="001E679B" w:rsidRPr="00FA5477">
              <w:t>(ver Módulo 1).</w:t>
            </w:r>
            <w:r w:rsidR="00725E7F" w:rsidRPr="00FA5477">
              <w:t xml:space="preserve"> </w:t>
            </w:r>
          </w:p>
          <w:p w14:paraId="593600E9" w14:textId="77777777" w:rsidR="00A975C9" w:rsidRPr="00FA5477" w:rsidRDefault="00A975C9" w:rsidP="00E35093">
            <w:pPr>
              <w:pStyle w:val="TableParagraph"/>
              <w:spacing w:before="60" w:after="60"/>
              <w:ind w:left="369" w:hanging="369"/>
              <w:jc w:val="both"/>
            </w:pPr>
            <w:r w:rsidRPr="00FA5477">
              <w:t>La actividad que se implementará en dicha intervención es la siguiente:</w:t>
            </w:r>
          </w:p>
          <w:p w14:paraId="07CDD293" w14:textId="79D47A74" w:rsidR="00A975C9" w:rsidRPr="00FA5477" w:rsidRDefault="00A975C9" w:rsidP="008F64B1">
            <w:pPr>
              <w:pStyle w:val="TableParagraph"/>
              <w:numPr>
                <w:ilvl w:val="0"/>
                <w:numId w:val="19"/>
              </w:numPr>
              <w:spacing w:before="120"/>
              <w:ind w:left="510" w:hanging="357"/>
              <w:jc w:val="both"/>
              <w:rPr>
                <w:b/>
                <w:bCs/>
              </w:rPr>
            </w:pPr>
            <w:r w:rsidRPr="00FA5477">
              <w:rPr>
                <w:b/>
                <w:bCs/>
              </w:rPr>
              <w:t xml:space="preserve">RP PLAN y su socio implementador (SR): </w:t>
            </w:r>
          </w:p>
          <w:p w14:paraId="60AD21AD" w14:textId="3E533285" w:rsidR="00A975C9" w:rsidRPr="00FA5477" w:rsidRDefault="00A975C9" w:rsidP="00100559">
            <w:pPr>
              <w:pStyle w:val="TableParagraph"/>
              <w:numPr>
                <w:ilvl w:val="0"/>
                <w:numId w:val="32"/>
              </w:numPr>
              <w:spacing w:after="120"/>
              <w:jc w:val="both"/>
            </w:pPr>
            <w:r w:rsidRPr="00FA5477">
              <w:t xml:space="preserve">Servicios de diagnóstico y de prevención diferenciados: A través del financiamiento solicitado de FM, se </w:t>
            </w:r>
            <w:r w:rsidR="00746BCE" w:rsidRPr="00FA5477">
              <w:t xml:space="preserve">reforzará a la organización implementadora </w:t>
            </w:r>
            <w:r w:rsidR="00100559" w:rsidRPr="00FA5477">
              <w:t>para:</w:t>
            </w:r>
          </w:p>
          <w:p w14:paraId="6CF1D837" w14:textId="48034F46" w:rsidR="00A975C9" w:rsidRPr="00FA5477" w:rsidRDefault="00A975C9" w:rsidP="00AE3F80">
            <w:pPr>
              <w:pStyle w:val="TableParagraph"/>
              <w:numPr>
                <w:ilvl w:val="0"/>
                <w:numId w:val="31"/>
              </w:numPr>
              <w:spacing w:after="120"/>
              <w:jc w:val="both"/>
              <w:rPr>
                <w:b/>
                <w:bCs/>
              </w:rPr>
            </w:pPr>
            <w:r w:rsidRPr="00FA5477">
              <w:t>Acompañamiento personalizado:  se incluirá dos promotoras pares más</w:t>
            </w:r>
            <w:r w:rsidR="00A01AD4" w:rsidRPr="00FA5477">
              <w:t>,</w:t>
            </w:r>
            <w:r w:rsidRPr="00FA5477">
              <w:t xml:space="preserve"> que acompañar</w:t>
            </w:r>
            <w:r w:rsidR="00A01AD4" w:rsidRPr="00FA5477">
              <w:t>á</w:t>
            </w:r>
            <w:r w:rsidRPr="00FA5477">
              <w:t xml:space="preserve">n a las </w:t>
            </w:r>
            <w:r w:rsidR="00A01AD4" w:rsidRPr="00FA5477">
              <w:t xml:space="preserve">personas </w:t>
            </w:r>
            <w:r w:rsidRPr="00FA5477">
              <w:t>trans</w:t>
            </w:r>
            <w:r w:rsidR="00732655" w:rsidRPr="00FA5477">
              <w:t>género</w:t>
            </w:r>
            <w:r w:rsidRPr="00FA5477">
              <w:t xml:space="preserve"> a l</w:t>
            </w:r>
            <w:r w:rsidR="00A01AD4" w:rsidRPr="00FA5477">
              <w:t>a</w:t>
            </w:r>
            <w:r w:rsidRPr="00FA5477">
              <w:t xml:space="preserve">s </w:t>
            </w:r>
            <w:r w:rsidR="00A01AD4" w:rsidRPr="00FA5477">
              <w:t>clínicas</w:t>
            </w:r>
            <w:r w:rsidRPr="00FA5477">
              <w:t xml:space="preserve"> VICITS y </w:t>
            </w:r>
            <w:r w:rsidR="00A01AD4" w:rsidRPr="00FA5477">
              <w:t>A</w:t>
            </w:r>
            <w:r w:rsidRPr="00FA5477">
              <w:t xml:space="preserve">migables </w:t>
            </w:r>
            <w:r w:rsidR="00A01AD4" w:rsidRPr="00FA5477">
              <w:t xml:space="preserve">asegurando </w:t>
            </w:r>
            <w:r w:rsidRPr="00FA5477">
              <w:t>una atención integral y el acceso a los servicio</w:t>
            </w:r>
            <w:r w:rsidR="00100559" w:rsidRPr="00FA5477">
              <w:t>s en un ambiente libre de estigma y discriminación</w:t>
            </w:r>
            <w:r w:rsidR="00A01AD4" w:rsidRPr="00FA5477">
              <w:t>.</w:t>
            </w:r>
          </w:p>
          <w:p w14:paraId="54CD781A" w14:textId="41B685DE" w:rsidR="00A975C9" w:rsidRPr="00FA5477" w:rsidRDefault="00100559" w:rsidP="008B2B26">
            <w:pPr>
              <w:pStyle w:val="TableParagraph"/>
              <w:numPr>
                <w:ilvl w:val="0"/>
                <w:numId w:val="31"/>
              </w:numPr>
              <w:spacing w:after="120"/>
              <w:jc w:val="both"/>
              <w:rPr>
                <w:b/>
                <w:bCs/>
              </w:rPr>
            </w:pPr>
            <w:r w:rsidRPr="00FA5477">
              <w:t xml:space="preserve">Adquisición </w:t>
            </w:r>
            <w:r w:rsidR="00A975C9" w:rsidRPr="00FA5477">
              <w:t>de servicios privados que ofrezcan el paquete de servicios VICITS</w:t>
            </w:r>
            <w:r w:rsidRPr="00FA5477">
              <w:t xml:space="preserve"> que incluya: tres consultas médicas anuales, pruebas de ITS -incluyendo prueba de VIH-, entrega de condones y lubricantes, así como acciones de </w:t>
            </w:r>
            <w:r w:rsidR="000A21AC" w:rsidRPr="00FA5477">
              <w:t>acompañamiento para la reducción del riesgo sustancial</w:t>
            </w:r>
            <w:r w:rsidRPr="00FA5477">
              <w:t>.</w:t>
            </w:r>
            <w:r w:rsidR="00BD40B6" w:rsidRPr="00FA5477">
              <w:t xml:space="preserve"> </w:t>
            </w:r>
            <w:r w:rsidR="0068078F" w:rsidRPr="00FA5477">
              <w:t>[Para ampliar ver anexo 2]</w:t>
            </w:r>
          </w:p>
          <w:p w14:paraId="3DAE238D" w14:textId="538F3756" w:rsidR="00902DB8" w:rsidRPr="00FA5477" w:rsidRDefault="00902DB8" w:rsidP="008B2B26">
            <w:pPr>
              <w:pStyle w:val="TableParagraph"/>
              <w:numPr>
                <w:ilvl w:val="0"/>
                <w:numId w:val="31"/>
              </w:numPr>
              <w:spacing w:after="120"/>
              <w:jc w:val="both"/>
              <w:rPr>
                <w:b/>
                <w:bCs/>
              </w:rPr>
            </w:pPr>
            <w:r w:rsidRPr="00FA5477">
              <w:t xml:space="preserve">Información sobre PrEP y generación de demanda, también a través de enfoques basados en pares: Todos los promotores pares contratados con la subvención promoverán la PrEP en </w:t>
            </w:r>
            <w:r w:rsidR="00732655" w:rsidRPr="00FA5477">
              <w:t>p</w:t>
            </w:r>
            <w:r w:rsidRPr="00FA5477">
              <w:t xml:space="preserve">ersonas </w:t>
            </w:r>
            <w:r w:rsidR="00732655" w:rsidRPr="00FA5477">
              <w:t>transgénero</w:t>
            </w:r>
            <w:r w:rsidRPr="00FA5477">
              <w:t xml:space="preserve"> con riesgo sustancial y aquell</w:t>
            </w:r>
            <w:r w:rsidR="00FB2FBA" w:rsidRPr="00FA5477">
              <w:t>a</w:t>
            </w:r>
            <w:r w:rsidRPr="00FA5477">
              <w:t xml:space="preserve">s que la soliciten con su debida evaluación. Esto se realizará en cada abordaje realizado, estas personas identificadas deberán ser referidas a los servicios de prevención de MINSAL. [Para ampliar ver </w:t>
            </w:r>
            <w:r w:rsidR="005A067C" w:rsidRPr="00FA5477">
              <w:t>a</w:t>
            </w:r>
            <w:r w:rsidRPr="00FA5477">
              <w:t>nexo 1]</w:t>
            </w:r>
          </w:p>
          <w:p w14:paraId="73F6FB4E" w14:textId="320987C3" w:rsidR="00A975C9" w:rsidRPr="00FA5477" w:rsidRDefault="00100559" w:rsidP="00AE3F80">
            <w:pPr>
              <w:pStyle w:val="TableParagraph"/>
              <w:numPr>
                <w:ilvl w:val="0"/>
                <w:numId w:val="32"/>
              </w:numPr>
              <w:jc w:val="both"/>
            </w:pPr>
            <w:r w:rsidRPr="00FA5477">
              <w:t>Los SR de e</w:t>
            </w:r>
            <w:r w:rsidR="00A975C9" w:rsidRPr="00FA5477">
              <w:t>sta población</w:t>
            </w:r>
            <w:r w:rsidRPr="00FA5477">
              <w:t xml:space="preserve"> pueden accesar a </w:t>
            </w:r>
            <w:r w:rsidR="00A975C9" w:rsidRPr="00FA5477">
              <w:t>una unidad móvil para la implementación de estas intervenciones la cual está bajo la administración de</w:t>
            </w:r>
            <w:r w:rsidR="00BD40B6" w:rsidRPr="00FA5477">
              <w:t>l RP</w:t>
            </w:r>
            <w:r w:rsidR="00A975C9" w:rsidRPr="00FA5477">
              <w:t xml:space="preserve"> PLAN.</w:t>
            </w:r>
          </w:p>
          <w:p w14:paraId="6513CEC1" w14:textId="48F464A0" w:rsidR="00A975C9" w:rsidRPr="00FA5477" w:rsidRDefault="00A975C9" w:rsidP="00AE3F80">
            <w:pPr>
              <w:pStyle w:val="TableParagraph"/>
              <w:ind w:left="720"/>
              <w:jc w:val="both"/>
            </w:pPr>
            <w:r w:rsidRPr="00FA5477">
              <w:t xml:space="preserve">En el caso de la población de personas transgénero, se ha priorizado 144 condones masculinos, 6 tubos de lubricante base agua de 50ml </w:t>
            </w:r>
            <w:r w:rsidR="00611DB3" w:rsidRPr="00FA5477">
              <w:t>cantidades validadas por las poblaciones a través de consultas con las mismas</w:t>
            </w:r>
            <w:r w:rsidR="00141E23" w:rsidRPr="00FA5477">
              <w:t>, la definición de estas cantidades se ha descrito en el Módulo 1.</w:t>
            </w:r>
          </w:p>
          <w:p w14:paraId="5AD42A96" w14:textId="77777777" w:rsidR="00A975C9" w:rsidRPr="00FA5477" w:rsidRDefault="00A975C9" w:rsidP="003C1E1D">
            <w:pPr>
              <w:pStyle w:val="TableParagraph"/>
              <w:numPr>
                <w:ilvl w:val="0"/>
                <w:numId w:val="35"/>
              </w:numPr>
              <w:spacing w:before="120"/>
              <w:jc w:val="both"/>
              <w:rPr>
                <w:b/>
                <w:bCs/>
              </w:rPr>
            </w:pPr>
            <w:r w:rsidRPr="00FA5477">
              <w:rPr>
                <w:b/>
                <w:bCs/>
              </w:rPr>
              <w:t xml:space="preserve">MINSAL Trabajará con: </w:t>
            </w:r>
          </w:p>
          <w:p w14:paraId="1872A5C5" w14:textId="410A35E1" w:rsidR="00A975C9" w:rsidRPr="00FA5477" w:rsidRDefault="00A975C9" w:rsidP="00AE3F80">
            <w:pPr>
              <w:pStyle w:val="TableParagraph"/>
              <w:numPr>
                <w:ilvl w:val="0"/>
                <w:numId w:val="33"/>
              </w:numPr>
              <w:ind w:left="909"/>
              <w:jc w:val="both"/>
            </w:pPr>
            <w:r w:rsidRPr="00FA5477">
              <w:t>VICITS/</w:t>
            </w:r>
            <w:r w:rsidR="00BD40B6" w:rsidRPr="00FA5477">
              <w:t>A</w:t>
            </w:r>
            <w:r w:rsidRPr="00FA5477">
              <w:t>migables: Pruebas de VIH/ITS y otros servicios, al momento tenemos 25 VICITS y 13 amigables distribuidas en todo el territorio nacional, las cuales cuentan con una amplia oferta de servicios de prevención de ITS y VIH</w:t>
            </w:r>
            <w:r w:rsidR="001D0AC7" w:rsidRPr="00FA5477">
              <w:t>,</w:t>
            </w:r>
            <w:r w:rsidRPr="00FA5477">
              <w:t xml:space="preserve"> con personal capacitado y sensibilizado en la atención integral de ITS.</w:t>
            </w:r>
          </w:p>
          <w:p w14:paraId="014E31EA" w14:textId="5A6CAC7C" w:rsidR="00A975C9" w:rsidRPr="00FA5477" w:rsidRDefault="00A975C9" w:rsidP="00AE3F80">
            <w:pPr>
              <w:pStyle w:val="TableParagraph"/>
              <w:numPr>
                <w:ilvl w:val="0"/>
                <w:numId w:val="33"/>
              </w:numPr>
              <w:ind w:left="913"/>
              <w:jc w:val="both"/>
            </w:pPr>
            <w:r w:rsidRPr="00FA5477">
              <w:t xml:space="preserve">Actividades de promoción: De estrategias de prevención y auto cuido, estas se hacen desde espacios virtuales de los educadores pares de VICITS y </w:t>
            </w:r>
            <w:r w:rsidR="00A57092" w:rsidRPr="00FA5477">
              <w:t>A</w:t>
            </w:r>
            <w:r w:rsidRPr="00FA5477">
              <w:t xml:space="preserve">migables </w:t>
            </w:r>
          </w:p>
          <w:p w14:paraId="2FDD8C17" w14:textId="31EF11B3" w:rsidR="00A975C9" w:rsidRPr="00FA5477" w:rsidRDefault="00A975C9" w:rsidP="00AE3F80">
            <w:pPr>
              <w:pStyle w:val="TableParagraph"/>
              <w:numPr>
                <w:ilvl w:val="0"/>
                <w:numId w:val="33"/>
              </w:numPr>
              <w:ind w:left="913"/>
              <w:jc w:val="both"/>
            </w:pPr>
            <w:r w:rsidRPr="00FA5477">
              <w:t>PrEP: Entrega de PrEP continua</w:t>
            </w:r>
            <w:r w:rsidR="003403F8" w:rsidRPr="00FA5477">
              <w:t xml:space="preserve">, a demanda y </w:t>
            </w:r>
            <w:r w:rsidRPr="00FA5477">
              <w:t>su seguimiento.</w:t>
            </w:r>
          </w:p>
          <w:p w14:paraId="61541D08" w14:textId="138C3AA7" w:rsidR="00A975C9" w:rsidRPr="00FA5477" w:rsidRDefault="00A975C9" w:rsidP="00A57092">
            <w:pPr>
              <w:pStyle w:val="TableParagraph"/>
              <w:numPr>
                <w:ilvl w:val="0"/>
                <w:numId w:val="33"/>
              </w:numPr>
              <w:spacing w:after="120"/>
              <w:ind w:left="913" w:hanging="357"/>
              <w:jc w:val="both"/>
            </w:pPr>
            <w:r w:rsidRPr="00FA5477">
              <w:t xml:space="preserve">Unidades móviles: Acercamiento de la toma de pruebas de VIH en la comunidad. Existen 2 unidades móviles que acercan la prueba dual VIH/ sífilis a la población clave. cuentan con profesionales capacitados en el procesamiento de pruebas y confirmación. Estas coordinan con otros </w:t>
            </w:r>
            <w:r w:rsidR="00A57092" w:rsidRPr="00FA5477">
              <w:t>socios para hacer</w:t>
            </w:r>
            <w:r w:rsidRPr="00FA5477">
              <w:t xml:space="preserve"> pruebas de VIH a poblaciones claves como actividades extramurales </w:t>
            </w:r>
          </w:p>
          <w:p w14:paraId="72EA969B" w14:textId="77777777" w:rsidR="00A975C9" w:rsidRPr="00FA5477" w:rsidRDefault="00A975C9" w:rsidP="00AE3F80">
            <w:pPr>
              <w:pStyle w:val="TableParagraph"/>
              <w:numPr>
                <w:ilvl w:val="0"/>
                <w:numId w:val="15"/>
              </w:numPr>
              <w:ind w:left="714" w:hanging="357"/>
              <w:jc w:val="both"/>
              <w:rPr>
                <w:b/>
                <w:bCs/>
              </w:rPr>
            </w:pPr>
            <w:r w:rsidRPr="00FA5477">
              <w:rPr>
                <w:b/>
                <w:bCs/>
              </w:rPr>
              <w:t>PEPFAR:</w:t>
            </w:r>
          </w:p>
          <w:p w14:paraId="2CA0A09C" w14:textId="77777777" w:rsidR="00A975C9" w:rsidRPr="00FA5477" w:rsidRDefault="00A975C9" w:rsidP="00A57092">
            <w:pPr>
              <w:pStyle w:val="TableParagraph"/>
              <w:numPr>
                <w:ilvl w:val="0"/>
                <w:numId w:val="34"/>
              </w:numPr>
              <w:jc w:val="both"/>
            </w:pPr>
            <w:r w:rsidRPr="00FA5477">
              <w:t>PrEP: En clínicas privadas</w:t>
            </w:r>
          </w:p>
          <w:p w14:paraId="293E5485" w14:textId="77777777" w:rsidR="00A975C9" w:rsidRPr="00FA5477" w:rsidRDefault="00A975C9" w:rsidP="00A57092">
            <w:pPr>
              <w:pStyle w:val="TableParagraph"/>
              <w:numPr>
                <w:ilvl w:val="0"/>
                <w:numId w:val="34"/>
              </w:numPr>
              <w:ind w:left="1077" w:hanging="357"/>
              <w:jc w:val="both"/>
            </w:pPr>
            <w:r w:rsidRPr="00FA5477">
              <w:t>Paquetes de prevención: actividades comunitarias</w:t>
            </w:r>
          </w:p>
          <w:p w14:paraId="021B9CA7" w14:textId="77777777" w:rsidR="00A57092" w:rsidRPr="00FA5477" w:rsidRDefault="00A975C9" w:rsidP="00A57092">
            <w:pPr>
              <w:pStyle w:val="TableParagraph"/>
              <w:numPr>
                <w:ilvl w:val="0"/>
                <w:numId w:val="34"/>
              </w:numPr>
              <w:ind w:left="1054" w:hanging="357"/>
              <w:jc w:val="both"/>
            </w:pPr>
            <w:r w:rsidRPr="00FA5477">
              <w:t>Actividades de promoción a través de ChatBot y tecnologías de innovación</w:t>
            </w:r>
            <w:r w:rsidR="00A57092" w:rsidRPr="00FA5477">
              <w:t xml:space="preserve"> </w:t>
            </w:r>
          </w:p>
          <w:p w14:paraId="61583D79" w14:textId="7D8C1557" w:rsidR="00A975C9" w:rsidRPr="00FA5477" w:rsidRDefault="00A975C9" w:rsidP="00A57092">
            <w:pPr>
              <w:pStyle w:val="TableParagraph"/>
              <w:numPr>
                <w:ilvl w:val="0"/>
                <w:numId w:val="34"/>
              </w:numPr>
              <w:ind w:left="1054" w:hanging="357"/>
              <w:jc w:val="both"/>
            </w:pPr>
            <w:r w:rsidRPr="00FA5477">
              <w:t>Promoción y asistencia técnica en PrEP</w:t>
            </w:r>
          </w:p>
          <w:p w14:paraId="532B9DD2" w14:textId="113B47F1" w:rsidR="008B1619" w:rsidRPr="00FA5477" w:rsidRDefault="00A975C9" w:rsidP="00AE3F80">
            <w:pPr>
              <w:pStyle w:val="TableParagraph"/>
              <w:spacing w:before="120" w:after="120"/>
              <w:jc w:val="both"/>
            </w:pPr>
            <w:r w:rsidRPr="00FA5477">
              <w:t>Todas las intervenciones serán documentadas y registradas en el SUMEVE.</w:t>
            </w:r>
          </w:p>
        </w:tc>
      </w:tr>
      <w:tr w:rsidR="008B1619" w:rsidRPr="00FA5477" w14:paraId="157C3FE5" w14:textId="77777777" w:rsidTr="00216516">
        <w:trPr>
          <w:trHeight w:val="451"/>
        </w:trPr>
        <w:tc>
          <w:tcPr>
            <w:tcW w:w="2568" w:type="dxa"/>
            <w:shd w:val="clear" w:color="auto" w:fill="F1F1F1"/>
          </w:tcPr>
          <w:p w14:paraId="30DDD9E7" w14:textId="77777777" w:rsidR="008B1619" w:rsidRPr="00FA5477" w:rsidRDefault="008B1619" w:rsidP="008B1619">
            <w:pPr>
              <w:pStyle w:val="TableParagraph"/>
              <w:ind w:left="107"/>
              <w:rPr>
                <w:rFonts w:ascii="Arial"/>
                <w:b/>
                <w:sz w:val="24"/>
              </w:rPr>
            </w:pPr>
            <w:r w:rsidRPr="00FA5477">
              <w:rPr>
                <w:rFonts w:ascii="Arial"/>
                <w:b/>
                <w:sz w:val="24"/>
              </w:rPr>
              <w:t>Monto</w:t>
            </w:r>
            <w:r w:rsidRPr="00FA5477">
              <w:rPr>
                <w:rFonts w:ascii="Arial"/>
                <w:b/>
                <w:spacing w:val="-1"/>
                <w:sz w:val="24"/>
              </w:rPr>
              <w:t xml:space="preserve"> </w:t>
            </w:r>
            <w:r w:rsidRPr="00FA5477">
              <w:rPr>
                <w:rFonts w:ascii="Arial"/>
                <w:b/>
                <w:sz w:val="24"/>
              </w:rPr>
              <w:t>solicitado</w:t>
            </w:r>
          </w:p>
        </w:tc>
        <w:tc>
          <w:tcPr>
            <w:tcW w:w="12556" w:type="dxa"/>
            <w:shd w:val="clear" w:color="auto" w:fill="auto"/>
            <w:tcMar>
              <w:left w:w="85" w:type="dxa"/>
              <w:right w:w="85" w:type="dxa"/>
            </w:tcMar>
          </w:tcPr>
          <w:p w14:paraId="49FD4CE8" w14:textId="58044FFF" w:rsidR="008B1619" w:rsidRPr="00FA5477" w:rsidRDefault="00922DB7" w:rsidP="008B1619">
            <w:pPr>
              <w:pStyle w:val="TableParagraph"/>
              <w:spacing w:before="120" w:after="120"/>
              <w:rPr>
                <w:rFonts w:ascii="Times New Roman"/>
                <w:sz w:val="24"/>
                <w:szCs w:val="24"/>
              </w:rPr>
            </w:pPr>
            <w:r w:rsidRPr="00FA5477">
              <w:rPr>
                <w:b/>
                <w:bCs/>
              </w:rPr>
              <w:t>$</w:t>
            </w:r>
            <w:r w:rsidR="000A1B74">
              <w:rPr>
                <w:b/>
                <w:bCs/>
              </w:rPr>
              <w:t>853</w:t>
            </w:r>
            <w:r w:rsidRPr="00FA5477">
              <w:rPr>
                <w:b/>
                <w:bCs/>
              </w:rPr>
              <w:t>,</w:t>
            </w:r>
            <w:r w:rsidR="000A1B74">
              <w:rPr>
                <w:b/>
                <w:bCs/>
              </w:rPr>
              <w:t>198</w:t>
            </w:r>
            <w:r w:rsidRPr="00FA5477">
              <w:rPr>
                <w:b/>
                <w:bCs/>
              </w:rPr>
              <w:t>.</w:t>
            </w:r>
            <w:r w:rsidR="000A1B74">
              <w:rPr>
                <w:b/>
                <w:bCs/>
              </w:rPr>
              <w:t>00</w:t>
            </w:r>
          </w:p>
        </w:tc>
      </w:tr>
      <w:tr w:rsidR="008B1619" w:rsidRPr="00FA5477" w14:paraId="2883B5D2" w14:textId="77777777" w:rsidTr="00216516">
        <w:trPr>
          <w:trHeight w:val="450"/>
        </w:trPr>
        <w:tc>
          <w:tcPr>
            <w:tcW w:w="2568" w:type="dxa"/>
          </w:tcPr>
          <w:p w14:paraId="5AABDEF9" w14:textId="77777777" w:rsidR="008B1619" w:rsidRPr="00FA5477" w:rsidRDefault="008B1619" w:rsidP="008B1619">
            <w:pPr>
              <w:pStyle w:val="TableParagraph"/>
              <w:ind w:left="107"/>
              <w:rPr>
                <w:rFonts w:ascii="Arial"/>
                <w:b/>
                <w:sz w:val="24"/>
              </w:rPr>
            </w:pPr>
            <w:r w:rsidRPr="00FA5477">
              <w:rPr>
                <w:rFonts w:ascii="Arial"/>
                <w:b/>
                <w:sz w:val="24"/>
              </w:rPr>
              <w:t>Resultado</w:t>
            </w:r>
            <w:r w:rsidRPr="00FA5477">
              <w:rPr>
                <w:rFonts w:ascii="Arial"/>
                <w:b/>
                <w:spacing w:val="-1"/>
                <w:sz w:val="24"/>
              </w:rPr>
              <w:t xml:space="preserve"> </w:t>
            </w:r>
            <w:r w:rsidRPr="00FA5477">
              <w:rPr>
                <w:rFonts w:ascii="Arial"/>
                <w:b/>
                <w:sz w:val="24"/>
              </w:rPr>
              <w:t>previsto</w:t>
            </w:r>
          </w:p>
        </w:tc>
        <w:tc>
          <w:tcPr>
            <w:tcW w:w="12556" w:type="dxa"/>
            <w:shd w:val="clear" w:color="auto" w:fill="auto"/>
            <w:tcMar>
              <w:left w:w="85" w:type="dxa"/>
              <w:right w:w="85" w:type="dxa"/>
            </w:tcMar>
          </w:tcPr>
          <w:p w14:paraId="43F56DCE" w14:textId="638A2D65" w:rsidR="008B1619" w:rsidRPr="00FA5477" w:rsidRDefault="00944E3C" w:rsidP="009252F2">
            <w:pPr>
              <w:pStyle w:val="TableParagraph"/>
              <w:spacing w:before="120" w:after="120"/>
              <w:jc w:val="both"/>
            </w:pPr>
            <w:r w:rsidRPr="00FA5477">
              <w:t xml:space="preserve">Contribuir a la disminución de la prevalencia de VIH en la población de personas </w:t>
            </w:r>
            <w:r w:rsidR="00732655" w:rsidRPr="00FA5477">
              <w:t>transgénero</w:t>
            </w:r>
            <w:r w:rsidRPr="00FA5477">
              <w:t xml:space="preserve">, lo cual se va a lograr a través de la distribución y reforzamiento del uso continuo y permanente del condón, las acciones de </w:t>
            </w:r>
            <w:r w:rsidR="000A21AC" w:rsidRPr="00FA5477">
              <w:t>acompañamiento para la reducción del riesgo sustancial</w:t>
            </w:r>
            <w:r w:rsidRPr="00FA5477">
              <w:t xml:space="preserve">. Con esto se espera también ampliar los servicios de prevención a través de la identificación del riesgo sustancial de personas </w:t>
            </w:r>
            <w:r w:rsidR="00732655" w:rsidRPr="00FA5477">
              <w:t>transgénero</w:t>
            </w:r>
            <w:r w:rsidRPr="00FA5477">
              <w:t xml:space="preserve"> con al menos dos contactos en un año.</w:t>
            </w:r>
          </w:p>
          <w:p w14:paraId="5F54BB3F" w14:textId="14271228" w:rsidR="00A57092" w:rsidRPr="00FA5477" w:rsidRDefault="00A57092" w:rsidP="009252F2">
            <w:pPr>
              <w:pStyle w:val="TableParagraph"/>
              <w:spacing w:before="120" w:after="120"/>
              <w:jc w:val="both"/>
            </w:pPr>
            <w:r w:rsidRPr="00FA5477">
              <w:t>Promover ambientes de atención a personas trans</w:t>
            </w:r>
            <w:r w:rsidR="00732655" w:rsidRPr="00FA5477">
              <w:t>género</w:t>
            </w:r>
            <w:r w:rsidRPr="00FA5477">
              <w:t xml:space="preserve"> libres de estigma y discriminación</w:t>
            </w:r>
            <w:r w:rsidR="00944E3C" w:rsidRPr="00FA5477">
              <w:t>.</w:t>
            </w:r>
          </w:p>
          <w:p w14:paraId="0E95EBCC" w14:textId="017FD089" w:rsidR="00DD54C7" w:rsidRPr="00FA5477" w:rsidRDefault="008F64B1" w:rsidP="009252F2">
            <w:pPr>
              <w:pStyle w:val="TableParagraph"/>
              <w:spacing w:before="120" w:after="120"/>
              <w:ind w:left="336" w:hanging="336"/>
              <w:jc w:val="both"/>
            </w:pPr>
            <w:r w:rsidRPr="00FA5477">
              <w:t>El 90.18</w:t>
            </w:r>
            <w:r w:rsidR="00DD54C7" w:rsidRPr="00FA5477">
              <w:t>% de la población estimada de Personas Trans</w:t>
            </w:r>
            <w:r w:rsidR="00732655" w:rsidRPr="00FA5477">
              <w:t>género</w:t>
            </w:r>
            <w:r w:rsidR="00DD54C7" w:rsidRPr="00FA5477">
              <w:t xml:space="preserve"> ha recibido paquetes definidos de servicios al final de esta subvención</w:t>
            </w:r>
            <w:r w:rsidR="00EB683A" w:rsidRPr="00FA5477">
              <w:t xml:space="preserve"> (meta en marco de desempeño).</w:t>
            </w:r>
          </w:p>
        </w:tc>
      </w:tr>
    </w:tbl>
    <w:p w14:paraId="1D828311" w14:textId="47AD0A08" w:rsidR="00A975C9" w:rsidRPr="00FA5477" w:rsidRDefault="00A975C9"/>
    <w:p w14:paraId="5466A6E0" w14:textId="77777777" w:rsidR="00A975C9" w:rsidRPr="00FA5477" w:rsidRDefault="00A975C9">
      <w:r w:rsidRPr="00FA5477">
        <w:br w:type="page"/>
      </w:r>
    </w:p>
    <w:p w14:paraId="49A12FA1" w14:textId="77777777" w:rsidR="00581DC6" w:rsidRPr="00FA5477" w:rsidRDefault="00581DC6"/>
    <w:tbl>
      <w:tblPr>
        <w:tblStyle w:val="TableNormal1"/>
        <w:tblW w:w="0" w:type="auto"/>
        <w:tblInd w:w="1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85" w:type="dxa"/>
          <w:right w:w="85" w:type="dxa"/>
        </w:tblCellMar>
        <w:tblLook w:val="01E0" w:firstRow="1" w:lastRow="1" w:firstColumn="1" w:lastColumn="1" w:noHBand="0" w:noVBand="0"/>
      </w:tblPr>
      <w:tblGrid>
        <w:gridCol w:w="2568"/>
        <w:gridCol w:w="12556"/>
      </w:tblGrid>
      <w:tr w:rsidR="00922DB7" w:rsidRPr="00FA5477" w14:paraId="239C74DD" w14:textId="77777777" w:rsidTr="00360383">
        <w:trPr>
          <w:trHeight w:hRule="exact" w:val="510"/>
          <w:tblHeader/>
        </w:trPr>
        <w:tc>
          <w:tcPr>
            <w:tcW w:w="2568" w:type="dxa"/>
            <w:shd w:val="clear" w:color="auto" w:fill="auto"/>
          </w:tcPr>
          <w:p w14:paraId="470C4263" w14:textId="113CE979" w:rsidR="00922DB7" w:rsidRPr="00FA5477" w:rsidRDefault="00922DB7" w:rsidP="00922DB7">
            <w:pPr>
              <w:pStyle w:val="TableParagraph"/>
              <w:ind w:left="107"/>
              <w:rPr>
                <w:rFonts w:ascii="Arial" w:hAnsi="Arial"/>
                <w:b/>
                <w:sz w:val="24"/>
              </w:rPr>
            </w:pPr>
            <w:r w:rsidRPr="00FA5477">
              <w:rPr>
                <w:rFonts w:ascii="Arial" w:hAnsi="Arial"/>
                <w:b/>
                <w:sz w:val="24"/>
              </w:rPr>
              <w:t>Módulo</w:t>
            </w:r>
            <w:r w:rsidRPr="00FA5477">
              <w:rPr>
                <w:rFonts w:ascii="Arial" w:hAnsi="Arial"/>
                <w:b/>
                <w:spacing w:val="-2"/>
                <w:sz w:val="24"/>
              </w:rPr>
              <w:t xml:space="preserve"> </w:t>
            </w:r>
            <w:r w:rsidRPr="00FA5477">
              <w:rPr>
                <w:rFonts w:ascii="Arial" w:hAnsi="Arial"/>
                <w:b/>
                <w:sz w:val="24"/>
              </w:rPr>
              <w:t>3</w:t>
            </w:r>
          </w:p>
        </w:tc>
        <w:tc>
          <w:tcPr>
            <w:tcW w:w="12556" w:type="dxa"/>
            <w:tcMar>
              <w:left w:w="85" w:type="dxa"/>
              <w:right w:w="85" w:type="dxa"/>
            </w:tcMar>
            <w:vAlign w:val="center"/>
          </w:tcPr>
          <w:p w14:paraId="3C5BAA2E" w14:textId="20515CC9" w:rsidR="00922DB7" w:rsidRPr="00FA5477" w:rsidRDefault="00922DB7" w:rsidP="00922DB7">
            <w:pPr>
              <w:pStyle w:val="TableParagraph"/>
              <w:spacing w:before="120" w:after="120"/>
              <w:ind w:left="105"/>
              <w:rPr>
                <w:rFonts w:ascii="Arial" w:hAnsi="Arial"/>
                <w:b/>
                <w:bCs/>
                <w:sz w:val="24"/>
                <w:szCs w:val="24"/>
              </w:rPr>
            </w:pPr>
            <w:r w:rsidRPr="00FA5477">
              <w:rPr>
                <w:b/>
                <w:bCs/>
                <w:sz w:val="24"/>
                <w:szCs w:val="24"/>
              </w:rPr>
              <w:t>Paquete de prevención para trabajadoras del sexo, sus clientes y otras parejas sexuales</w:t>
            </w:r>
          </w:p>
        </w:tc>
      </w:tr>
      <w:tr w:rsidR="00922DB7" w:rsidRPr="00FA5477" w14:paraId="5A6006B9" w14:textId="77777777" w:rsidTr="00D803EF">
        <w:trPr>
          <w:trHeight w:hRule="exact" w:val="1152"/>
        </w:trPr>
        <w:tc>
          <w:tcPr>
            <w:tcW w:w="2568" w:type="dxa"/>
            <w:shd w:val="clear" w:color="auto" w:fill="F1F1F1"/>
          </w:tcPr>
          <w:p w14:paraId="443C0712" w14:textId="77777777" w:rsidR="00922DB7" w:rsidRPr="00FA5477" w:rsidRDefault="00922DB7" w:rsidP="00922DB7">
            <w:pPr>
              <w:pStyle w:val="TableParagraph"/>
              <w:ind w:left="107"/>
              <w:rPr>
                <w:rFonts w:ascii="Arial" w:hAnsi="Arial"/>
                <w:b/>
                <w:sz w:val="24"/>
              </w:rPr>
            </w:pPr>
            <w:r w:rsidRPr="00FA5477">
              <w:rPr>
                <w:rFonts w:ascii="Arial" w:hAnsi="Arial"/>
                <w:b/>
                <w:sz w:val="24"/>
              </w:rPr>
              <w:t>Intervención(es)</w:t>
            </w:r>
          </w:p>
        </w:tc>
        <w:tc>
          <w:tcPr>
            <w:tcW w:w="12556" w:type="dxa"/>
            <w:shd w:val="clear" w:color="auto" w:fill="F1F1F1"/>
            <w:tcMar>
              <w:left w:w="85" w:type="dxa"/>
              <w:right w:w="85" w:type="dxa"/>
            </w:tcMar>
            <w:vAlign w:val="center"/>
          </w:tcPr>
          <w:p w14:paraId="69EF3C93" w14:textId="77777777" w:rsidR="00922DB7" w:rsidRPr="00FA5477" w:rsidRDefault="00922DB7" w:rsidP="00A1381D">
            <w:pPr>
              <w:pStyle w:val="TableParagraph"/>
              <w:spacing w:before="120" w:after="120"/>
              <w:ind w:left="655" w:hanging="417"/>
              <w:jc w:val="both"/>
              <w:rPr>
                <w:b/>
                <w:bCs/>
                <w:sz w:val="24"/>
                <w:szCs w:val="24"/>
              </w:rPr>
            </w:pPr>
            <w:r w:rsidRPr="00FA5477">
              <w:rPr>
                <w:b/>
                <w:bCs/>
                <w:sz w:val="24"/>
                <w:szCs w:val="24"/>
              </w:rPr>
              <w:t>Programas de preservativos y lubricantes para trabajadoras del sexo</w:t>
            </w:r>
          </w:p>
          <w:p w14:paraId="4DE80DA3" w14:textId="19F3B8EF" w:rsidR="00922DB7" w:rsidRPr="00FA5477" w:rsidRDefault="00922DB7" w:rsidP="00A1381D">
            <w:pPr>
              <w:pStyle w:val="TableParagraph"/>
              <w:spacing w:before="120" w:after="120"/>
              <w:ind w:left="655" w:hanging="417"/>
              <w:jc w:val="both"/>
              <w:rPr>
                <w:b/>
                <w:bCs/>
                <w:sz w:val="24"/>
                <w:szCs w:val="24"/>
              </w:rPr>
            </w:pPr>
            <w:r w:rsidRPr="00FA5477">
              <w:rPr>
                <w:b/>
                <w:bCs/>
                <w:sz w:val="24"/>
                <w:szCs w:val="24"/>
              </w:rPr>
              <w:t>Comunicación, información y generación de demanda sobre prevención del VIH para trabajadoras del sexo</w:t>
            </w:r>
          </w:p>
        </w:tc>
      </w:tr>
      <w:tr w:rsidR="00F93881" w:rsidRPr="00FA5477" w14:paraId="4B578CA3" w14:textId="77777777" w:rsidTr="00D803EF">
        <w:trPr>
          <w:trHeight w:val="328"/>
        </w:trPr>
        <w:tc>
          <w:tcPr>
            <w:tcW w:w="2568" w:type="dxa"/>
          </w:tcPr>
          <w:p w14:paraId="30EEBF40" w14:textId="77777777" w:rsidR="00F93881" w:rsidRPr="00FA5477" w:rsidRDefault="00F93881" w:rsidP="008B2B26">
            <w:pPr>
              <w:pStyle w:val="TableParagraph"/>
              <w:spacing w:line="264" w:lineRule="auto"/>
              <w:ind w:left="107" w:right="424"/>
              <w:rPr>
                <w:rFonts w:ascii="Arial" w:hAnsi="Arial"/>
                <w:b/>
                <w:sz w:val="24"/>
              </w:rPr>
            </w:pPr>
            <w:r w:rsidRPr="00FA5477">
              <w:rPr>
                <w:rFonts w:ascii="Arial" w:hAnsi="Arial"/>
                <w:b/>
                <w:sz w:val="24"/>
              </w:rPr>
              <w:t>Población, regiones</w:t>
            </w:r>
            <w:r w:rsidRPr="00FA5477">
              <w:rPr>
                <w:rFonts w:ascii="Arial" w:hAnsi="Arial"/>
                <w:b/>
                <w:spacing w:val="1"/>
                <w:sz w:val="24"/>
              </w:rPr>
              <w:t xml:space="preserve"> </w:t>
            </w:r>
            <w:r w:rsidRPr="00FA5477">
              <w:rPr>
                <w:rFonts w:ascii="Arial" w:hAnsi="Arial"/>
                <w:b/>
                <w:sz w:val="24"/>
              </w:rPr>
              <w:t>geográficas u</w:t>
            </w:r>
            <w:r w:rsidRPr="00FA5477">
              <w:rPr>
                <w:rFonts w:ascii="Arial" w:hAnsi="Arial"/>
                <w:b/>
                <w:spacing w:val="1"/>
                <w:sz w:val="24"/>
              </w:rPr>
              <w:t xml:space="preserve"> </w:t>
            </w:r>
            <w:r w:rsidRPr="00FA5477">
              <w:rPr>
                <w:rFonts w:ascii="Arial" w:hAnsi="Arial"/>
                <w:b/>
                <w:sz w:val="24"/>
              </w:rPr>
              <w:t>obstáculos</w:t>
            </w:r>
            <w:r w:rsidRPr="00FA5477">
              <w:rPr>
                <w:rFonts w:ascii="Arial" w:hAnsi="Arial"/>
                <w:b/>
                <w:spacing w:val="-14"/>
                <w:sz w:val="24"/>
              </w:rPr>
              <w:t xml:space="preserve"> </w:t>
            </w:r>
            <w:r w:rsidRPr="00FA5477">
              <w:rPr>
                <w:rFonts w:ascii="Arial" w:hAnsi="Arial"/>
                <w:b/>
                <w:sz w:val="24"/>
              </w:rPr>
              <w:t>abordados</w:t>
            </w:r>
          </w:p>
        </w:tc>
        <w:tc>
          <w:tcPr>
            <w:tcW w:w="12556" w:type="dxa"/>
            <w:shd w:val="clear" w:color="auto" w:fill="auto"/>
            <w:tcMar>
              <w:left w:w="85" w:type="dxa"/>
              <w:right w:w="85" w:type="dxa"/>
            </w:tcMar>
          </w:tcPr>
          <w:p w14:paraId="3F80CFD7" w14:textId="3FE2715F" w:rsidR="00922DB7" w:rsidRPr="00FA5477" w:rsidRDefault="00922DB7" w:rsidP="00E35093">
            <w:pPr>
              <w:pStyle w:val="TableParagraph"/>
              <w:spacing w:after="60"/>
              <w:jc w:val="both"/>
            </w:pPr>
            <w:r w:rsidRPr="00FA5477">
              <w:t xml:space="preserve">En este </w:t>
            </w:r>
            <w:r w:rsidR="00504D4F" w:rsidRPr="00FA5477">
              <w:t>M</w:t>
            </w:r>
            <w:r w:rsidRPr="00FA5477">
              <w:t>ódulo se trabajará en actividades que contribuyen a aumentar el uso del preservativo en esta población y en actividades que promuevan la educación sobre prevención del VIH</w:t>
            </w:r>
            <w:r w:rsidR="002C0BC4" w:rsidRPr="00FA5477">
              <w:t>. Con la intención de generar espacios de acceso a los servicios de salud -más allá de los de carácter institucional (MINSAL)- aproximándolos donde se reúnen, las intervenciones se adaptan según las necesidades y demanda de atención de estas poblaciones. Complementándose con las acciones de las clínicas VICITS y Amigables.</w:t>
            </w:r>
          </w:p>
          <w:p w14:paraId="4FE4B2BF" w14:textId="69227FE9" w:rsidR="002C0BC4" w:rsidRPr="00FA5477" w:rsidRDefault="002C0BC4" w:rsidP="00E35093">
            <w:pPr>
              <w:pStyle w:val="TableParagraph"/>
              <w:spacing w:after="60"/>
              <w:jc w:val="both"/>
            </w:pPr>
            <w:r w:rsidRPr="00FA5477">
              <w:t>Según el acuerdo de implementación, los paquetes de prevención serán distribuidos por PLAN y sus socios implementadores, MINSAL y Socios Implementadores de PEPFAR que trabajan en la respuesta nacional.</w:t>
            </w:r>
          </w:p>
          <w:p w14:paraId="13AA3390" w14:textId="2F586353" w:rsidR="002C0BC4" w:rsidRPr="00FA5477" w:rsidRDefault="002C0BC4" w:rsidP="00E35093">
            <w:pPr>
              <w:pStyle w:val="TableParagraph"/>
              <w:spacing w:after="60"/>
              <w:jc w:val="both"/>
            </w:pPr>
            <w:r w:rsidRPr="00FA5477">
              <w:t>Las actividades de este módulo que serán financiadas con la asignación son aquellas implementadas por el RP-PLAN y tres organizaciones SR (una por población clave):</w:t>
            </w:r>
          </w:p>
          <w:p w14:paraId="4BB24339" w14:textId="545AF8D3" w:rsidR="00922DB7" w:rsidRPr="00FA5477" w:rsidRDefault="00303AF8" w:rsidP="00303AF8">
            <w:pPr>
              <w:pStyle w:val="TableParagraph"/>
              <w:spacing w:after="60"/>
              <w:ind w:left="51"/>
              <w:jc w:val="both"/>
            </w:pPr>
            <w:r w:rsidRPr="00FA5477">
              <w:t>-</w:t>
            </w:r>
            <w:r w:rsidR="002C0BC4" w:rsidRPr="00FA5477">
              <w:t>Para la población de MTS se implementarán todas las intervenciones y actividades mencionadas en el Módulo 1 (HSH)</w:t>
            </w:r>
            <w:r w:rsidR="00922DB7" w:rsidRPr="00FA5477">
              <w:t>.</w:t>
            </w:r>
            <w:r w:rsidR="00DD06D3" w:rsidRPr="00FA5477">
              <w:t xml:space="preserve"> Todas las actividades se realizarán a través de promotoras pares y se realizará inicialmente intervenciones desde la plataforma online.</w:t>
            </w:r>
          </w:p>
          <w:p w14:paraId="10C9AC90" w14:textId="41088674" w:rsidR="00922DB7" w:rsidRPr="00FA5477" w:rsidRDefault="00303AF8" w:rsidP="00303AF8">
            <w:pPr>
              <w:pStyle w:val="TableParagraph"/>
              <w:spacing w:after="60"/>
              <w:ind w:left="51"/>
              <w:jc w:val="both"/>
            </w:pPr>
            <w:r w:rsidRPr="00FA5477">
              <w:t>-</w:t>
            </w:r>
            <w:r w:rsidR="00922DB7" w:rsidRPr="00FA5477">
              <w:t xml:space="preserve">En el caso de la población MTS se ha priorizado 288 condones masculinos, 4 tubos de lubricante base agua de 50ml y 26 sachet de lubricantes de 5ml, </w:t>
            </w:r>
            <w:r w:rsidR="00611DB3" w:rsidRPr="00FA5477">
              <w:t>cantidades validadas por las poblaciones a través de consultas con las mismas</w:t>
            </w:r>
            <w:r w:rsidR="00141E23" w:rsidRPr="00FA5477">
              <w:t>, la definición de estas cantidades se ha descrito en el Módulo 1.</w:t>
            </w:r>
            <w:r w:rsidR="00922DB7" w:rsidRPr="00FA5477">
              <w:t xml:space="preserve"> </w:t>
            </w:r>
          </w:p>
          <w:p w14:paraId="5097A7A0" w14:textId="0A03A025" w:rsidR="003403F8" w:rsidRPr="00FA5477" w:rsidRDefault="00922DB7" w:rsidP="00303AF8">
            <w:pPr>
              <w:pStyle w:val="TableParagraph"/>
              <w:ind w:left="51"/>
              <w:jc w:val="both"/>
            </w:pPr>
            <w:r w:rsidRPr="00FA5477">
              <w:t xml:space="preserve">Para </w:t>
            </w:r>
            <w:r w:rsidR="00504D4F" w:rsidRPr="00FA5477">
              <w:t xml:space="preserve">la implementación de las actividades con </w:t>
            </w:r>
            <w:r w:rsidRPr="00FA5477">
              <w:t>esta población se cuenta con</w:t>
            </w:r>
            <w:r w:rsidR="009333E7" w:rsidRPr="00FA5477">
              <w:t xml:space="preserve"> dos unidades móviles:</w:t>
            </w:r>
            <w:r w:rsidRPr="00FA5477">
              <w:t xml:space="preserve"> 1 unidad móvil </w:t>
            </w:r>
            <w:r w:rsidR="009333E7" w:rsidRPr="00FA5477">
              <w:t xml:space="preserve">que </w:t>
            </w:r>
            <w:r w:rsidRPr="00FA5477">
              <w:t>está bajo la implementación del RP</w:t>
            </w:r>
            <w:r w:rsidR="00DA6F5E" w:rsidRPr="00FA5477">
              <w:t>-</w:t>
            </w:r>
            <w:r w:rsidRPr="00FA5477">
              <w:t xml:space="preserve">PLAN y </w:t>
            </w:r>
            <w:r w:rsidR="009333E7" w:rsidRPr="00FA5477">
              <w:t>otra</w:t>
            </w:r>
            <w:r w:rsidRPr="00FA5477">
              <w:t xml:space="preserve"> del SR.</w:t>
            </w:r>
            <w:r w:rsidR="003403F8" w:rsidRPr="00FA5477">
              <w:t xml:space="preserve"> </w:t>
            </w:r>
          </w:p>
          <w:p w14:paraId="4D587B32" w14:textId="23E984C8" w:rsidR="00C50268" w:rsidRPr="00FA5477" w:rsidRDefault="003403F8" w:rsidP="00504D4F">
            <w:pPr>
              <w:pStyle w:val="TableParagraph"/>
              <w:jc w:val="both"/>
            </w:pPr>
            <w:r w:rsidRPr="00FA5477">
              <w:t>PLAN hará intervenciones para la reducción de la violencia basada en género para TS con recursos de otros donantes.</w:t>
            </w:r>
          </w:p>
          <w:p w14:paraId="43B85701" w14:textId="77777777" w:rsidR="00C50268" w:rsidRPr="00FA5477" w:rsidRDefault="00C50268" w:rsidP="00D803EF">
            <w:pPr>
              <w:pStyle w:val="TableParagraph"/>
              <w:spacing w:before="60"/>
              <w:jc w:val="both"/>
              <w:rPr>
                <w:b/>
                <w:bCs/>
              </w:rPr>
            </w:pPr>
            <w:r w:rsidRPr="00FA5477">
              <w:rPr>
                <w:b/>
                <w:bCs/>
              </w:rPr>
              <w:t>MINSAL Trabajará a través de:</w:t>
            </w:r>
          </w:p>
          <w:p w14:paraId="45162718" w14:textId="133B48A1" w:rsidR="00C50268" w:rsidRPr="00FA5477" w:rsidRDefault="00C50268" w:rsidP="009252F2">
            <w:pPr>
              <w:pStyle w:val="TableParagraph"/>
              <w:numPr>
                <w:ilvl w:val="0"/>
                <w:numId w:val="36"/>
              </w:numPr>
              <w:ind w:left="477" w:hanging="357"/>
              <w:jc w:val="both"/>
            </w:pPr>
            <w:r w:rsidRPr="00FA5477">
              <w:t>VICITS/Amigables: Pruebas de VIH/ITS y otros servicios, al momento tenemos 25 VICITS y 13 amigables distribuidas en todo el territorio nacional, las cuales cuentan con una amplia oferta de servicios de prevención de ITS y VIH, con personal capacitado y sensibilizado en la atención integral de ITS.</w:t>
            </w:r>
          </w:p>
          <w:p w14:paraId="7DE6AB44" w14:textId="77777777" w:rsidR="00C50268" w:rsidRPr="00FA5477" w:rsidRDefault="00C50268" w:rsidP="009252F2">
            <w:pPr>
              <w:pStyle w:val="TableParagraph"/>
              <w:numPr>
                <w:ilvl w:val="0"/>
                <w:numId w:val="36"/>
              </w:numPr>
              <w:ind w:left="477"/>
              <w:jc w:val="both"/>
            </w:pPr>
            <w:r w:rsidRPr="00FA5477">
              <w:t xml:space="preserve">Actividades de promoción: De estrategias de prevención y auto cuido, estas se hacen desde espacios virtuales de los educadores pares de VICITS y Amigables </w:t>
            </w:r>
          </w:p>
          <w:p w14:paraId="154550F5" w14:textId="6E2225F5" w:rsidR="00C50268" w:rsidRPr="00FA5477" w:rsidRDefault="00C50268" w:rsidP="009252F2">
            <w:pPr>
              <w:pStyle w:val="TableParagraph"/>
              <w:numPr>
                <w:ilvl w:val="0"/>
                <w:numId w:val="36"/>
              </w:numPr>
              <w:ind w:left="477"/>
              <w:jc w:val="both"/>
            </w:pPr>
            <w:r w:rsidRPr="00FA5477">
              <w:t xml:space="preserve">Servicios de salud sexual reproductiva: planificación familiar, atención de embarazo – parto </w:t>
            </w:r>
            <w:r w:rsidR="00793BFF" w:rsidRPr="00FA5477">
              <w:t xml:space="preserve">– </w:t>
            </w:r>
            <w:r w:rsidRPr="00FA5477">
              <w:t>puerperio y otros.</w:t>
            </w:r>
          </w:p>
          <w:p w14:paraId="1F3F8738" w14:textId="0222B8A9" w:rsidR="00C50268" w:rsidRPr="00FA5477" w:rsidRDefault="00C50268" w:rsidP="009252F2">
            <w:pPr>
              <w:pStyle w:val="TableParagraph"/>
              <w:numPr>
                <w:ilvl w:val="0"/>
                <w:numId w:val="36"/>
              </w:numPr>
              <w:spacing w:after="60"/>
              <w:ind w:left="477" w:hanging="357"/>
              <w:jc w:val="both"/>
            </w:pPr>
            <w:r w:rsidRPr="00FA5477">
              <w:t xml:space="preserve">Unidades móviles: Acercamiento de la toma de pruebas de VIH en la comunidad. Existen </w:t>
            </w:r>
            <w:r w:rsidR="006A45CB" w:rsidRPr="00FA5477">
              <w:t>dos</w:t>
            </w:r>
            <w:r w:rsidRPr="00FA5477">
              <w:t xml:space="preserve"> unidades móviles que acercan la prueba dual VIH/ sífilis a la población clave</w:t>
            </w:r>
            <w:r w:rsidR="006A45CB" w:rsidRPr="00FA5477">
              <w:t xml:space="preserve">, en la que se </w:t>
            </w:r>
            <w:r w:rsidRPr="00FA5477">
              <w:t xml:space="preserve">cuenta con profesionales capacitados en el procesamiento de pruebas y confirmación. </w:t>
            </w:r>
            <w:r w:rsidR="006A45CB" w:rsidRPr="00FA5477">
              <w:t>Se trabaja en forma</w:t>
            </w:r>
            <w:r w:rsidRPr="00FA5477">
              <w:t xml:space="preserve"> coordina</w:t>
            </w:r>
            <w:r w:rsidR="006A45CB" w:rsidRPr="00FA5477">
              <w:t>da</w:t>
            </w:r>
            <w:r w:rsidRPr="00FA5477">
              <w:t xml:space="preserve"> con otros socios para hacer pruebas de VIH a poblaciones claves como actividades extramurales</w:t>
            </w:r>
            <w:r w:rsidR="009E4255" w:rsidRPr="00FA5477">
              <w:t>.</w:t>
            </w:r>
            <w:r w:rsidRPr="00FA5477">
              <w:t xml:space="preserve"> </w:t>
            </w:r>
          </w:p>
          <w:p w14:paraId="2F64DBF8" w14:textId="578275F6" w:rsidR="00A1381D" w:rsidRPr="00FA5477" w:rsidRDefault="00A1381D" w:rsidP="00D803EF">
            <w:pPr>
              <w:pStyle w:val="TableParagraph"/>
              <w:spacing w:after="60"/>
            </w:pPr>
            <w:r w:rsidRPr="00FA5477">
              <w:t>Todas las intervenciones serán documentadas y registradas en el SUMEVE.</w:t>
            </w:r>
          </w:p>
        </w:tc>
      </w:tr>
      <w:tr w:rsidR="00F93881" w:rsidRPr="00FA5477" w14:paraId="73A0814F" w14:textId="77777777" w:rsidTr="00D803EF">
        <w:trPr>
          <w:trHeight w:val="340"/>
        </w:trPr>
        <w:tc>
          <w:tcPr>
            <w:tcW w:w="2568" w:type="dxa"/>
            <w:shd w:val="clear" w:color="auto" w:fill="F1F1F1"/>
          </w:tcPr>
          <w:p w14:paraId="78BB375B" w14:textId="77777777" w:rsidR="00F93881" w:rsidRPr="00FA5477" w:rsidRDefault="00F93881" w:rsidP="00EB406F">
            <w:pPr>
              <w:pStyle w:val="TableParagraph"/>
              <w:ind w:left="107"/>
              <w:rPr>
                <w:rFonts w:ascii="Arial"/>
                <w:b/>
                <w:sz w:val="24"/>
              </w:rPr>
            </w:pPr>
            <w:r w:rsidRPr="00FA5477">
              <w:rPr>
                <w:rFonts w:ascii="Arial"/>
                <w:b/>
                <w:sz w:val="24"/>
              </w:rPr>
              <w:t>Monto</w:t>
            </w:r>
            <w:r w:rsidRPr="00FA5477">
              <w:rPr>
                <w:rFonts w:ascii="Arial"/>
                <w:b/>
                <w:spacing w:val="-1"/>
                <w:sz w:val="24"/>
              </w:rPr>
              <w:t xml:space="preserve"> </w:t>
            </w:r>
            <w:r w:rsidRPr="00FA5477">
              <w:rPr>
                <w:rFonts w:ascii="Arial"/>
                <w:b/>
                <w:sz w:val="24"/>
              </w:rPr>
              <w:t>solicitado</w:t>
            </w:r>
          </w:p>
        </w:tc>
        <w:tc>
          <w:tcPr>
            <w:tcW w:w="12556" w:type="dxa"/>
            <w:shd w:val="clear" w:color="auto" w:fill="auto"/>
            <w:tcMar>
              <w:left w:w="85" w:type="dxa"/>
              <w:right w:w="85" w:type="dxa"/>
            </w:tcMar>
          </w:tcPr>
          <w:p w14:paraId="41479EB6" w14:textId="108762B7" w:rsidR="00F93881" w:rsidRPr="00FA5477" w:rsidRDefault="00922DB7" w:rsidP="00EB406F">
            <w:pPr>
              <w:pStyle w:val="TableParagraph"/>
              <w:rPr>
                <w:rFonts w:ascii="Times New Roman"/>
                <w:sz w:val="24"/>
                <w:szCs w:val="24"/>
              </w:rPr>
            </w:pPr>
            <w:r w:rsidRPr="00FA5477">
              <w:rPr>
                <w:b/>
                <w:bCs/>
              </w:rPr>
              <w:t>$</w:t>
            </w:r>
            <w:r w:rsidR="000A1B74">
              <w:rPr>
                <w:b/>
                <w:bCs/>
              </w:rPr>
              <w:t>1.232</w:t>
            </w:r>
            <w:r w:rsidR="00A74913" w:rsidRPr="00FA5477">
              <w:rPr>
                <w:b/>
                <w:bCs/>
              </w:rPr>
              <w:t>,</w:t>
            </w:r>
            <w:r w:rsidR="000A1B74">
              <w:rPr>
                <w:b/>
                <w:bCs/>
              </w:rPr>
              <w:t>857.00</w:t>
            </w:r>
          </w:p>
        </w:tc>
      </w:tr>
      <w:tr w:rsidR="00F93881" w:rsidRPr="00FA5477" w14:paraId="196AD4E4" w14:textId="77777777" w:rsidTr="00D803EF">
        <w:trPr>
          <w:trHeight w:val="450"/>
        </w:trPr>
        <w:tc>
          <w:tcPr>
            <w:tcW w:w="2568" w:type="dxa"/>
          </w:tcPr>
          <w:p w14:paraId="6F8DA1B1" w14:textId="77777777" w:rsidR="00F93881" w:rsidRPr="00FA5477" w:rsidRDefault="00F93881" w:rsidP="008B2B26">
            <w:pPr>
              <w:pStyle w:val="TableParagraph"/>
              <w:ind w:left="107"/>
              <w:rPr>
                <w:rFonts w:ascii="Arial"/>
                <w:b/>
                <w:sz w:val="24"/>
              </w:rPr>
            </w:pPr>
            <w:r w:rsidRPr="00FA5477">
              <w:rPr>
                <w:rFonts w:ascii="Arial"/>
                <w:b/>
                <w:sz w:val="24"/>
              </w:rPr>
              <w:t>Resultado</w:t>
            </w:r>
            <w:r w:rsidRPr="00FA5477">
              <w:rPr>
                <w:rFonts w:ascii="Arial"/>
                <w:b/>
                <w:spacing w:val="-1"/>
                <w:sz w:val="24"/>
              </w:rPr>
              <w:t xml:space="preserve"> </w:t>
            </w:r>
            <w:r w:rsidRPr="00FA5477">
              <w:rPr>
                <w:rFonts w:ascii="Arial"/>
                <w:b/>
                <w:sz w:val="24"/>
              </w:rPr>
              <w:t>previsto</w:t>
            </w:r>
          </w:p>
        </w:tc>
        <w:tc>
          <w:tcPr>
            <w:tcW w:w="12556" w:type="dxa"/>
            <w:shd w:val="clear" w:color="auto" w:fill="auto"/>
            <w:tcMar>
              <w:left w:w="85" w:type="dxa"/>
              <w:right w:w="85" w:type="dxa"/>
            </w:tcMar>
          </w:tcPr>
          <w:p w14:paraId="2F114E79" w14:textId="1B6A1B84" w:rsidR="009333E7" w:rsidRPr="00FA5477" w:rsidRDefault="009333E7" w:rsidP="009252F2">
            <w:pPr>
              <w:pStyle w:val="TableParagraph"/>
              <w:spacing w:before="120" w:after="120"/>
              <w:jc w:val="both"/>
            </w:pPr>
            <w:r w:rsidRPr="00FA5477">
              <w:t xml:space="preserve">Contribuir a la disminución de la prevalencia de VIH en la población MTS, lo cual se va a lograr a través de la distribución y reforzamiento del uso continuo y permanente del condón, las acciones </w:t>
            </w:r>
            <w:r w:rsidR="000A21AC" w:rsidRPr="00FA5477">
              <w:t>para el manejo del riesgo sustancial</w:t>
            </w:r>
            <w:r w:rsidRPr="00FA5477">
              <w:t>. Con esto se espera también ampliar los servicios de prevención a través de la identificación del riesgo sustancial de MTS con al menos dos contactos en un año.</w:t>
            </w:r>
          </w:p>
          <w:p w14:paraId="5240F562" w14:textId="60D0B918" w:rsidR="00F93881" w:rsidRPr="00FA5477" w:rsidRDefault="009333E7" w:rsidP="009252F2">
            <w:pPr>
              <w:pStyle w:val="TableParagraph"/>
              <w:spacing w:after="60"/>
              <w:ind w:left="374" w:hanging="374"/>
              <w:jc w:val="both"/>
            </w:pPr>
            <w:r w:rsidRPr="00FA5477">
              <w:t>Promover ambientes de atención a personas trans</w:t>
            </w:r>
            <w:r w:rsidR="00732655" w:rsidRPr="00FA5477">
              <w:t>género</w:t>
            </w:r>
            <w:r w:rsidRPr="00FA5477">
              <w:t xml:space="preserve"> libres de estigma y discriminación.</w:t>
            </w:r>
          </w:p>
          <w:p w14:paraId="2780F605" w14:textId="1C7E6AB2" w:rsidR="00DD54C7" w:rsidRPr="00FA5477" w:rsidRDefault="00DD54C7" w:rsidP="009252F2">
            <w:pPr>
              <w:pStyle w:val="TableParagraph"/>
              <w:spacing w:after="60"/>
              <w:ind w:left="374" w:hanging="374"/>
              <w:jc w:val="both"/>
              <w:rPr>
                <w:rFonts w:ascii="Times New Roman"/>
                <w:sz w:val="24"/>
                <w:szCs w:val="24"/>
              </w:rPr>
            </w:pPr>
            <w:r w:rsidRPr="00FA5477">
              <w:t>El 65.68% de la población estimada de Trabajadoras del sexo han recibido paquetes definidos de servicio al final de esta subvención</w:t>
            </w:r>
            <w:r w:rsidR="00EB683A" w:rsidRPr="00FA5477">
              <w:t xml:space="preserve"> (meta en marco de desempeño)</w:t>
            </w:r>
            <w:r w:rsidRPr="00FA5477">
              <w:t>.</w:t>
            </w:r>
          </w:p>
        </w:tc>
      </w:tr>
    </w:tbl>
    <w:p w14:paraId="095A1DA5" w14:textId="5D03A93B" w:rsidR="00581DC6" w:rsidRPr="00FA5477" w:rsidRDefault="00581DC6">
      <w:pPr>
        <w:rPr>
          <w:rFonts w:ascii="Arial" w:hAnsi="Arial"/>
          <w:sz w:val="20"/>
        </w:rPr>
      </w:pPr>
    </w:p>
    <w:p w14:paraId="70803690" w14:textId="77777777" w:rsidR="00581DC6" w:rsidRPr="00FA5477" w:rsidRDefault="00581DC6">
      <w:pPr>
        <w:rPr>
          <w:rFonts w:ascii="Arial" w:hAnsi="Arial"/>
          <w:sz w:val="20"/>
        </w:rPr>
      </w:pPr>
      <w:r w:rsidRPr="00FA5477">
        <w:rPr>
          <w:rFonts w:ascii="Arial" w:hAnsi="Arial"/>
          <w:sz w:val="20"/>
        </w:rPr>
        <w:br w:type="page"/>
      </w:r>
    </w:p>
    <w:tbl>
      <w:tblPr>
        <w:tblStyle w:val="TableNormal1"/>
        <w:tblW w:w="0" w:type="auto"/>
        <w:tblInd w:w="1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85" w:type="dxa"/>
          <w:right w:w="85" w:type="dxa"/>
        </w:tblCellMar>
        <w:tblLook w:val="01E0" w:firstRow="1" w:lastRow="1" w:firstColumn="1" w:lastColumn="1" w:noHBand="0" w:noVBand="0"/>
      </w:tblPr>
      <w:tblGrid>
        <w:gridCol w:w="2426"/>
        <w:gridCol w:w="12698"/>
      </w:tblGrid>
      <w:tr w:rsidR="00922DB7" w:rsidRPr="00FA5477" w14:paraId="329F9E99" w14:textId="77777777" w:rsidTr="00360383">
        <w:trPr>
          <w:trHeight w:hRule="exact" w:val="510"/>
          <w:tblHeader/>
        </w:trPr>
        <w:tc>
          <w:tcPr>
            <w:tcW w:w="2426" w:type="dxa"/>
            <w:shd w:val="clear" w:color="auto" w:fill="auto"/>
          </w:tcPr>
          <w:p w14:paraId="202A0DC3" w14:textId="77777777" w:rsidR="00922DB7" w:rsidRPr="00FA5477" w:rsidRDefault="00922DB7" w:rsidP="008B2B26">
            <w:pPr>
              <w:pStyle w:val="TableParagraph"/>
              <w:ind w:left="107"/>
              <w:rPr>
                <w:rFonts w:ascii="Arial" w:hAnsi="Arial"/>
                <w:b/>
                <w:sz w:val="24"/>
              </w:rPr>
            </w:pPr>
            <w:r w:rsidRPr="00FA5477">
              <w:rPr>
                <w:rFonts w:ascii="Arial" w:hAnsi="Arial"/>
                <w:b/>
                <w:sz w:val="24"/>
              </w:rPr>
              <w:t>Módulo</w:t>
            </w:r>
            <w:r w:rsidRPr="00FA5477">
              <w:rPr>
                <w:rFonts w:ascii="Arial" w:hAnsi="Arial"/>
                <w:b/>
                <w:spacing w:val="-2"/>
                <w:sz w:val="24"/>
              </w:rPr>
              <w:t xml:space="preserve"> </w:t>
            </w:r>
            <w:r w:rsidRPr="00FA5477">
              <w:rPr>
                <w:rFonts w:ascii="Arial" w:hAnsi="Arial"/>
                <w:b/>
                <w:sz w:val="24"/>
              </w:rPr>
              <w:t>4</w:t>
            </w:r>
          </w:p>
        </w:tc>
        <w:tc>
          <w:tcPr>
            <w:tcW w:w="12698" w:type="dxa"/>
            <w:tcMar>
              <w:left w:w="85" w:type="dxa"/>
              <w:right w:w="85" w:type="dxa"/>
            </w:tcMar>
            <w:vAlign w:val="center"/>
          </w:tcPr>
          <w:p w14:paraId="085EA9AA" w14:textId="0B80F2ED" w:rsidR="00922DB7" w:rsidRPr="00FA5477" w:rsidRDefault="00922DB7" w:rsidP="008B2B26">
            <w:pPr>
              <w:pStyle w:val="TableParagraph"/>
              <w:spacing w:before="120" w:after="120"/>
              <w:ind w:left="105"/>
              <w:rPr>
                <w:rFonts w:ascii="Arial" w:hAnsi="Arial"/>
                <w:b/>
                <w:bCs/>
                <w:sz w:val="24"/>
                <w:szCs w:val="24"/>
              </w:rPr>
            </w:pPr>
            <w:r w:rsidRPr="00FA5477">
              <w:rPr>
                <w:b/>
                <w:bCs/>
                <w:sz w:val="24"/>
                <w:szCs w:val="24"/>
              </w:rPr>
              <w:t>Servicios diferenciados de diagnóstico del VIH</w:t>
            </w:r>
          </w:p>
        </w:tc>
      </w:tr>
      <w:tr w:rsidR="00922DB7" w:rsidRPr="00FA5477" w14:paraId="752DA83A" w14:textId="77777777" w:rsidTr="00D803EF">
        <w:trPr>
          <w:trHeight w:hRule="exact" w:val="1071"/>
        </w:trPr>
        <w:tc>
          <w:tcPr>
            <w:tcW w:w="2426" w:type="dxa"/>
            <w:shd w:val="clear" w:color="auto" w:fill="F1F1F1"/>
          </w:tcPr>
          <w:p w14:paraId="30942422" w14:textId="77777777" w:rsidR="00922DB7" w:rsidRPr="00FA5477" w:rsidRDefault="00922DB7" w:rsidP="008B2B26">
            <w:pPr>
              <w:pStyle w:val="TableParagraph"/>
              <w:ind w:left="107"/>
              <w:rPr>
                <w:rFonts w:ascii="Arial" w:hAnsi="Arial"/>
                <w:b/>
                <w:sz w:val="24"/>
              </w:rPr>
            </w:pPr>
            <w:r w:rsidRPr="00FA5477">
              <w:rPr>
                <w:rFonts w:ascii="Arial" w:hAnsi="Arial"/>
                <w:b/>
                <w:sz w:val="24"/>
              </w:rPr>
              <w:t>Intervención(es)</w:t>
            </w:r>
          </w:p>
        </w:tc>
        <w:tc>
          <w:tcPr>
            <w:tcW w:w="12698" w:type="dxa"/>
            <w:shd w:val="clear" w:color="auto" w:fill="F1F1F1"/>
            <w:tcMar>
              <w:left w:w="85" w:type="dxa"/>
              <w:right w:w="85" w:type="dxa"/>
            </w:tcMar>
            <w:vAlign w:val="center"/>
          </w:tcPr>
          <w:p w14:paraId="13990852" w14:textId="77777777" w:rsidR="00922DB7" w:rsidRPr="00FA5477" w:rsidRDefault="00922DB7" w:rsidP="00E11006">
            <w:pPr>
              <w:pStyle w:val="TableParagraph"/>
              <w:spacing w:after="60"/>
              <w:ind w:left="238"/>
              <w:jc w:val="both"/>
              <w:rPr>
                <w:b/>
                <w:bCs/>
                <w:sz w:val="24"/>
                <w:szCs w:val="24"/>
              </w:rPr>
            </w:pPr>
            <w:r w:rsidRPr="00FA5477">
              <w:rPr>
                <w:b/>
                <w:bCs/>
                <w:sz w:val="24"/>
                <w:szCs w:val="24"/>
              </w:rPr>
              <w:t>Pruebas en establecimientos de salud dentro de los programas para poblaciones clave</w:t>
            </w:r>
          </w:p>
          <w:p w14:paraId="70E0DAC6" w14:textId="77777777" w:rsidR="00922DB7" w:rsidRPr="00FA5477" w:rsidRDefault="00922DB7" w:rsidP="00E11006">
            <w:pPr>
              <w:pStyle w:val="TableParagraph"/>
              <w:spacing w:after="60"/>
              <w:ind w:left="238"/>
              <w:jc w:val="both"/>
              <w:rPr>
                <w:b/>
                <w:bCs/>
                <w:sz w:val="24"/>
                <w:szCs w:val="24"/>
              </w:rPr>
            </w:pPr>
            <w:r w:rsidRPr="00FA5477">
              <w:rPr>
                <w:b/>
                <w:bCs/>
                <w:sz w:val="24"/>
                <w:szCs w:val="24"/>
              </w:rPr>
              <w:t>Pruebas a nivel comunitario en programas para poblaciones clave</w:t>
            </w:r>
          </w:p>
          <w:p w14:paraId="3E3AE9F1" w14:textId="7D35C57A" w:rsidR="00922DB7" w:rsidRPr="00FA5477" w:rsidRDefault="00922DB7" w:rsidP="00E11006">
            <w:pPr>
              <w:pStyle w:val="TableParagraph"/>
              <w:spacing w:after="60"/>
              <w:ind w:left="238"/>
              <w:rPr>
                <w:b/>
                <w:bCs/>
                <w:sz w:val="24"/>
                <w:szCs w:val="24"/>
              </w:rPr>
            </w:pPr>
            <w:r w:rsidRPr="00FA5477">
              <w:rPr>
                <w:b/>
                <w:bCs/>
                <w:sz w:val="24"/>
                <w:szCs w:val="24"/>
              </w:rPr>
              <w:t>Pruebas de autodiagnóstico en programas para poblaciones clave</w:t>
            </w:r>
          </w:p>
        </w:tc>
      </w:tr>
      <w:tr w:rsidR="00922DB7" w:rsidRPr="00FA5477" w14:paraId="0BEBF7C0" w14:textId="77777777" w:rsidTr="00D803EF">
        <w:trPr>
          <w:trHeight w:val="4736"/>
        </w:trPr>
        <w:tc>
          <w:tcPr>
            <w:tcW w:w="2426" w:type="dxa"/>
          </w:tcPr>
          <w:p w14:paraId="739BA590" w14:textId="77777777" w:rsidR="00922DB7" w:rsidRPr="00FA5477" w:rsidRDefault="00922DB7" w:rsidP="00922DB7">
            <w:pPr>
              <w:pStyle w:val="TableParagraph"/>
              <w:spacing w:line="264" w:lineRule="auto"/>
              <w:ind w:left="107" w:right="424"/>
              <w:rPr>
                <w:rFonts w:ascii="Arial" w:hAnsi="Arial"/>
                <w:b/>
                <w:sz w:val="24"/>
              </w:rPr>
            </w:pPr>
            <w:r w:rsidRPr="00FA5477">
              <w:rPr>
                <w:rFonts w:ascii="Arial" w:hAnsi="Arial"/>
                <w:b/>
                <w:sz w:val="24"/>
              </w:rPr>
              <w:t>Población, regiones</w:t>
            </w:r>
            <w:r w:rsidRPr="00FA5477">
              <w:rPr>
                <w:rFonts w:ascii="Arial" w:hAnsi="Arial"/>
                <w:b/>
                <w:spacing w:val="1"/>
                <w:sz w:val="24"/>
              </w:rPr>
              <w:t xml:space="preserve"> </w:t>
            </w:r>
            <w:r w:rsidRPr="00FA5477">
              <w:rPr>
                <w:rFonts w:ascii="Arial" w:hAnsi="Arial"/>
                <w:b/>
                <w:sz w:val="24"/>
              </w:rPr>
              <w:t>geográficas u</w:t>
            </w:r>
            <w:r w:rsidRPr="00FA5477">
              <w:rPr>
                <w:rFonts w:ascii="Arial" w:hAnsi="Arial"/>
                <w:b/>
                <w:spacing w:val="1"/>
                <w:sz w:val="24"/>
              </w:rPr>
              <w:t xml:space="preserve"> </w:t>
            </w:r>
            <w:r w:rsidRPr="00FA5477">
              <w:rPr>
                <w:rFonts w:ascii="Arial" w:hAnsi="Arial"/>
                <w:b/>
                <w:sz w:val="24"/>
              </w:rPr>
              <w:t>obstáculos</w:t>
            </w:r>
            <w:r w:rsidRPr="00FA5477">
              <w:rPr>
                <w:rFonts w:ascii="Arial" w:hAnsi="Arial"/>
                <w:b/>
                <w:spacing w:val="-14"/>
                <w:sz w:val="24"/>
              </w:rPr>
              <w:t xml:space="preserve"> </w:t>
            </w:r>
            <w:r w:rsidRPr="00FA5477">
              <w:rPr>
                <w:rFonts w:ascii="Arial" w:hAnsi="Arial"/>
                <w:b/>
                <w:sz w:val="24"/>
              </w:rPr>
              <w:t>abordados</w:t>
            </w:r>
          </w:p>
        </w:tc>
        <w:tc>
          <w:tcPr>
            <w:tcW w:w="12698" w:type="dxa"/>
            <w:shd w:val="clear" w:color="auto" w:fill="auto"/>
            <w:tcMar>
              <w:left w:w="85" w:type="dxa"/>
              <w:right w:w="85" w:type="dxa"/>
            </w:tcMar>
          </w:tcPr>
          <w:p w14:paraId="0326F7D9" w14:textId="1F50FB8F" w:rsidR="00922DB7" w:rsidRPr="00FA5477" w:rsidRDefault="00922DB7" w:rsidP="00A1381D">
            <w:pPr>
              <w:pStyle w:val="TableParagraph"/>
              <w:spacing w:after="60"/>
              <w:ind w:left="221" w:hanging="221"/>
              <w:jc w:val="both"/>
            </w:pPr>
            <w:r w:rsidRPr="00FA5477">
              <w:t>Población: Hombres que tienen relaciones sexuales con hombres y sus parejas sexuales, personas transgénero y trabajadoras del sexo</w:t>
            </w:r>
            <w:r w:rsidR="00556DCB" w:rsidRPr="00FA5477">
              <w:t>.</w:t>
            </w:r>
          </w:p>
          <w:p w14:paraId="39F3B66A" w14:textId="12DFEDCF" w:rsidR="00922DB7" w:rsidRPr="00FA5477" w:rsidRDefault="00922DB7" w:rsidP="00EB683A">
            <w:pPr>
              <w:pStyle w:val="TableParagraph"/>
              <w:spacing w:after="60"/>
              <w:ind w:left="221" w:hanging="221"/>
              <w:jc w:val="both"/>
            </w:pPr>
            <w:r w:rsidRPr="00FA5477">
              <w:t>Las actividades claves de estas intervenciones están implementadas por:</w:t>
            </w:r>
          </w:p>
          <w:p w14:paraId="6F55478F" w14:textId="7D329384" w:rsidR="00922DB7" w:rsidRPr="00FA5477" w:rsidRDefault="00DA6F5E" w:rsidP="00A1381D">
            <w:pPr>
              <w:pStyle w:val="TableParagraph"/>
              <w:numPr>
                <w:ilvl w:val="0"/>
                <w:numId w:val="26"/>
              </w:numPr>
              <w:jc w:val="both"/>
              <w:rPr>
                <w:b/>
                <w:bCs/>
              </w:rPr>
            </w:pPr>
            <w:r w:rsidRPr="00FA5477">
              <w:rPr>
                <w:b/>
                <w:bCs/>
              </w:rPr>
              <w:t>RP-</w:t>
            </w:r>
            <w:r w:rsidR="00922DB7" w:rsidRPr="00FA5477">
              <w:rPr>
                <w:b/>
                <w:bCs/>
              </w:rPr>
              <w:t>PLAN</w:t>
            </w:r>
          </w:p>
          <w:p w14:paraId="35A734A8" w14:textId="77777777" w:rsidR="00922DB7" w:rsidRPr="00FA5477" w:rsidRDefault="00922DB7" w:rsidP="00A1381D">
            <w:pPr>
              <w:pStyle w:val="TableParagraph"/>
              <w:numPr>
                <w:ilvl w:val="0"/>
                <w:numId w:val="21"/>
              </w:numPr>
              <w:jc w:val="both"/>
            </w:pPr>
            <w:r w:rsidRPr="00FA5477">
              <w:t xml:space="preserve">Unidades móviles: </w:t>
            </w:r>
          </w:p>
          <w:p w14:paraId="6A9BE6AC" w14:textId="389A7662" w:rsidR="00922DB7" w:rsidRPr="00FA5477" w:rsidRDefault="00922DB7" w:rsidP="00EB683A">
            <w:pPr>
              <w:pStyle w:val="TableParagraph"/>
              <w:spacing w:after="60"/>
              <w:ind w:left="1083" w:firstLine="11"/>
              <w:jc w:val="both"/>
            </w:pPr>
            <w:r w:rsidRPr="00FA5477">
              <w:t>Las unidades móviles (laboratorio) permite llegar a distintos sitios donde la comunidad de HSH, MTS y personas transgénero se concentran, tales como: bares, clubes, lugares de citas y saunas, lugares de trabajo sexual, parques, mercados, terminales de buses, marchas, ferias, o encuentros deportivos, zonas urbanas, rurales, a excepción de las personas transgénero que su abordaje se realiza puerta a puerta. Los servicios de pruebas duales VIH/sífilis cuentan con seis unidades móviles (</w:t>
            </w:r>
            <w:r w:rsidR="006A45CB" w:rsidRPr="00FA5477">
              <w:t>tres</w:t>
            </w:r>
            <w:r w:rsidRPr="00FA5477">
              <w:t xml:space="preserve"> del RP PLAN, </w:t>
            </w:r>
            <w:r w:rsidR="006A45CB" w:rsidRPr="00FA5477">
              <w:t>dos</w:t>
            </w:r>
            <w:r w:rsidRPr="00FA5477">
              <w:t xml:space="preserve"> del SR de HSH y </w:t>
            </w:r>
            <w:r w:rsidR="006A45CB" w:rsidRPr="00FA5477">
              <w:t>una</w:t>
            </w:r>
            <w:r w:rsidRPr="00FA5477">
              <w:t xml:space="preserve"> del SR MTS) que facilitan el acceso a tomas de pruebas duales VIH/sífilis, pruebas de confirmación para VIH y cargas virales, disminuyendo la brecha entre el diagnóstico temprano y la confirmación. </w:t>
            </w:r>
          </w:p>
          <w:p w14:paraId="79ED45EC" w14:textId="143F9606" w:rsidR="00922DB7" w:rsidRPr="00FA5477" w:rsidRDefault="00922DB7" w:rsidP="00A1381D">
            <w:pPr>
              <w:pStyle w:val="TableParagraph"/>
              <w:ind w:left="1081" w:firstLine="9"/>
              <w:jc w:val="both"/>
            </w:pPr>
            <w:r w:rsidRPr="00FA5477">
              <w:t>Dentro de las unidades móviles como se mencionó anteriormente, se ofrecen servicios de;</w:t>
            </w:r>
          </w:p>
          <w:p w14:paraId="1EA06F17" w14:textId="77777777" w:rsidR="00922DB7" w:rsidRPr="00FA5477" w:rsidRDefault="00922DB7" w:rsidP="00F379D0">
            <w:pPr>
              <w:pStyle w:val="TableParagraph"/>
              <w:numPr>
                <w:ilvl w:val="0"/>
                <w:numId w:val="22"/>
              </w:numPr>
              <w:ind w:left="1502" w:hanging="357"/>
              <w:jc w:val="both"/>
            </w:pPr>
            <w:r w:rsidRPr="00FA5477">
              <w:t xml:space="preserve">Prevención combinada: Entrega de condones y lubricantes, procesamiento de pruebas de VIH/Sífilis y confirmación, todo caso nuevo confirmado es vinculado por los educadores pares a las clínicas de atención integral de la red nacional de hospitales y los casos negativos con perfiles de riesgo elevado, se le da seguimiento con una segunda intervención de prueba, durante el año. </w:t>
            </w:r>
          </w:p>
          <w:p w14:paraId="0BD27EAE" w14:textId="1C3ECE92" w:rsidR="00922DB7" w:rsidRPr="00FA5477" w:rsidRDefault="00DB22E8" w:rsidP="00F379D0">
            <w:pPr>
              <w:pStyle w:val="TableParagraph"/>
              <w:numPr>
                <w:ilvl w:val="0"/>
                <w:numId w:val="22"/>
              </w:numPr>
              <w:ind w:left="1502" w:hanging="357"/>
              <w:jc w:val="both"/>
            </w:pPr>
            <w:r w:rsidRPr="00FA5477">
              <w:t>Acompañamiento para la búsqueda de alternativas en el manejo del riesgo sustancial y la oferta de servicios de prevención incluyendo PrEP.</w:t>
            </w:r>
          </w:p>
          <w:p w14:paraId="6AA9F095" w14:textId="48943C8D" w:rsidR="00922DB7" w:rsidRPr="00FA5477" w:rsidRDefault="00922DB7" w:rsidP="00F379D0">
            <w:pPr>
              <w:pStyle w:val="TableParagraph"/>
              <w:numPr>
                <w:ilvl w:val="0"/>
                <w:numId w:val="22"/>
              </w:numPr>
              <w:ind w:left="1502" w:hanging="357"/>
              <w:jc w:val="both"/>
            </w:pPr>
            <w:r w:rsidRPr="00FA5477">
              <w:t>Notificación asistida de contacto (NAC/NAP): Se ofrecerá a todos los casos índice de acuerdo a la metodología establecida en los lineamientos nacionales acompañado de promotore pares. El diagnóstico de los contactos podrá hacerse a través de las unidades móviles o en la distribución de pruebas de autodiagnóstico.</w:t>
            </w:r>
            <w:r w:rsidR="00723B3A" w:rsidRPr="00FA5477">
              <w:t xml:space="preserve"> Esta estrategia está siendo desarrollada con contribución del Fondo Mundial.</w:t>
            </w:r>
          </w:p>
          <w:p w14:paraId="77E8465F" w14:textId="3D685F9B" w:rsidR="00922DB7" w:rsidRPr="00FA5477" w:rsidRDefault="00922DB7" w:rsidP="00F379D0">
            <w:pPr>
              <w:pStyle w:val="TableParagraph"/>
              <w:numPr>
                <w:ilvl w:val="0"/>
                <w:numId w:val="22"/>
              </w:numPr>
              <w:ind w:left="1502" w:hanging="357"/>
              <w:jc w:val="both"/>
            </w:pPr>
            <w:r w:rsidRPr="00FA5477">
              <w:t xml:space="preserve">Distribución de pruebas de autodiagnóstico asistida y no asistida, las cuales se ofrecen a través de servicios virtuales para generar demanda y realizar pedidos en línea con la aplicación </w:t>
            </w:r>
            <w:r w:rsidR="003E63EE" w:rsidRPr="00FA5477">
              <w:t>‘</w:t>
            </w:r>
            <w:r w:rsidRPr="00FA5477">
              <w:t>Match con tu salud</w:t>
            </w:r>
            <w:r w:rsidR="003E63EE" w:rsidRPr="00FA5477">
              <w:t>’</w:t>
            </w:r>
            <w:r w:rsidRPr="00FA5477">
              <w:t>.</w:t>
            </w:r>
            <w:r w:rsidR="00EB683A" w:rsidRPr="00FA5477">
              <w:t xml:space="preserve"> [Para ampliar ver </w:t>
            </w:r>
            <w:r w:rsidR="005A067C" w:rsidRPr="00FA5477">
              <w:t>a</w:t>
            </w:r>
            <w:r w:rsidR="00EB683A" w:rsidRPr="00FA5477">
              <w:t>nexo 1]</w:t>
            </w:r>
          </w:p>
          <w:p w14:paraId="52BC768D" w14:textId="77777777" w:rsidR="00A1381D" w:rsidRPr="00FA5477" w:rsidRDefault="00922DB7" w:rsidP="00EB683A">
            <w:pPr>
              <w:pStyle w:val="TableParagraph"/>
              <w:numPr>
                <w:ilvl w:val="0"/>
                <w:numId w:val="21"/>
              </w:numPr>
              <w:spacing w:before="60"/>
              <w:ind w:left="1083" w:hanging="357"/>
              <w:jc w:val="both"/>
            </w:pPr>
            <w:r w:rsidRPr="00FA5477">
              <w:t>Referencias efectivas acompañada por educadores pares:</w:t>
            </w:r>
          </w:p>
          <w:p w14:paraId="2BC481E2" w14:textId="75D6F686" w:rsidR="00922DB7" w:rsidRPr="00FA5477" w:rsidRDefault="00922DB7" w:rsidP="00E11006">
            <w:pPr>
              <w:pStyle w:val="TableParagraph"/>
              <w:spacing w:after="60"/>
              <w:ind w:left="1440"/>
              <w:jc w:val="both"/>
            </w:pPr>
            <w:r w:rsidRPr="00FA5477">
              <w:t>Permiten que las poblaciones claves se vinculen a los servicios del MINSAL, es a través de este servicio coordinado entre organizaciones socias de esta subvención y del Ministerio de salud, que las poblaciones claves acceden a servicios de diagnóstico de ITS/VIH.</w:t>
            </w:r>
          </w:p>
          <w:p w14:paraId="4B9A5882" w14:textId="7B424558" w:rsidR="00E11006" w:rsidRPr="00FA5477" w:rsidRDefault="00E11006" w:rsidP="00EB683A">
            <w:pPr>
              <w:pStyle w:val="TableParagraph"/>
              <w:spacing w:after="120"/>
              <w:jc w:val="both"/>
            </w:pPr>
            <w:r w:rsidRPr="00FA5477">
              <w:t>Todos los servicios de unidades móviles se registran en SUMEVE.</w:t>
            </w:r>
          </w:p>
          <w:p w14:paraId="59ED0FE2" w14:textId="271079AC" w:rsidR="00922DB7" w:rsidRPr="00FA5477" w:rsidRDefault="00922DB7" w:rsidP="00A1381D">
            <w:pPr>
              <w:pStyle w:val="TableParagraph"/>
              <w:numPr>
                <w:ilvl w:val="0"/>
                <w:numId w:val="19"/>
              </w:numPr>
              <w:ind w:left="714" w:hanging="357"/>
              <w:jc w:val="both"/>
            </w:pPr>
            <w:r w:rsidRPr="00FA5477">
              <w:rPr>
                <w:b/>
                <w:bCs/>
              </w:rPr>
              <w:t xml:space="preserve">MINSAL </w:t>
            </w:r>
            <w:r w:rsidRPr="00FA5477">
              <w:t xml:space="preserve">a través de sus </w:t>
            </w:r>
          </w:p>
          <w:p w14:paraId="76872AA3" w14:textId="77777777" w:rsidR="00922DB7" w:rsidRPr="00FA5477" w:rsidRDefault="00922DB7" w:rsidP="00A1381D">
            <w:pPr>
              <w:pStyle w:val="TableParagraph"/>
              <w:ind w:left="720"/>
              <w:jc w:val="both"/>
            </w:pPr>
            <w:r w:rsidRPr="00FA5477">
              <w:t>a. Clínicas VICITS/Amigables realizan:</w:t>
            </w:r>
          </w:p>
          <w:p w14:paraId="3A7BB1BE" w14:textId="77777777" w:rsidR="00922DB7" w:rsidRPr="00FA5477" w:rsidRDefault="00922DB7" w:rsidP="00A1381D">
            <w:pPr>
              <w:pStyle w:val="TableParagraph"/>
              <w:numPr>
                <w:ilvl w:val="0"/>
                <w:numId w:val="23"/>
              </w:numPr>
              <w:ind w:left="1506"/>
              <w:jc w:val="both"/>
            </w:pPr>
            <w:r w:rsidRPr="00FA5477">
              <w:t>Pruebas de diagnóstico y confirmación para VIH</w:t>
            </w:r>
          </w:p>
          <w:p w14:paraId="365E89AF" w14:textId="7D2E795F" w:rsidR="00922DB7" w:rsidRPr="00FA5477" w:rsidRDefault="00922DB7" w:rsidP="00A1381D">
            <w:pPr>
              <w:pStyle w:val="TableParagraph"/>
              <w:numPr>
                <w:ilvl w:val="0"/>
                <w:numId w:val="23"/>
              </w:numPr>
              <w:ind w:left="1506"/>
              <w:jc w:val="both"/>
            </w:pPr>
            <w:r w:rsidRPr="00FA5477">
              <w:t>NAC/NAP</w:t>
            </w:r>
            <w:r w:rsidR="00723B3A" w:rsidRPr="00FA5477">
              <w:t xml:space="preserve"> con recursos propios del sistema de salud</w:t>
            </w:r>
          </w:p>
          <w:p w14:paraId="63D4D93C" w14:textId="77777777" w:rsidR="00922DB7" w:rsidRPr="00FA5477" w:rsidRDefault="00922DB7" w:rsidP="00F379D0">
            <w:pPr>
              <w:pStyle w:val="TableParagraph"/>
              <w:numPr>
                <w:ilvl w:val="0"/>
                <w:numId w:val="23"/>
              </w:numPr>
              <w:spacing w:after="60"/>
              <w:ind w:left="1502" w:hanging="357"/>
              <w:jc w:val="both"/>
            </w:pPr>
            <w:r w:rsidRPr="00FA5477">
              <w:t>Navegación para vinculación</w:t>
            </w:r>
          </w:p>
          <w:p w14:paraId="21D546E6" w14:textId="77777777" w:rsidR="00922DB7" w:rsidRPr="00FA5477" w:rsidRDefault="00922DB7" w:rsidP="00F379D0">
            <w:pPr>
              <w:pStyle w:val="TableParagraph"/>
              <w:numPr>
                <w:ilvl w:val="0"/>
                <w:numId w:val="24"/>
              </w:numPr>
              <w:spacing w:after="60"/>
              <w:ind w:left="1077" w:hanging="357"/>
              <w:jc w:val="both"/>
            </w:pPr>
            <w:r w:rsidRPr="00FA5477">
              <w:t>Distribución de pruebas de autodiagnóstico con su respectiva confirmación</w:t>
            </w:r>
          </w:p>
          <w:p w14:paraId="3F54E44C" w14:textId="59FAFB09" w:rsidR="00922DB7" w:rsidRPr="00FA5477" w:rsidRDefault="00922DB7" w:rsidP="00F379D0">
            <w:pPr>
              <w:pStyle w:val="TableParagraph"/>
              <w:numPr>
                <w:ilvl w:val="0"/>
                <w:numId w:val="24"/>
              </w:numPr>
              <w:spacing w:after="60"/>
              <w:jc w:val="both"/>
            </w:pPr>
            <w:r w:rsidRPr="00FA5477">
              <w:t>Unidades móviles: Para actividades comunitarias y actividades extramurales que pueden incluir búsqueda de puerta a puerta</w:t>
            </w:r>
          </w:p>
          <w:p w14:paraId="28459FF0" w14:textId="386B442B" w:rsidR="00A1381D" w:rsidRPr="00FA5477" w:rsidRDefault="00A1381D" w:rsidP="00EB683A">
            <w:pPr>
              <w:pStyle w:val="TableParagraph"/>
              <w:spacing w:before="60" w:after="120"/>
              <w:jc w:val="both"/>
            </w:pPr>
            <w:r w:rsidRPr="00FA5477">
              <w:t>Todos los servicios se registran en SUMEVE.</w:t>
            </w:r>
          </w:p>
          <w:p w14:paraId="0C688C4D" w14:textId="77777777" w:rsidR="00922DB7" w:rsidRPr="00FA5477" w:rsidRDefault="00922DB7" w:rsidP="00A1381D">
            <w:pPr>
              <w:pStyle w:val="TableParagraph"/>
              <w:numPr>
                <w:ilvl w:val="0"/>
                <w:numId w:val="19"/>
              </w:numPr>
              <w:ind w:left="714" w:hanging="357"/>
              <w:jc w:val="both"/>
              <w:rPr>
                <w:b/>
                <w:bCs/>
              </w:rPr>
            </w:pPr>
            <w:r w:rsidRPr="00FA5477">
              <w:rPr>
                <w:b/>
                <w:bCs/>
              </w:rPr>
              <w:t>PEPFAR</w:t>
            </w:r>
          </w:p>
          <w:p w14:paraId="21DB1242" w14:textId="54841476" w:rsidR="00922DB7" w:rsidRPr="00FA5477" w:rsidRDefault="00922DB7" w:rsidP="00E11006">
            <w:pPr>
              <w:pStyle w:val="TableParagraph"/>
              <w:numPr>
                <w:ilvl w:val="0"/>
                <w:numId w:val="28"/>
              </w:numPr>
              <w:spacing w:after="60"/>
              <w:ind w:left="1081"/>
              <w:jc w:val="both"/>
            </w:pPr>
            <w:r w:rsidRPr="00FA5477">
              <w:t xml:space="preserve">Actividades comunitarias de toma de pruebas </w:t>
            </w:r>
            <w:r w:rsidR="00AE06A5" w:rsidRPr="00FA5477">
              <w:t xml:space="preserve">a HSH </w:t>
            </w:r>
            <w:r w:rsidRPr="00FA5477">
              <w:t>con referencia a laboratorios privados y abordaje de puerta a puerta.</w:t>
            </w:r>
          </w:p>
          <w:p w14:paraId="6C582EDD" w14:textId="77777777" w:rsidR="00922DB7" w:rsidRPr="00FA5477" w:rsidRDefault="00922DB7" w:rsidP="00E11006">
            <w:pPr>
              <w:pStyle w:val="TableParagraph"/>
              <w:numPr>
                <w:ilvl w:val="0"/>
                <w:numId w:val="28"/>
              </w:numPr>
              <w:spacing w:after="60"/>
              <w:ind w:left="1081"/>
              <w:jc w:val="both"/>
            </w:pPr>
            <w:r w:rsidRPr="00FA5477">
              <w:t>Distribución de pruebas de autodiagnóstico.</w:t>
            </w:r>
          </w:p>
          <w:p w14:paraId="0E0AB9AB" w14:textId="77777777" w:rsidR="00922DB7" w:rsidRPr="00FA5477" w:rsidRDefault="00922DB7" w:rsidP="00E11006">
            <w:pPr>
              <w:pStyle w:val="TableParagraph"/>
              <w:numPr>
                <w:ilvl w:val="0"/>
                <w:numId w:val="28"/>
              </w:numPr>
              <w:spacing w:after="60"/>
              <w:ind w:left="1081"/>
              <w:jc w:val="both"/>
            </w:pPr>
            <w:r w:rsidRPr="00FA5477">
              <w:t>NAC/NAP</w:t>
            </w:r>
          </w:p>
          <w:p w14:paraId="1BA72C9E" w14:textId="77777777" w:rsidR="00922DB7" w:rsidRPr="00FA5477" w:rsidRDefault="003403F8" w:rsidP="00E11006">
            <w:pPr>
              <w:pStyle w:val="TableParagraph"/>
              <w:numPr>
                <w:ilvl w:val="0"/>
                <w:numId w:val="28"/>
              </w:numPr>
              <w:ind w:left="1081"/>
              <w:jc w:val="both"/>
            </w:pPr>
            <w:r w:rsidRPr="00FA5477">
              <w:t xml:space="preserve">Referencia para </w:t>
            </w:r>
            <w:r w:rsidR="00922DB7" w:rsidRPr="00FA5477">
              <w:t>Vinculación</w:t>
            </w:r>
            <w:r w:rsidRPr="00FA5477">
              <w:t xml:space="preserve"> y Tratamiento.</w:t>
            </w:r>
          </w:p>
          <w:p w14:paraId="6E329FF4" w14:textId="77777777" w:rsidR="003403F8" w:rsidRPr="00FA5477" w:rsidRDefault="003403F8" w:rsidP="00EB683A">
            <w:pPr>
              <w:pStyle w:val="TableParagraph"/>
              <w:numPr>
                <w:ilvl w:val="0"/>
                <w:numId w:val="28"/>
              </w:numPr>
              <w:spacing w:after="60"/>
              <w:ind w:left="1077" w:hanging="357"/>
              <w:jc w:val="both"/>
            </w:pPr>
            <w:r w:rsidRPr="00FA5477">
              <w:t>Entrega de PrEP a través de PASMO.</w:t>
            </w:r>
          </w:p>
          <w:p w14:paraId="5E4804C6" w14:textId="5CADA2DA" w:rsidR="00EB683A" w:rsidRPr="00FA5477" w:rsidRDefault="00EB683A" w:rsidP="00EB683A">
            <w:pPr>
              <w:pStyle w:val="TableParagraph"/>
              <w:spacing w:before="60" w:after="60"/>
              <w:jc w:val="both"/>
            </w:pPr>
            <w:r w:rsidRPr="00FA5477">
              <w:t>Todos los servicios se registran en SUMEVE.</w:t>
            </w:r>
          </w:p>
        </w:tc>
      </w:tr>
      <w:tr w:rsidR="00922DB7" w:rsidRPr="00FA5477" w14:paraId="2D3D8F20" w14:textId="77777777" w:rsidTr="00D803EF">
        <w:trPr>
          <w:trHeight w:val="340"/>
        </w:trPr>
        <w:tc>
          <w:tcPr>
            <w:tcW w:w="2426" w:type="dxa"/>
            <w:shd w:val="clear" w:color="auto" w:fill="F1F1F1"/>
          </w:tcPr>
          <w:p w14:paraId="768C2FBA" w14:textId="77777777" w:rsidR="00922DB7" w:rsidRPr="00FA5477" w:rsidRDefault="00922DB7" w:rsidP="008B2B26">
            <w:pPr>
              <w:pStyle w:val="TableParagraph"/>
              <w:ind w:left="107"/>
              <w:rPr>
                <w:rFonts w:ascii="Arial"/>
                <w:b/>
                <w:sz w:val="24"/>
              </w:rPr>
            </w:pPr>
            <w:r w:rsidRPr="00FA5477">
              <w:rPr>
                <w:rFonts w:ascii="Arial"/>
                <w:b/>
                <w:sz w:val="24"/>
              </w:rPr>
              <w:t>Monto</w:t>
            </w:r>
            <w:r w:rsidRPr="00FA5477">
              <w:rPr>
                <w:rFonts w:ascii="Arial"/>
                <w:b/>
                <w:spacing w:val="-1"/>
                <w:sz w:val="24"/>
              </w:rPr>
              <w:t xml:space="preserve"> </w:t>
            </w:r>
            <w:r w:rsidRPr="00FA5477">
              <w:rPr>
                <w:rFonts w:ascii="Arial"/>
                <w:b/>
                <w:sz w:val="24"/>
              </w:rPr>
              <w:t>solicitado</w:t>
            </w:r>
          </w:p>
        </w:tc>
        <w:tc>
          <w:tcPr>
            <w:tcW w:w="12698" w:type="dxa"/>
            <w:shd w:val="clear" w:color="auto" w:fill="F1F1F1"/>
            <w:tcMar>
              <w:left w:w="85" w:type="dxa"/>
              <w:right w:w="85" w:type="dxa"/>
            </w:tcMar>
          </w:tcPr>
          <w:p w14:paraId="7B0FEE80" w14:textId="6DF7E97C" w:rsidR="00922DB7" w:rsidRPr="00FA5477" w:rsidRDefault="005E1F10" w:rsidP="008B2B26">
            <w:pPr>
              <w:pStyle w:val="TableParagraph"/>
              <w:rPr>
                <w:rFonts w:ascii="Times New Roman"/>
                <w:b/>
                <w:bCs/>
                <w:sz w:val="24"/>
                <w:szCs w:val="24"/>
              </w:rPr>
            </w:pPr>
            <w:r w:rsidRPr="00FA5477">
              <w:rPr>
                <w:b/>
                <w:bCs/>
              </w:rPr>
              <w:t>$</w:t>
            </w:r>
            <w:r w:rsidR="000A1B74">
              <w:rPr>
                <w:b/>
                <w:bCs/>
              </w:rPr>
              <w:t>1</w:t>
            </w:r>
            <w:r w:rsidRPr="00FA5477">
              <w:rPr>
                <w:b/>
                <w:bCs/>
              </w:rPr>
              <w:t>,</w:t>
            </w:r>
            <w:r w:rsidR="000A1B74">
              <w:rPr>
                <w:b/>
                <w:bCs/>
              </w:rPr>
              <w:t>703</w:t>
            </w:r>
            <w:r w:rsidRPr="00FA5477">
              <w:rPr>
                <w:b/>
                <w:bCs/>
              </w:rPr>
              <w:t>,</w:t>
            </w:r>
            <w:r w:rsidR="000A1B74">
              <w:rPr>
                <w:b/>
                <w:bCs/>
              </w:rPr>
              <w:t>905</w:t>
            </w:r>
            <w:r w:rsidRPr="00FA5477">
              <w:rPr>
                <w:b/>
                <w:bCs/>
              </w:rPr>
              <w:t>.</w:t>
            </w:r>
            <w:r w:rsidR="000A1B74">
              <w:rPr>
                <w:b/>
                <w:bCs/>
              </w:rPr>
              <w:t>00</w:t>
            </w:r>
          </w:p>
        </w:tc>
      </w:tr>
      <w:tr w:rsidR="00922DB7" w:rsidRPr="00FA5477" w14:paraId="49D6429C" w14:textId="77777777" w:rsidTr="00D803EF">
        <w:trPr>
          <w:trHeight w:val="450"/>
        </w:trPr>
        <w:tc>
          <w:tcPr>
            <w:tcW w:w="2426" w:type="dxa"/>
          </w:tcPr>
          <w:p w14:paraId="2DA88462" w14:textId="77777777" w:rsidR="00922DB7" w:rsidRPr="00FA5477" w:rsidRDefault="00922DB7" w:rsidP="008B2B26">
            <w:pPr>
              <w:pStyle w:val="TableParagraph"/>
              <w:ind w:left="107"/>
              <w:rPr>
                <w:rFonts w:ascii="Arial"/>
                <w:b/>
                <w:sz w:val="24"/>
              </w:rPr>
            </w:pPr>
            <w:r w:rsidRPr="00FA5477">
              <w:rPr>
                <w:rFonts w:ascii="Arial"/>
                <w:b/>
                <w:sz w:val="24"/>
              </w:rPr>
              <w:t>Resultado</w:t>
            </w:r>
            <w:r w:rsidRPr="00FA5477">
              <w:rPr>
                <w:rFonts w:ascii="Arial"/>
                <w:b/>
                <w:spacing w:val="-1"/>
                <w:sz w:val="24"/>
              </w:rPr>
              <w:t xml:space="preserve"> </w:t>
            </w:r>
            <w:r w:rsidRPr="00FA5477">
              <w:rPr>
                <w:rFonts w:ascii="Arial"/>
                <w:b/>
                <w:sz w:val="24"/>
              </w:rPr>
              <w:t>previsto</w:t>
            </w:r>
          </w:p>
        </w:tc>
        <w:tc>
          <w:tcPr>
            <w:tcW w:w="12698" w:type="dxa"/>
            <w:shd w:val="clear" w:color="auto" w:fill="auto"/>
            <w:tcMar>
              <w:left w:w="85" w:type="dxa"/>
              <w:right w:w="85" w:type="dxa"/>
            </w:tcMar>
          </w:tcPr>
          <w:p w14:paraId="3C39DA18" w14:textId="77777777" w:rsidR="00922DB7" w:rsidRPr="00FA5477" w:rsidRDefault="005E1F10" w:rsidP="009252F2">
            <w:pPr>
              <w:pStyle w:val="TableParagraph"/>
              <w:spacing w:after="60"/>
              <w:ind w:left="374" w:hanging="374"/>
              <w:jc w:val="both"/>
            </w:pPr>
            <w:r w:rsidRPr="00FA5477">
              <w:t>Búsqueda activa de casos a nivel comunitario, acercando los servicios a aquellas poblaciones que no acceden a los servicios de salud</w:t>
            </w:r>
            <w:r w:rsidR="00FE125E" w:rsidRPr="00FA5477">
              <w:t xml:space="preserve"> en búsqueda de diagnósticos tempranos en esta población y sus contactos con el propósito de mejorar los pilares de vinculación y retención</w:t>
            </w:r>
            <w:r w:rsidR="00DB722C" w:rsidRPr="00FA5477">
              <w:t xml:space="preserve"> en la cascada del continuo de la atención, los cuales son prioridad en esta subvención.</w:t>
            </w:r>
          </w:p>
          <w:p w14:paraId="249659C2" w14:textId="7A9BD381" w:rsidR="00E53A3B" w:rsidRPr="00FA5477" w:rsidRDefault="00E53A3B" w:rsidP="009252F2">
            <w:pPr>
              <w:pStyle w:val="TableParagraph"/>
              <w:spacing w:after="60"/>
              <w:ind w:left="374" w:hanging="374"/>
              <w:jc w:val="both"/>
            </w:pPr>
            <w:r w:rsidRPr="00FA5477">
              <w:t>El 47.25% de HSH se han sometido a una prueba de VIH y conocen su diagnóstico al final de esta subvención.</w:t>
            </w:r>
          </w:p>
          <w:p w14:paraId="7AF13382" w14:textId="59E7C701" w:rsidR="00E53A3B" w:rsidRPr="00FA5477" w:rsidRDefault="00E53A3B" w:rsidP="009252F2">
            <w:pPr>
              <w:pStyle w:val="TableParagraph"/>
              <w:spacing w:after="60"/>
              <w:ind w:left="374" w:hanging="374"/>
              <w:jc w:val="both"/>
            </w:pPr>
            <w:r w:rsidRPr="00FA5477">
              <w:t>El 74.28% de Personas Transgénero se han sometido a una prueba de VIH y conocen su diagnóstico al final de esta subvención.</w:t>
            </w:r>
          </w:p>
          <w:p w14:paraId="34EB8190" w14:textId="53C2DDA5" w:rsidR="00E53A3B" w:rsidRPr="00FA5477" w:rsidRDefault="00E53A3B" w:rsidP="009252F2">
            <w:pPr>
              <w:pStyle w:val="TableParagraph"/>
              <w:spacing w:after="60"/>
              <w:ind w:left="374" w:hanging="374"/>
              <w:jc w:val="both"/>
              <w:rPr>
                <w:rFonts w:ascii="Times New Roman"/>
              </w:rPr>
            </w:pPr>
            <w:r w:rsidRPr="00FA5477">
              <w:t xml:space="preserve">El 57.58% de Trabajadoras </w:t>
            </w:r>
            <w:r w:rsidR="00303AF8" w:rsidRPr="00FA5477">
              <w:t xml:space="preserve">del sexo </w:t>
            </w:r>
            <w:r w:rsidRPr="00FA5477">
              <w:t>se han sometido a una prueba de VIH y conocen su diagnóstico al final de esta subvención</w:t>
            </w:r>
            <w:r w:rsidR="009252F2" w:rsidRPr="00FA5477">
              <w:t xml:space="preserve"> (metas del marco de desempeño)</w:t>
            </w:r>
            <w:r w:rsidRPr="00FA5477">
              <w:t>.</w:t>
            </w:r>
          </w:p>
        </w:tc>
      </w:tr>
    </w:tbl>
    <w:p w14:paraId="08693469" w14:textId="795B3C56" w:rsidR="00504D4F" w:rsidRPr="00FA5477" w:rsidRDefault="00504D4F">
      <w:pPr>
        <w:rPr>
          <w:rFonts w:ascii="Arial" w:hAnsi="Arial"/>
          <w:sz w:val="20"/>
        </w:rPr>
      </w:pPr>
    </w:p>
    <w:p w14:paraId="3C26A089" w14:textId="77777777" w:rsidR="00504D4F" w:rsidRPr="00FA5477" w:rsidRDefault="00504D4F">
      <w:pPr>
        <w:rPr>
          <w:rFonts w:ascii="Arial" w:hAnsi="Arial"/>
          <w:sz w:val="20"/>
        </w:rPr>
      </w:pPr>
      <w:r w:rsidRPr="00FA5477">
        <w:rPr>
          <w:rFonts w:ascii="Arial" w:hAnsi="Arial"/>
          <w:sz w:val="20"/>
        </w:rPr>
        <w:br w:type="page"/>
      </w:r>
    </w:p>
    <w:tbl>
      <w:tblPr>
        <w:tblStyle w:val="TableNormal1"/>
        <w:tblW w:w="0" w:type="auto"/>
        <w:tblInd w:w="1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85" w:type="dxa"/>
          <w:right w:w="85" w:type="dxa"/>
        </w:tblCellMar>
        <w:tblLook w:val="01E0" w:firstRow="1" w:lastRow="1" w:firstColumn="1" w:lastColumn="1" w:noHBand="0" w:noVBand="0"/>
      </w:tblPr>
      <w:tblGrid>
        <w:gridCol w:w="3108"/>
        <w:gridCol w:w="12016"/>
      </w:tblGrid>
      <w:tr w:rsidR="00F96F95" w:rsidRPr="00FA5477" w14:paraId="1361E2AD" w14:textId="77777777" w:rsidTr="00360383">
        <w:trPr>
          <w:trHeight w:hRule="exact" w:val="510"/>
        </w:trPr>
        <w:tc>
          <w:tcPr>
            <w:tcW w:w="3108" w:type="dxa"/>
            <w:shd w:val="clear" w:color="auto" w:fill="auto"/>
          </w:tcPr>
          <w:p w14:paraId="5A0086A5" w14:textId="4D447279" w:rsidR="00F96F95" w:rsidRPr="00FA5477" w:rsidRDefault="00F96F95" w:rsidP="008B2B26">
            <w:pPr>
              <w:pStyle w:val="TableParagraph"/>
              <w:ind w:left="107"/>
              <w:rPr>
                <w:rFonts w:ascii="Arial" w:hAnsi="Arial"/>
                <w:b/>
                <w:sz w:val="24"/>
              </w:rPr>
            </w:pPr>
            <w:r w:rsidRPr="00FA5477">
              <w:rPr>
                <w:rFonts w:ascii="Arial" w:hAnsi="Arial"/>
                <w:b/>
                <w:sz w:val="24"/>
              </w:rPr>
              <w:t>Módulo</w:t>
            </w:r>
            <w:r w:rsidRPr="00FA5477">
              <w:rPr>
                <w:rFonts w:ascii="Arial" w:hAnsi="Arial"/>
                <w:b/>
                <w:spacing w:val="-2"/>
                <w:sz w:val="24"/>
              </w:rPr>
              <w:t xml:space="preserve"> </w:t>
            </w:r>
            <w:r w:rsidR="00922DB7" w:rsidRPr="00FA5477">
              <w:rPr>
                <w:rFonts w:ascii="Arial" w:hAnsi="Arial"/>
                <w:b/>
                <w:sz w:val="24"/>
              </w:rPr>
              <w:t>5</w:t>
            </w:r>
          </w:p>
        </w:tc>
        <w:tc>
          <w:tcPr>
            <w:tcW w:w="12016" w:type="dxa"/>
            <w:tcMar>
              <w:left w:w="85" w:type="dxa"/>
              <w:right w:w="85" w:type="dxa"/>
            </w:tcMar>
            <w:vAlign w:val="center"/>
          </w:tcPr>
          <w:p w14:paraId="613A447A" w14:textId="25E07620" w:rsidR="00F96F95" w:rsidRPr="00FA5477" w:rsidRDefault="00F96F95" w:rsidP="008B2B26">
            <w:pPr>
              <w:pStyle w:val="TableParagraph"/>
              <w:spacing w:before="120" w:after="120"/>
              <w:ind w:left="105"/>
              <w:rPr>
                <w:rFonts w:ascii="Arial" w:hAnsi="Arial"/>
                <w:b/>
                <w:bCs/>
                <w:sz w:val="24"/>
                <w:szCs w:val="24"/>
              </w:rPr>
            </w:pPr>
            <w:r w:rsidRPr="00FA5477">
              <w:rPr>
                <w:b/>
                <w:bCs/>
                <w:sz w:val="24"/>
                <w:szCs w:val="24"/>
              </w:rPr>
              <w:t>Gestión de programas</w:t>
            </w:r>
          </w:p>
        </w:tc>
      </w:tr>
      <w:tr w:rsidR="00F96F95" w:rsidRPr="00FA5477" w14:paraId="3CF9C443" w14:textId="77777777" w:rsidTr="00B87346">
        <w:trPr>
          <w:trHeight w:hRule="exact" w:val="464"/>
        </w:trPr>
        <w:tc>
          <w:tcPr>
            <w:tcW w:w="3108" w:type="dxa"/>
            <w:shd w:val="clear" w:color="auto" w:fill="F1F1F1"/>
          </w:tcPr>
          <w:p w14:paraId="2D41BEF8" w14:textId="77777777" w:rsidR="00F96F95" w:rsidRPr="00FA5477" w:rsidRDefault="00F96F95" w:rsidP="008B2B26">
            <w:pPr>
              <w:pStyle w:val="TableParagraph"/>
              <w:ind w:left="107"/>
              <w:rPr>
                <w:rFonts w:ascii="Arial" w:hAnsi="Arial"/>
                <w:b/>
                <w:sz w:val="24"/>
              </w:rPr>
            </w:pPr>
            <w:r w:rsidRPr="00FA5477">
              <w:rPr>
                <w:rFonts w:ascii="Arial" w:hAnsi="Arial"/>
                <w:b/>
                <w:sz w:val="24"/>
              </w:rPr>
              <w:t>Intervención(es)</w:t>
            </w:r>
          </w:p>
        </w:tc>
        <w:tc>
          <w:tcPr>
            <w:tcW w:w="12016" w:type="dxa"/>
            <w:shd w:val="clear" w:color="auto" w:fill="F1F1F1"/>
            <w:tcMar>
              <w:left w:w="85" w:type="dxa"/>
              <w:right w:w="85" w:type="dxa"/>
            </w:tcMar>
            <w:vAlign w:val="center"/>
          </w:tcPr>
          <w:p w14:paraId="4E480BCE" w14:textId="537CA8E1" w:rsidR="00F96F95" w:rsidRPr="00FA5477" w:rsidRDefault="00F96F95" w:rsidP="008B2B26">
            <w:pPr>
              <w:pStyle w:val="TableParagraph"/>
              <w:spacing w:before="120" w:after="120"/>
              <w:ind w:left="238"/>
              <w:rPr>
                <w:b/>
                <w:bCs/>
                <w:sz w:val="24"/>
                <w:szCs w:val="24"/>
              </w:rPr>
            </w:pPr>
            <w:r w:rsidRPr="00FA5477">
              <w:rPr>
                <w:b/>
                <w:bCs/>
                <w:sz w:val="24"/>
                <w:szCs w:val="24"/>
              </w:rPr>
              <w:t>Gestión de subvención</w:t>
            </w:r>
          </w:p>
        </w:tc>
      </w:tr>
      <w:tr w:rsidR="00F96F95" w:rsidRPr="00FA5477" w14:paraId="2D471B15" w14:textId="77777777" w:rsidTr="00AA220F">
        <w:trPr>
          <w:trHeight w:val="2844"/>
        </w:trPr>
        <w:tc>
          <w:tcPr>
            <w:tcW w:w="3108" w:type="dxa"/>
          </w:tcPr>
          <w:p w14:paraId="54EB23CB" w14:textId="77777777" w:rsidR="00F96F95" w:rsidRPr="00FA5477" w:rsidRDefault="00F96F95" w:rsidP="008B2B26">
            <w:pPr>
              <w:pStyle w:val="TableParagraph"/>
              <w:spacing w:line="264" w:lineRule="auto"/>
              <w:ind w:left="107" w:right="424"/>
              <w:rPr>
                <w:rFonts w:ascii="Arial" w:hAnsi="Arial"/>
                <w:b/>
                <w:sz w:val="24"/>
              </w:rPr>
            </w:pPr>
            <w:r w:rsidRPr="00FA5477">
              <w:rPr>
                <w:rFonts w:ascii="Arial" w:hAnsi="Arial"/>
                <w:b/>
                <w:sz w:val="24"/>
              </w:rPr>
              <w:t>Población, regiones</w:t>
            </w:r>
            <w:r w:rsidRPr="00FA5477">
              <w:rPr>
                <w:rFonts w:ascii="Arial" w:hAnsi="Arial"/>
                <w:b/>
                <w:spacing w:val="1"/>
                <w:sz w:val="24"/>
              </w:rPr>
              <w:t xml:space="preserve"> </w:t>
            </w:r>
            <w:r w:rsidRPr="00FA5477">
              <w:rPr>
                <w:rFonts w:ascii="Arial" w:hAnsi="Arial"/>
                <w:b/>
                <w:sz w:val="24"/>
              </w:rPr>
              <w:t>geográficas u</w:t>
            </w:r>
            <w:r w:rsidRPr="00FA5477">
              <w:rPr>
                <w:rFonts w:ascii="Arial" w:hAnsi="Arial"/>
                <w:b/>
                <w:spacing w:val="1"/>
                <w:sz w:val="24"/>
              </w:rPr>
              <w:t xml:space="preserve"> </w:t>
            </w:r>
            <w:r w:rsidRPr="00FA5477">
              <w:rPr>
                <w:rFonts w:ascii="Arial" w:hAnsi="Arial"/>
                <w:b/>
                <w:sz w:val="24"/>
              </w:rPr>
              <w:t>obstáculos</w:t>
            </w:r>
            <w:r w:rsidRPr="00FA5477">
              <w:rPr>
                <w:rFonts w:ascii="Arial" w:hAnsi="Arial"/>
                <w:b/>
                <w:spacing w:val="-14"/>
                <w:sz w:val="24"/>
              </w:rPr>
              <w:t xml:space="preserve"> </w:t>
            </w:r>
            <w:r w:rsidRPr="00FA5477">
              <w:rPr>
                <w:rFonts w:ascii="Arial" w:hAnsi="Arial"/>
                <w:b/>
                <w:sz w:val="24"/>
              </w:rPr>
              <w:t>abordados</w:t>
            </w:r>
          </w:p>
        </w:tc>
        <w:tc>
          <w:tcPr>
            <w:tcW w:w="12016" w:type="dxa"/>
            <w:shd w:val="clear" w:color="auto" w:fill="auto"/>
            <w:tcMar>
              <w:left w:w="85" w:type="dxa"/>
              <w:right w:w="85" w:type="dxa"/>
            </w:tcMar>
          </w:tcPr>
          <w:p w14:paraId="154D3A14" w14:textId="2B64DF56" w:rsidR="000E57FE" w:rsidRPr="00FA5477" w:rsidRDefault="000E57FE" w:rsidP="003E63EE">
            <w:pPr>
              <w:pStyle w:val="TableParagraph"/>
              <w:spacing w:after="60"/>
            </w:pPr>
            <w:r w:rsidRPr="00FA5477">
              <w:t xml:space="preserve">Con el fin de dar integralidad </w:t>
            </w:r>
            <w:r w:rsidR="00AA220F" w:rsidRPr="00FA5477">
              <w:t>a</w:t>
            </w:r>
            <w:r w:rsidRPr="00FA5477">
              <w:t xml:space="preserve"> los programas de respuesta a las necesidades de prevención, se gestiona acciones administrativas financieras relacionadas con:</w:t>
            </w:r>
          </w:p>
          <w:p w14:paraId="4EB9D380" w14:textId="77777777" w:rsidR="000E57FE" w:rsidRPr="00FA5477" w:rsidRDefault="000E57FE" w:rsidP="000E57FE">
            <w:pPr>
              <w:pStyle w:val="TableParagraph"/>
              <w:numPr>
                <w:ilvl w:val="0"/>
                <w:numId w:val="11"/>
              </w:numPr>
              <w:spacing w:after="60"/>
              <w:ind w:left="714" w:hanging="357"/>
              <w:jc w:val="both"/>
            </w:pPr>
            <w:r w:rsidRPr="00FA5477">
              <w:t>Recursos humanos para desarrollar actividades administrativas, financieras del RP.</w:t>
            </w:r>
          </w:p>
          <w:p w14:paraId="49F3C538" w14:textId="77777777" w:rsidR="000E57FE" w:rsidRPr="00FA5477" w:rsidRDefault="000E57FE" w:rsidP="000E57FE">
            <w:pPr>
              <w:pStyle w:val="TableParagraph"/>
              <w:numPr>
                <w:ilvl w:val="0"/>
                <w:numId w:val="11"/>
              </w:numPr>
              <w:spacing w:after="60"/>
              <w:ind w:left="714" w:hanging="357"/>
              <w:jc w:val="both"/>
            </w:pPr>
            <w:r w:rsidRPr="00FA5477">
              <w:t>Alquiler y suministros de oficina, limpieza, servicios básicos, de auditoría, ICR y costos compartidos del RP.</w:t>
            </w:r>
          </w:p>
          <w:p w14:paraId="27E1C884" w14:textId="77777777" w:rsidR="000E57FE" w:rsidRPr="00FA5477" w:rsidRDefault="000E57FE" w:rsidP="000E57FE">
            <w:pPr>
              <w:pStyle w:val="TableParagraph"/>
              <w:numPr>
                <w:ilvl w:val="0"/>
                <w:numId w:val="11"/>
              </w:numPr>
              <w:spacing w:after="60"/>
              <w:ind w:left="714" w:hanging="357"/>
              <w:jc w:val="both"/>
            </w:pPr>
            <w:r w:rsidRPr="00FA5477">
              <w:t>Talleres de arranque administrativo-financiero de la subvención entre RP y SR, reuniones de coordinación, monitoreo y de trabajo en equipo del RP y actores claves.</w:t>
            </w:r>
          </w:p>
          <w:p w14:paraId="1BD63B42" w14:textId="77777777" w:rsidR="000E57FE" w:rsidRPr="00FA5477" w:rsidRDefault="000E57FE" w:rsidP="00E11006">
            <w:pPr>
              <w:pStyle w:val="TableParagraph"/>
              <w:numPr>
                <w:ilvl w:val="0"/>
                <w:numId w:val="11"/>
              </w:numPr>
              <w:spacing w:after="60"/>
              <w:ind w:left="714" w:hanging="357"/>
              <w:jc w:val="both"/>
            </w:pPr>
            <w:r w:rsidRPr="00FA5477">
              <w:t xml:space="preserve">Auditoría financiera del proyecto para RP y SR </w:t>
            </w:r>
          </w:p>
          <w:p w14:paraId="590B9B06" w14:textId="04AC1B83" w:rsidR="006265B6" w:rsidRPr="00FA5477" w:rsidRDefault="000E57FE" w:rsidP="003E63EE">
            <w:pPr>
              <w:pStyle w:val="TableParagraph"/>
              <w:spacing w:after="120"/>
            </w:pPr>
            <w:r w:rsidRPr="00FA5477">
              <w:t>Estas acciones permiten tener el soporte administrativo financiero para que la operación en campo funcione y sea integral.</w:t>
            </w:r>
          </w:p>
        </w:tc>
      </w:tr>
      <w:tr w:rsidR="00F96F95" w:rsidRPr="00FA5477" w14:paraId="6C69DF57" w14:textId="77777777" w:rsidTr="008B2B26">
        <w:trPr>
          <w:trHeight w:val="340"/>
        </w:trPr>
        <w:tc>
          <w:tcPr>
            <w:tcW w:w="3108" w:type="dxa"/>
            <w:shd w:val="clear" w:color="auto" w:fill="F1F1F1"/>
          </w:tcPr>
          <w:p w14:paraId="1BE6CFAB" w14:textId="77777777" w:rsidR="00F96F95" w:rsidRPr="00FA5477" w:rsidRDefault="00F96F95" w:rsidP="008B2B26">
            <w:pPr>
              <w:pStyle w:val="TableParagraph"/>
              <w:ind w:left="107"/>
              <w:rPr>
                <w:rFonts w:ascii="Arial"/>
                <w:b/>
                <w:sz w:val="24"/>
              </w:rPr>
            </w:pPr>
            <w:r w:rsidRPr="00FA5477">
              <w:rPr>
                <w:rFonts w:ascii="Arial"/>
                <w:b/>
                <w:sz w:val="24"/>
              </w:rPr>
              <w:t>Monto</w:t>
            </w:r>
            <w:r w:rsidRPr="00FA5477">
              <w:rPr>
                <w:rFonts w:ascii="Arial"/>
                <w:b/>
                <w:spacing w:val="-1"/>
                <w:sz w:val="24"/>
              </w:rPr>
              <w:t xml:space="preserve"> </w:t>
            </w:r>
            <w:r w:rsidRPr="00FA5477">
              <w:rPr>
                <w:rFonts w:ascii="Arial"/>
                <w:b/>
                <w:sz w:val="24"/>
              </w:rPr>
              <w:t>solicitado</w:t>
            </w:r>
          </w:p>
        </w:tc>
        <w:tc>
          <w:tcPr>
            <w:tcW w:w="12016" w:type="dxa"/>
            <w:shd w:val="clear" w:color="auto" w:fill="F1F1F1"/>
            <w:tcMar>
              <w:left w:w="85" w:type="dxa"/>
              <w:right w:w="85" w:type="dxa"/>
            </w:tcMar>
          </w:tcPr>
          <w:p w14:paraId="00B9A133" w14:textId="5643FF8D" w:rsidR="00F96F95" w:rsidRPr="00FA5477" w:rsidRDefault="00A62ED6" w:rsidP="008B2B26">
            <w:pPr>
              <w:pStyle w:val="TableParagraph"/>
              <w:rPr>
                <w:rFonts w:ascii="Times New Roman"/>
                <w:b/>
                <w:bCs/>
                <w:sz w:val="24"/>
                <w:szCs w:val="24"/>
              </w:rPr>
            </w:pPr>
            <w:r w:rsidRPr="00FA5477">
              <w:rPr>
                <w:b/>
                <w:bCs/>
              </w:rPr>
              <w:t>USD 2,</w:t>
            </w:r>
            <w:r w:rsidR="00AA220F" w:rsidRPr="00FA5477">
              <w:rPr>
                <w:b/>
                <w:bCs/>
              </w:rPr>
              <w:t>715</w:t>
            </w:r>
            <w:r w:rsidRPr="00FA5477">
              <w:rPr>
                <w:b/>
                <w:bCs/>
              </w:rPr>
              <w:t>,</w:t>
            </w:r>
            <w:r w:rsidR="0077458D" w:rsidRPr="00FA5477">
              <w:rPr>
                <w:b/>
                <w:bCs/>
              </w:rPr>
              <w:t>69</w:t>
            </w:r>
            <w:r w:rsidR="000A1B74">
              <w:rPr>
                <w:b/>
                <w:bCs/>
              </w:rPr>
              <w:t>3</w:t>
            </w:r>
            <w:r w:rsidRPr="00FA5477">
              <w:rPr>
                <w:b/>
                <w:bCs/>
              </w:rPr>
              <w:t>.</w:t>
            </w:r>
            <w:r w:rsidR="000A1B74">
              <w:rPr>
                <w:b/>
                <w:bCs/>
              </w:rPr>
              <w:t>0</w:t>
            </w:r>
            <w:r w:rsidR="0077458D" w:rsidRPr="00FA5477">
              <w:rPr>
                <w:b/>
                <w:bCs/>
              </w:rPr>
              <w:t>0</w:t>
            </w:r>
          </w:p>
        </w:tc>
      </w:tr>
      <w:tr w:rsidR="00F96F95" w:rsidRPr="00FA5477" w14:paraId="7E79333E" w14:textId="77777777" w:rsidTr="008B2B26">
        <w:trPr>
          <w:trHeight w:val="450"/>
        </w:trPr>
        <w:tc>
          <w:tcPr>
            <w:tcW w:w="3108" w:type="dxa"/>
          </w:tcPr>
          <w:p w14:paraId="34AA0731" w14:textId="77777777" w:rsidR="00F96F95" w:rsidRPr="00FA5477" w:rsidRDefault="00F96F95" w:rsidP="008B2B26">
            <w:pPr>
              <w:pStyle w:val="TableParagraph"/>
              <w:ind w:left="107"/>
              <w:rPr>
                <w:rFonts w:ascii="Arial"/>
                <w:b/>
                <w:sz w:val="24"/>
              </w:rPr>
            </w:pPr>
            <w:r w:rsidRPr="00FA5477">
              <w:rPr>
                <w:rFonts w:ascii="Arial"/>
                <w:b/>
                <w:sz w:val="24"/>
              </w:rPr>
              <w:t>Resultado</w:t>
            </w:r>
            <w:r w:rsidRPr="00FA5477">
              <w:rPr>
                <w:rFonts w:ascii="Arial"/>
                <w:b/>
                <w:spacing w:val="-1"/>
                <w:sz w:val="24"/>
              </w:rPr>
              <w:t xml:space="preserve"> </w:t>
            </w:r>
            <w:r w:rsidRPr="00FA5477">
              <w:rPr>
                <w:rFonts w:ascii="Arial"/>
                <w:b/>
                <w:sz w:val="24"/>
              </w:rPr>
              <w:t>previsto</w:t>
            </w:r>
          </w:p>
        </w:tc>
        <w:tc>
          <w:tcPr>
            <w:tcW w:w="12016" w:type="dxa"/>
            <w:shd w:val="clear" w:color="auto" w:fill="auto"/>
            <w:tcMar>
              <w:left w:w="85" w:type="dxa"/>
              <w:right w:w="85" w:type="dxa"/>
            </w:tcMar>
          </w:tcPr>
          <w:p w14:paraId="591E6799" w14:textId="40E54AB1" w:rsidR="00F96F95" w:rsidRPr="00FA5477" w:rsidRDefault="00F96F95" w:rsidP="008B2B26">
            <w:pPr>
              <w:pStyle w:val="TableParagraph"/>
              <w:spacing w:after="60"/>
              <w:ind w:left="374" w:hanging="374"/>
              <w:rPr>
                <w:rFonts w:ascii="Times New Roman"/>
              </w:rPr>
            </w:pPr>
            <w:r w:rsidRPr="00FA5477">
              <w:t>Asegurar de manera adecuada que la gestión administrativa y financiera sea eficiente y oportuna.</w:t>
            </w:r>
          </w:p>
        </w:tc>
      </w:tr>
    </w:tbl>
    <w:p w14:paraId="0E7ADBB1" w14:textId="77777777" w:rsidR="00982E05" w:rsidRPr="00FA5477" w:rsidRDefault="00982E05">
      <w:pPr>
        <w:rPr>
          <w:rFonts w:ascii="Arial" w:hAnsi="Arial"/>
          <w:sz w:val="20"/>
        </w:rPr>
      </w:pPr>
      <w:r w:rsidRPr="00FA5477">
        <w:rPr>
          <w:rFonts w:ascii="Arial" w:hAnsi="Arial"/>
          <w:sz w:val="20"/>
        </w:rPr>
        <w:br w:type="page"/>
      </w:r>
    </w:p>
    <w:tbl>
      <w:tblPr>
        <w:tblStyle w:val="TableNormal1"/>
        <w:tblW w:w="0" w:type="auto"/>
        <w:tblInd w:w="1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85" w:type="dxa"/>
          <w:right w:w="85" w:type="dxa"/>
        </w:tblCellMar>
        <w:tblLook w:val="01E0" w:firstRow="1" w:lastRow="1" w:firstColumn="1" w:lastColumn="1" w:noHBand="0" w:noVBand="0"/>
      </w:tblPr>
      <w:tblGrid>
        <w:gridCol w:w="3108"/>
        <w:gridCol w:w="12016"/>
      </w:tblGrid>
      <w:tr w:rsidR="00FB1D53" w:rsidRPr="00FA5477" w14:paraId="76265408" w14:textId="77777777" w:rsidTr="00360383">
        <w:trPr>
          <w:trHeight w:hRule="exact" w:val="510"/>
        </w:trPr>
        <w:tc>
          <w:tcPr>
            <w:tcW w:w="3108" w:type="dxa"/>
            <w:shd w:val="clear" w:color="auto" w:fill="auto"/>
          </w:tcPr>
          <w:p w14:paraId="195C7AF2" w14:textId="54041740" w:rsidR="00FB1D53" w:rsidRPr="00FA5477" w:rsidRDefault="00FB1D53" w:rsidP="008B2B26">
            <w:pPr>
              <w:pStyle w:val="TableParagraph"/>
              <w:ind w:left="107"/>
              <w:rPr>
                <w:rFonts w:ascii="Arial" w:hAnsi="Arial"/>
                <w:b/>
                <w:sz w:val="24"/>
              </w:rPr>
            </w:pPr>
            <w:r w:rsidRPr="00FA5477">
              <w:rPr>
                <w:rFonts w:ascii="Arial" w:hAnsi="Arial"/>
                <w:b/>
                <w:sz w:val="24"/>
              </w:rPr>
              <w:t>Módulo</w:t>
            </w:r>
            <w:r w:rsidRPr="00FA5477">
              <w:rPr>
                <w:rFonts w:ascii="Arial" w:hAnsi="Arial"/>
                <w:b/>
                <w:spacing w:val="-2"/>
                <w:sz w:val="24"/>
              </w:rPr>
              <w:t xml:space="preserve"> </w:t>
            </w:r>
            <w:r w:rsidR="000E57FE" w:rsidRPr="00FA5477">
              <w:rPr>
                <w:rFonts w:ascii="Arial" w:hAnsi="Arial"/>
                <w:b/>
                <w:sz w:val="24"/>
              </w:rPr>
              <w:t>6</w:t>
            </w:r>
          </w:p>
        </w:tc>
        <w:tc>
          <w:tcPr>
            <w:tcW w:w="12016" w:type="dxa"/>
            <w:tcMar>
              <w:left w:w="85" w:type="dxa"/>
              <w:right w:w="85" w:type="dxa"/>
            </w:tcMar>
            <w:vAlign w:val="center"/>
          </w:tcPr>
          <w:p w14:paraId="0BE548CB" w14:textId="02DB5F56" w:rsidR="00FB1D53" w:rsidRPr="00FA5477" w:rsidRDefault="00FB1D53" w:rsidP="008B2B26">
            <w:pPr>
              <w:pStyle w:val="TableParagraph"/>
              <w:spacing w:before="120" w:after="120"/>
              <w:ind w:left="105"/>
              <w:rPr>
                <w:rFonts w:ascii="Arial" w:hAnsi="Arial"/>
                <w:b/>
                <w:bCs/>
                <w:sz w:val="24"/>
                <w:szCs w:val="24"/>
              </w:rPr>
            </w:pPr>
            <w:r w:rsidRPr="00FA5477">
              <w:rPr>
                <w:b/>
                <w:bCs/>
                <w:sz w:val="24"/>
                <w:szCs w:val="24"/>
              </w:rPr>
              <w:t>SSRS: Sistemas de monitoreo y evaluación</w:t>
            </w:r>
          </w:p>
        </w:tc>
      </w:tr>
      <w:tr w:rsidR="00FB1D53" w:rsidRPr="00FA5477" w14:paraId="20889A42" w14:textId="77777777" w:rsidTr="00FB058B">
        <w:trPr>
          <w:trHeight w:hRule="exact" w:val="915"/>
        </w:trPr>
        <w:tc>
          <w:tcPr>
            <w:tcW w:w="3108" w:type="dxa"/>
            <w:shd w:val="clear" w:color="auto" w:fill="F1F1F1"/>
          </w:tcPr>
          <w:p w14:paraId="3772B144" w14:textId="77777777" w:rsidR="00FB1D53" w:rsidRPr="00FA5477" w:rsidRDefault="00FB1D53" w:rsidP="008B2B26">
            <w:pPr>
              <w:pStyle w:val="TableParagraph"/>
              <w:ind w:left="107"/>
              <w:rPr>
                <w:rFonts w:ascii="Arial" w:hAnsi="Arial"/>
                <w:b/>
                <w:sz w:val="24"/>
              </w:rPr>
            </w:pPr>
            <w:r w:rsidRPr="00FA5477">
              <w:rPr>
                <w:rFonts w:ascii="Arial" w:hAnsi="Arial"/>
                <w:b/>
                <w:sz w:val="24"/>
              </w:rPr>
              <w:t>Intervención(es)</w:t>
            </w:r>
          </w:p>
        </w:tc>
        <w:tc>
          <w:tcPr>
            <w:tcW w:w="12016" w:type="dxa"/>
            <w:shd w:val="clear" w:color="auto" w:fill="F1F1F1"/>
            <w:tcMar>
              <w:left w:w="85" w:type="dxa"/>
              <w:right w:w="85" w:type="dxa"/>
            </w:tcMar>
            <w:vAlign w:val="center"/>
          </w:tcPr>
          <w:p w14:paraId="752FF1BA" w14:textId="77777777" w:rsidR="00FB058B" w:rsidRPr="00FA5477" w:rsidRDefault="00FB1D53" w:rsidP="008B2B26">
            <w:pPr>
              <w:pStyle w:val="TableParagraph"/>
              <w:spacing w:before="120" w:after="120"/>
              <w:ind w:left="238"/>
              <w:rPr>
                <w:b/>
                <w:bCs/>
                <w:sz w:val="24"/>
                <w:szCs w:val="24"/>
              </w:rPr>
            </w:pPr>
            <w:r w:rsidRPr="00FA5477">
              <w:rPr>
                <w:b/>
                <w:bCs/>
                <w:sz w:val="24"/>
                <w:szCs w:val="24"/>
              </w:rPr>
              <w:t>Análisis, evaluaciones, revisiones y uso de datos</w:t>
            </w:r>
            <w:r w:rsidR="00FB058B" w:rsidRPr="00FA5477">
              <w:rPr>
                <w:b/>
                <w:bCs/>
                <w:sz w:val="24"/>
                <w:szCs w:val="24"/>
              </w:rPr>
              <w:t xml:space="preserve"> </w:t>
            </w:r>
          </w:p>
          <w:p w14:paraId="46074902" w14:textId="413829A6" w:rsidR="00FB058B" w:rsidRPr="00FA5477" w:rsidRDefault="00FB058B" w:rsidP="00AE06A5">
            <w:pPr>
              <w:pStyle w:val="TableParagraph"/>
              <w:spacing w:before="120" w:after="120"/>
              <w:ind w:left="238"/>
              <w:rPr>
                <w:b/>
                <w:bCs/>
                <w:sz w:val="24"/>
                <w:szCs w:val="24"/>
              </w:rPr>
            </w:pPr>
            <w:r w:rsidRPr="00FA5477">
              <w:rPr>
                <w:b/>
                <w:bCs/>
                <w:sz w:val="24"/>
                <w:szCs w:val="24"/>
              </w:rPr>
              <w:t>Calidad de los datos</w:t>
            </w:r>
          </w:p>
        </w:tc>
      </w:tr>
      <w:tr w:rsidR="00FB1D53" w:rsidRPr="00FA5477" w14:paraId="1F5CF48A" w14:textId="77777777" w:rsidTr="008B2B26">
        <w:trPr>
          <w:trHeight w:val="1101"/>
        </w:trPr>
        <w:tc>
          <w:tcPr>
            <w:tcW w:w="3108" w:type="dxa"/>
          </w:tcPr>
          <w:p w14:paraId="3392A939" w14:textId="77777777" w:rsidR="00FB1D53" w:rsidRPr="00FA5477" w:rsidRDefault="00FB1D53" w:rsidP="008B2B26">
            <w:pPr>
              <w:pStyle w:val="TableParagraph"/>
              <w:spacing w:line="264" w:lineRule="auto"/>
              <w:ind w:left="107" w:right="424"/>
              <w:rPr>
                <w:rFonts w:ascii="Arial" w:hAnsi="Arial"/>
                <w:b/>
                <w:sz w:val="24"/>
              </w:rPr>
            </w:pPr>
            <w:r w:rsidRPr="00FA5477">
              <w:rPr>
                <w:rFonts w:ascii="Arial" w:hAnsi="Arial"/>
                <w:b/>
                <w:sz w:val="24"/>
              </w:rPr>
              <w:t>Población, regiones</w:t>
            </w:r>
            <w:r w:rsidRPr="00FA5477">
              <w:rPr>
                <w:rFonts w:ascii="Arial" w:hAnsi="Arial"/>
                <w:b/>
                <w:spacing w:val="1"/>
                <w:sz w:val="24"/>
              </w:rPr>
              <w:t xml:space="preserve"> </w:t>
            </w:r>
            <w:r w:rsidRPr="00FA5477">
              <w:rPr>
                <w:rFonts w:ascii="Arial" w:hAnsi="Arial"/>
                <w:b/>
                <w:sz w:val="24"/>
              </w:rPr>
              <w:t>geográficas u</w:t>
            </w:r>
            <w:r w:rsidRPr="00FA5477">
              <w:rPr>
                <w:rFonts w:ascii="Arial" w:hAnsi="Arial"/>
                <w:b/>
                <w:spacing w:val="1"/>
                <w:sz w:val="24"/>
              </w:rPr>
              <w:t xml:space="preserve"> </w:t>
            </w:r>
            <w:r w:rsidRPr="00FA5477">
              <w:rPr>
                <w:rFonts w:ascii="Arial" w:hAnsi="Arial"/>
                <w:b/>
                <w:sz w:val="24"/>
              </w:rPr>
              <w:t>obstáculos</w:t>
            </w:r>
            <w:r w:rsidRPr="00FA5477">
              <w:rPr>
                <w:rFonts w:ascii="Arial" w:hAnsi="Arial"/>
                <w:b/>
                <w:spacing w:val="-14"/>
                <w:sz w:val="24"/>
              </w:rPr>
              <w:t xml:space="preserve"> </w:t>
            </w:r>
            <w:r w:rsidRPr="00FA5477">
              <w:rPr>
                <w:rFonts w:ascii="Arial" w:hAnsi="Arial"/>
                <w:b/>
                <w:sz w:val="24"/>
              </w:rPr>
              <w:t>abordados</w:t>
            </w:r>
          </w:p>
        </w:tc>
        <w:tc>
          <w:tcPr>
            <w:tcW w:w="12016" w:type="dxa"/>
            <w:shd w:val="clear" w:color="auto" w:fill="auto"/>
            <w:tcMar>
              <w:left w:w="85" w:type="dxa"/>
              <w:right w:w="85" w:type="dxa"/>
            </w:tcMar>
          </w:tcPr>
          <w:p w14:paraId="377F7506" w14:textId="6220020B" w:rsidR="000E57FE" w:rsidRPr="00FA5477" w:rsidRDefault="000E57FE" w:rsidP="00E11006">
            <w:pPr>
              <w:spacing w:after="60"/>
              <w:ind w:left="230" w:hanging="230"/>
            </w:pPr>
            <w:r w:rsidRPr="00FA5477">
              <w:t xml:space="preserve">Población: Intervenciones de hombres que tienen sexo con otros hombres, mujeres trabajadoras </w:t>
            </w:r>
            <w:r w:rsidR="00303AF8" w:rsidRPr="00FA5477">
              <w:t xml:space="preserve">del sexo </w:t>
            </w:r>
            <w:r w:rsidRPr="00FA5477">
              <w:t>y personas trans</w:t>
            </w:r>
            <w:r w:rsidR="00732655" w:rsidRPr="00FA5477">
              <w:t>género</w:t>
            </w:r>
            <w:r w:rsidRPr="00FA5477">
              <w:t>.</w:t>
            </w:r>
          </w:p>
          <w:p w14:paraId="2FB93362" w14:textId="77777777" w:rsidR="000E57FE" w:rsidRPr="00FA5477" w:rsidRDefault="000E57FE" w:rsidP="00E11006">
            <w:pPr>
              <w:pStyle w:val="TableParagraph"/>
              <w:spacing w:after="60"/>
              <w:jc w:val="both"/>
            </w:pPr>
            <w:r w:rsidRPr="00FA5477">
              <w:t>Para responder a la necesidad del país para realizar una adecuada sistematización de datos que permitan un análisis cualitativo y cuantitativo de la información generada en todas las intervenciones del proyecto y que estas intervenciones nos permitan abonar a los indicadores nacionales respectivos se proponen acciones de análisis, revisiones y uso de datos, relacionados con las siguientes actividades o acciones:</w:t>
            </w:r>
          </w:p>
          <w:p w14:paraId="6EF50606" w14:textId="76AF6AF9" w:rsidR="000E57FE" w:rsidRPr="00FA5477" w:rsidRDefault="000E57FE" w:rsidP="00E11006">
            <w:pPr>
              <w:pStyle w:val="TableParagraph"/>
              <w:numPr>
                <w:ilvl w:val="0"/>
                <w:numId w:val="11"/>
              </w:numPr>
              <w:spacing w:after="60"/>
              <w:jc w:val="both"/>
            </w:pPr>
            <w:r w:rsidRPr="00FA5477">
              <w:t>Elaboración, validación y uso de formularios de captura de datos</w:t>
            </w:r>
            <w:r w:rsidR="00C50268" w:rsidRPr="00FA5477">
              <w:t>,</w:t>
            </w:r>
            <w:r w:rsidRPr="00FA5477">
              <w:t xml:space="preserve"> talleres de participación comunitaria, vínculo y participación con organizaciones socias de personas de las poblaciones clave</w:t>
            </w:r>
            <w:r w:rsidR="00C50268" w:rsidRPr="00FA5477">
              <w:t xml:space="preserve"> para el </w:t>
            </w:r>
            <w:r w:rsidR="00506218" w:rsidRPr="00FA5477">
              <w:t xml:space="preserve">conocimiento de estas herramientas que faciliten la forma correcta del registro y así poder obtener datos de calidad, de igual manera estos talleres van orientados a desarrollar capacidades para el </w:t>
            </w:r>
            <w:r w:rsidR="00C50268" w:rsidRPr="00FA5477">
              <w:t>análisis de la información.</w:t>
            </w:r>
          </w:p>
          <w:p w14:paraId="48F502B3" w14:textId="77777777" w:rsidR="000E57FE" w:rsidRPr="00FA5477" w:rsidRDefault="000E57FE" w:rsidP="00E11006">
            <w:pPr>
              <w:pStyle w:val="TableParagraph"/>
              <w:numPr>
                <w:ilvl w:val="0"/>
                <w:numId w:val="11"/>
              </w:numPr>
              <w:spacing w:after="60"/>
              <w:jc w:val="both"/>
              <w:rPr>
                <w:rFonts w:ascii="Times New Roman"/>
              </w:rPr>
            </w:pPr>
            <w:r w:rsidRPr="00FA5477">
              <w:t>Talleres y reuniones de trabajo entre ambos RP y entre RP y SR para validar la calidad de dato y hacer análisis de los mismos equipos para registro de información digital digitador en SUMEVE.</w:t>
            </w:r>
          </w:p>
          <w:p w14:paraId="39FA4D5A" w14:textId="77777777" w:rsidR="00C02D08" w:rsidRPr="00FA5477" w:rsidRDefault="000E57FE" w:rsidP="00C02D08">
            <w:pPr>
              <w:pStyle w:val="TableParagraph"/>
              <w:numPr>
                <w:ilvl w:val="0"/>
                <w:numId w:val="11"/>
              </w:numPr>
              <w:spacing w:after="60"/>
              <w:jc w:val="both"/>
              <w:rPr>
                <w:rFonts w:ascii="Times New Roman"/>
              </w:rPr>
            </w:pPr>
            <w:r w:rsidRPr="00FA5477">
              <w:t>A</w:t>
            </w:r>
            <w:r w:rsidR="00E11006" w:rsidRPr="00FA5477">
              <w:t>mbos</w:t>
            </w:r>
            <w:r w:rsidRPr="00FA5477">
              <w:t xml:space="preserve"> RP comparten el SUMEVE como sistema de registro y análisis de los datos.</w:t>
            </w:r>
            <w:r w:rsidR="00C02D08" w:rsidRPr="00FA5477">
              <w:t xml:space="preserve"> </w:t>
            </w:r>
          </w:p>
          <w:p w14:paraId="0CEA9B85" w14:textId="497CC8EB" w:rsidR="00724357" w:rsidRPr="00FA5477" w:rsidRDefault="00C02D08" w:rsidP="00C02D08">
            <w:pPr>
              <w:pStyle w:val="TableParagraph"/>
              <w:numPr>
                <w:ilvl w:val="0"/>
                <w:numId w:val="11"/>
              </w:numPr>
              <w:spacing w:after="60"/>
              <w:jc w:val="both"/>
              <w:rPr>
                <w:rFonts w:ascii="Times New Roman"/>
              </w:rPr>
            </w:pPr>
            <w:r w:rsidRPr="00FA5477">
              <w:t>De forma periódica se recibe asistencia técnica por parte de OPS, CDC y otros cooperantes para garantizar la calidad de los datos recolectados en el SUMEVE de forma rutinaria. Adicionalmente se realizan revisiones del desempeño del sector salud a la respuesta nacional al VIH, lo que permite una retroalimentación positiva para superar las brechas encontradas y tomar decisiones oportunas, la última de estas revisiones se realizó en noviembre de 2023, y las recomendaciones de dicha revisión se están tomando en cuenta en la presente propuesta y en las actividades rutinarias de VIH.</w:t>
            </w:r>
          </w:p>
        </w:tc>
      </w:tr>
      <w:tr w:rsidR="00FB1D53" w:rsidRPr="00FA5477" w14:paraId="2F5531B4" w14:textId="77777777" w:rsidTr="008B2B26">
        <w:trPr>
          <w:trHeight w:val="340"/>
        </w:trPr>
        <w:tc>
          <w:tcPr>
            <w:tcW w:w="3108" w:type="dxa"/>
            <w:shd w:val="clear" w:color="auto" w:fill="F1F1F1"/>
          </w:tcPr>
          <w:p w14:paraId="4C1E26F4" w14:textId="77777777" w:rsidR="00FB1D53" w:rsidRPr="00FA5477" w:rsidRDefault="00FB1D53" w:rsidP="008B2B26">
            <w:pPr>
              <w:pStyle w:val="TableParagraph"/>
              <w:ind w:left="107"/>
              <w:rPr>
                <w:rFonts w:ascii="Arial"/>
                <w:b/>
                <w:sz w:val="24"/>
              </w:rPr>
            </w:pPr>
            <w:r w:rsidRPr="00FA5477">
              <w:rPr>
                <w:rFonts w:ascii="Arial"/>
                <w:b/>
                <w:sz w:val="24"/>
              </w:rPr>
              <w:t>Monto</w:t>
            </w:r>
            <w:r w:rsidRPr="00FA5477">
              <w:rPr>
                <w:rFonts w:ascii="Arial"/>
                <w:b/>
                <w:spacing w:val="-1"/>
                <w:sz w:val="24"/>
              </w:rPr>
              <w:t xml:space="preserve"> </w:t>
            </w:r>
            <w:r w:rsidRPr="00FA5477">
              <w:rPr>
                <w:rFonts w:ascii="Arial"/>
                <w:b/>
                <w:sz w:val="24"/>
              </w:rPr>
              <w:t>solicitado</w:t>
            </w:r>
          </w:p>
        </w:tc>
        <w:tc>
          <w:tcPr>
            <w:tcW w:w="12016" w:type="dxa"/>
            <w:shd w:val="clear" w:color="auto" w:fill="F1F1F1"/>
            <w:tcMar>
              <w:left w:w="85" w:type="dxa"/>
              <w:right w:w="85" w:type="dxa"/>
            </w:tcMar>
          </w:tcPr>
          <w:p w14:paraId="3BC929CB" w14:textId="34605A2E" w:rsidR="00FB1D53" w:rsidRPr="00FA5477" w:rsidRDefault="00A62ED6" w:rsidP="008B2B26">
            <w:pPr>
              <w:pStyle w:val="TableParagraph"/>
              <w:rPr>
                <w:rFonts w:ascii="Times New Roman"/>
                <w:sz w:val="24"/>
                <w:szCs w:val="24"/>
              </w:rPr>
            </w:pPr>
            <w:r w:rsidRPr="00FA5477">
              <w:rPr>
                <w:b/>
                <w:bCs/>
              </w:rPr>
              <w:t xml:space="preserve">USD </w:t>
            </w:r>
            <w:r w:rsidR="00582FBB" w:rsidRPr="00FA5477">
              <w:rPr>
                <w:b/>
                <w:bCs/>
              </w:rPr>
              <w:t>612</w:t>
            </w:r>
            <w:r w:rsidR="000E57FE" w:rsidRPr="00FA5477">
              <w:rPr>
                <w:b/>
                <w:bCs/>
              </w:rPr>
              <w:t>,</w:t>
            </w:r>
            <w:r w:rsidR="00582FBB" w:rsidRPr="00FA5477">
              <w:rPr>
                <w:b/>
                <w:bCs/>
              </w:rPr>
              <w:t>535</w:t>
            </w:r>
            <w:r w:rsidR="000E57FE" w:rsidRPr="00FA5477">
              <w:rPr>
                <w:b/>
                <w:bCs/>
              </w:rPr>
              <w:t>.</w:t>
            </w:r>
            <w:r w:rsidR="000A1B74">
              <w:rPr>
                <w:b/>
                <w:bCs/>
              </w:rPr>
              <w:t>0</w:t>
            </w:r>
            <w:r w:rsidR="00582FBB" w:rsidRPr="00FA5477">
              <w:rPr>
                <w:b/>
                <w:bCs/>
              </w:rPr>
              <w:t>0</w:t>
            </w:r>
          </w:p>
        </w:tc>
      </w:tr>
      <w:tr w:rsidR="00FB1D53" w:rsidRPr="00FA5477" w14:paraId="271003CB" w14:textId="77777777" w:rsidTr="008B2B26">
        <w:trPr>
          <w:trHeight w:val="450"/>
        </w:trPr>
        <w:tc>
          <w:tcPr>
            <w:tcW w:w="3108" w:type="dxa"/>
          </w:tcPr>
          <w:p w14:paraId="7260A1E0" w14:textId="77777777" w:rsidR="00FB1D53" w:rsidRPr="00FA5477" w:rsidRDefault="00FB1D53" w:rsidP="008B2B26">
            <w:pPr>
              <w:pStyle w:val="TableParagraph"/>
              <w:ind w:left="107"/>
              <w:rPr>
                <w:rFonts w:ascii="Arial"/>
                <w:b/>
                <w:sz w:val="24"/>
              </w:rPr>
            </w:pPr>
            <w:r w:rsidRPr="00FA5477">
              <w:rPr>
                <w:rFonts w:ascii="Arial"/>
                <w:b/>
                <w:sz w:val="24"/>
              </w:rPr>
              <w:t>Resultado</w:t>
            </w:r>
            <w:r w:rsidRPr="00FA5477">
              <w:rPr>
                <w:rFonts w:ascii="Arial"/>
                <w:b/>
                <w:spacing w:val="-1"/>
                <w:sz w:val="24"/>
              </w:rPr>
              <w:t xml:space="preserve"> </w:t>
            </w:r>
            <w:r w:rsidRPr="00FA5477">
              <w:rPr>
                <w:rFonts w:ascii="Arial"/>
                <w:b/>
                <w:sz w:val="24"/>
              </w:rPr>
              <w:t>previsto</w:t>
            </w:r>
          </w:p>
        </w:tc>
        <w:tc>
          <w:tcPr>
            <w:tcW w:w="12016" w:type="dxa"/>
            <w:shd w:val="clear" w:color="auto" w:fill="auto"/>
            <w:tcMar>
              <w:left w:w="85" w:type="dxa"/>
              <w:right w:w="85" w:type="dxa"/>
            </w:tcMar>
          </w:tcPr>
          <w:p w14:paraId="002F0644" w14:textId="0C10F4F9" w:rsidR="00FB1D53" w:rsidRPr="00FA5477" w:rsidRDefault="000E57FE" w:rsidP="008B2B26">
            <w:pPr>
              <w:pStyle w:val="TableParagraph"/>
              <w:spacing w:after="60"/>
              <w:ind w:left="374" w:hanging="374"/>
              <w:rPr>
                <w:rFonts w:ascii="Times New Roman"/>
              </w:rPr>
            </w:pPr>
            <w:r w:rsidRPr="00FA5477">
              <w:t>Asegurar el análisis y uso oportuno de los datos para la toma de decisiones.</w:t>
            </w:r>
          </w:p>
        </w:tc>
      </w:tr>
    </w:tbl>
    <w:p w14:paraId="5DDA73DA" w14:textId="77777777" w:rsidR="00FB1D53" w:rsidRPr="00FA5477" w:rsidRDefault="00FB1D53">
      <w:pPr>
        <w:rPr>
          <w:rFonts w:ascii="Arial" w:hAnsi="Arial"/>
          <w:sz w:val="20"/>
        </w:rPr>
      </w:pPr>
    </w:p>
    <w:p w14:paraId="05AEAE2C" w14:textId="77777777" w:rsidR="00FB1D53" w:rsidRPr="00FA5477" w:rsidRDefault="00FB1D53">
      <w:pPr>
        <w:rPr>
          <w:rFonts w:ascii="Arial" w:hAnsi="Arial"/>
          <w:sz w:val="20"/>
        </w:rPr>
      </w:pPr>
    </w:p>
    <w:p w14:paraId="47DF1035" w14:textId="77777777" w:rsidR="00FB1D53" w:rsidRPr="00FA5477" w:rsidRDefault="00FB1D53">
      <w:pPr>
        <w:rPr>
          <w:rFonts w:ascii="Arial" w:hAnsi="Arial"/>
          <w:sz w:val="20"/>
        </w:rPr>
        <w:sectPr w:rsidR="00FB1D53" w:rsidRPr="00FA5477" w:rsidSect="003632F2">
          <w:footerReference w:type="default" r:id="rId13"/>
          <w:pgSz w:w="16840" w:h="11910" w:orient="landscape"/>
          <w:pgMar w:top="1100" w:right="740" w:bottom="880" w:left="740" w:header="0" w:footer="1121" w:gutter="0"/>
          <w:cols w:space="720"/>
        </w:sectPr>
      </w:pPr>
    </w:p>
    <w:p w14:paraId="537D915A" w14:textId="23A84A04" w:rsidR="000F3D1A" w:rsidRPr="00FA5477" w:rsidRDefault="008B2B26">
      <w:pPr>
        <w:pStyle w:val="Prrafodelista"/>
        <w:numPr>
          <w:ilvl w:val="2"/>
          <w:numId w:val="3"/>
        </w:numPr>
        <w:tabs>
          <w:tab w:val="left" w:pos="832"/>
        </w:tabs>
        <w:spacing w:before="66" w:line="264" w:lineRule="auto"/>
        <w:ind w:left="831" w:right="358"/>
        <w:rPr>
          <w:sz w:val="24"/>
        </w:rPr>
      </w:pPr>
      <w:r w:rsidRPr="00FA5477">
        <w:rPr>
          <w:sz w:val="24"/>
        </w:rPr>
        <w:t>Si utiliza una modalidad de pago por resultados para recibir financiamiento del Fondo Mundial, facilite información sobre los</w:t>
      </w:r>
      <w:r w:rsidRPr="00FA5477">
        <w:rPr>
          <w:spacing w:val="1"/>
          <w:sz w:val="24"/>
        </w:rPr>
        <w:t xml:space="preserve"> </w:t>
      </w:r>
      <w:r w:rsidRPr="00FA5477">
        <w:rPr>
          <w:sz w:val="24"/>
        </w:rPr>
        <w:t>indicadores de desempeño o hitos, metas y montos que se proponen. Especifique cómo se va a garantizar la exactitud y fiabilidad</w:t>
      </w:r>
      <w:r w:rsidR="00C17209" w:rsidRPr="00FA5477">
        <w:rPr>
          <w:sz w:val="24"/>
        </w:rPr>
        <w:t xml:space="preserve"> de los</w:t>
      </w:r>
      <w:r w:rsidRPr="00FA5477">
        <w:rPr>
          <w:sz w:val="24"/>
        </w:rPr>
        <w:t xml:space="preserve"> resultados</w:t>
      </w:r>
      <w:r w:rsidRPr="00FA5477">
        <w:rPr>
          <w:spacing w:val="-2"/>
          <w:sz w:val="24"/>
        </w:rPr>
        <w:t xml:space="preserve"> </w:t>
      </w:r>
      <w:r w:rsidRPr="00FA5477">
        <w:rPr>
          <w:sz w:val="24"/>
        </w:rPr>
        <w:t>que</w:t>
      </w:r>
      <w:r w:rsidRPr="00FA5477">
        <w:rPr>
          <w:spacing w:val="-2"/>
          <w:sz w:val="24"/>
        </w:rPr>
        <w:t xml:space="preserve"> </w:t>
      </w:r>
      <w:r w:rsidRPr="00FA5477">
        <w:rPr>
          <w:sz w:val="24"/>
        </w:rPr>
        <w:t>se</w:t>
      </w:r>
      <w:r w:rsidRPr="00FA5477">
        <w:rPr>
          <w:spacing w:val="-1"/>
          <w:sz w:val="24"/>
        </w:rPr>
        <w:t xml:space="preserve"> </w:t>
      </w:r>
      <w:r w:rsidRPr="00FA5477">
        <w:rPr>
          <w:sz w:val="24"/>
        </w:rPr>
        <w:t>notifiquen.</w:t>
      </w:r>
    </w:p>
    <w:p w14:paraId="077644E3" w14:textId="68F0DD23" w:rsidR="00F8216A" w:rsidRPr="00FA5477" w:rsidRDefault="00F8216A" w:rsidP="00DE07FF">
      <w:pPr>
        <w:tabs>
          <w:tab w:val="left" w:pos="832"/>
        </w:tabs>
        <w:spacing w:before="60" w:after="60" w:line="264" w:lineRule="auto"/>
        <w:ind w:left="471" w:right="357"/>
        <w:jc w:val="both"/>
        <w:rPr>
          <w:sz w:val="24"/>
        </w:rPr>
      </w:pPr>
      <w:r w:rsidRPr="00FA5477">
        <w:rPr>
          <w:sz w:val="24"/>
        </w:rPr>
        <w:t xml:space="preserve">Las líneas estratégicas de vinculación al tratamiento, retención y adherencia, así como PrEP para poblaciones clave, son intervenciones programáticas a cargo del MINSAL con financiamiento </w:t>
      </w:r>
      <w:r w:rsidR="00DE07FF" w:rsidRPr="00FA5477">
        <w:rPr>
          <w:sz w:val="24"/>
        </w:rPr>
        <w:t>del gobierno de El Salvador (</w:t>
      </w:r>
      <w:r w:rsidRPr="00FA5477">
        <w:rPr>
          <w:sz w:val="24"/>
        </w:rPr>
        <w:t>GOES</w:t>
      </w:r>
      <w:r w:rsidR="00DE07FF" w:rsidRPr="00FA5477">
        <w:rPr>
          <w:sz w:val="24"/>
        </w:rPr>
        <w:t>)</w:t>
      </w:r>
      <w:r w:rsidRPr="00FA5477">
        <w:rPr>
          <w:sz w:val="24"/>
        </w:rPr>
        <w:t>, se propone un modelo de financiamiento basado en pago por resultados, en donde el país se compromete con resultados estratégicos contenidos en el Plan Estratégico Nacional Multisectorial 2022-2027</w:t>
      </w:r>
      <w:r w:rsidR="00DE07FF" w:rsidRPr="00FA5477">
        <w:rPr>
          <w:sz w:val="24"/>
        </w:rPr>
        <w:t xml:space="preserve"> (anexo 1.1A-4)</w:t>
      </w:r>
      <w:r w:rsidRPr="00FA5477">
        <w:rPr>
          <w:sz w:val="24"/>
        </w:rPr>
        <w:t>, en donde están detalladas las intervenciones, actividades y otros elementos e</w:t>
      </w:r>
      <w:r w:rsidR="00BB287A" w:rsidRPr="00FA5477">
        <w:rPr>
          <w:sz w:val="24"/>
        </w:rPr>
        <w:t xml:space="preserve">n </w:t>
      </w:r>
      <w:r w:rsidRPr="00FA5477">
        <w:rPr>
          <w:sz w:val="24"/>
        </w:rPr>
        <w:t>el</w:t>
      </w:r>
      <w:r w:rsidR="00BB287A" w:rsidRPr="00FA5477">
        <w:rPr>
          <w:sz w:val="24"/>
        </w:rPr>
        <w:t xml:space="preserve"> Objetivo Estratégico 2: ‘</w:t>
      </w:r>
      <w:r w:rsidR="00BB287A" w:rsidRPr="00FA5477">
        <w:rPr>
          <w:i/>
          <w:iCs/>
          <w:sz w:val="24"/>
        </w:rPr>
        <w:t>Reducir la vulnerabilidad y el riesgo de transmisión del VIH y las ITS</w:t>
      </w:r>
      <w:r w:rsidR="00BB287A" w:rsidRPr="00FA5477">
        <w:rPr>
          <w:sz w:val="24"/>
        </w:rPr>
        <w:t>’ se detallan las acciones y metas sobre PrEP</w:t>
      </w:r>
      <w:r w:rsidRPr="00FA5477">
        <w:rPr>
          <w:sz w:val="24"/>
        </w:rPr>
        <w:t xml:space="preserve">; </w:t>
      </w:r>
      <w:r w:rsidR="00BB287A" w:rsidRPr="00FA5477">
        <w:rPr>
          <w:sz w:val="24"/>
        </w:rPr>
        <w:t xml:space="preserve"> </w:t>
      </w:r>
      <w:r w:rsidRPr="00FA5477">
        <w:rPr>
          <w:sz w:val="24"/>
        </w:rPr>
        <w:t>el Objetivo Estratégico 4: ‘</w:t>
      </w:r>
      <w:r w:rsidRPr="00FA5477">
        <w:rPr>
          <w:i/>
          <w:iCs/>
          <w:sz w:val="24"/>
        </w:rPr>
        <w:t>Proveer atención integral y oportuna a las personas con VIH e ITS</w:t>
      </w:r>
      <w:r w:rsidRPr="00FA5477">
        <w:rPr>
          <w:sz w:val="24"/>
        </w:rPr>
        <w:t>’; y el Objetivo Estratégico 4 en la Línea de Acción 4.4: ‘</w:t>
      </w:r>
      <w:r w:rsidRPr="00FA5477">
        <w:rPr>
          <w:i/>
          <w:iCs/>
          <w:sz w:val="24"/>
        </w:rPr>
        <w:t>Prevención y manejo integral y oportuno de la coinfección VIH, TB</w:t>
      </w:r>
      <w:r w:rsidRPr="00FA5477">
        <w:rPr>
          <w:sz w:val="24"/>
        </w:rPr>
        <w:t>’</w:t>
      </w:r>
      <w:r w:rsidR="00BC38E1" w:rsidRPr="00FA5477">
        <w:rPr>
          <w:sz w:val="24"/>
        </w:rPr>
        <w:t>.</w:t>
      </w:r>
    </w:p>
    <w:tbl>
      <w:tblPr>
        <w:tblStyle w:val="TableNormal1"/>
        <w:tblW w:w="14757" w:type="dxa"/>
        <w:tblInd w:w="119" w:type="dxa"/>
        <w:tblBorders>
          <w:top w:val="single" w:sz="6" w:space="0" w:color="959595"/>
          <w:left w:val="single" w:sz="6" w:space="0" w:color="959595"/>
          <w:bottom w:val="single" w:sz="6" w:space="0" w:color="959595"/>
          <w:right w:val="single" w:sz="6" w:space="0" w:color="959595"/>
          <w:insideH w:val="single" w:sz="6" w:space="0" w:color="959595"/>
          <w:insideV w:val="single" w:sz="6" w:space="0" w:color="959595"/>
        </w:tblBorders>
        <w:tblLayout w:type="fixed"/>
        <w:tblCellMar>
          <w:left w:w="85" w:type="dxa"/>
          <w:right w:w="85" w:type="dxa"/>
        </w:tblCellMar>
        <w:tblLook w:val="01E0" w:firstRow="1" w:lastRow="1" w:firstColumn="1" w:lastColumn="1" w:noHBand="0" w:noVBand="0"/>
      </w:tblPr>
      <w:tblGrid>
        <w:gridCol w:w="2992"/>
        <w:gridCol w:w="992"/>
        <w:gridCol w:w="992"/>
        <w:gridCol w:w="996"/>
        <w:gridCol w:w="1039"/>
        <w:gridCol w:w="3777"/>
        <w:gridCol w:w="1559"/>
        <w:gridCol w:w="2410"/>
      </w:tblGrid>
      <w:tr w:rsidR="00DE1085" w:rsidRPr="00FA5477" w14:paraId="5FCA6D87" w14:textId="77777777" w:rsidTr="00D803EF">
        <w:trPr>
          <w:trHeight w:val="229"/>
          <w:tblHeader/>
        </w:trPr>
        <w:tc>
          <w:tcPr>
            <w:tcW w:w="2992" w:type="dxa"/>
            <w:vMerge w:val="restart"/>
            <w:shd w:val="clear" w:color="auto" w:fill="F9FBFD"/>
            <w:tcMar>
              <w:left w:w="85" w:type="dxa"/>
              <w:right w:w="85" w:type="dxa"/>
            </w:tcMar>
            <w:vAlign w:val="center"/>
          </w:tcPr>
          <w:p w14:paraId="3D35CA72" w14:textId="44AF1379" w:rsidR="00DE1085" w:rsidRPr="00FA5477" w:rsidRDefault="00DE1085" w:rsidP="00BE1423">
            <w:pPr>
              <w:pStyle w:val="TableParagraph"/>
              <w:ind w:left="68" w:right="40" w:hanging="6"/>
              <w:jc w:val="center"/>
              <w:rPr>
                <w:rFonts w:cs="Arial"/>
                <w:b/>
                <w:bCs/>
              </w:rPr>
            </w:pPr>
            <w:r w:rsidRPr="00FA5477">
              <w:rPr>
                <w:rFonts w:cs="Arial"/>
                <w:b/>
                <w:bCs/>
              </w:rPr>
              <w:t>Indicador de desempeño o hito</w:t>
            </w:r>
          </w:p>
        </w:tc>
        <w:tc>
          <w:tcPr>
            <w:tcW w:w="4019" w:type="dxa"/>
            <w:gridSpan w:val="4"/>
            <w:shd w:val="clear" w:color="auto" w:fill="F9FBFD"/>
            <w:tcMar>
              <w:left w:w="85" w:type="dxa"/>
              <w:right w:w="85" w:type="dxa"/>
            </w:tcMar>
            <w:vAlign w:val="center"/>
          </w:tcPr>
          <w:p w14:paraId="53A44916" w14:textId="77777777" w:rsidR="00DE1085" w:rsidRPr="00FA5477" w:rsidRDefault="00DE1085" w:rsidP="009B441A">
            <w:pPr>
              <w:pStyle w:val="TableParagraph"/>
              <w:spacing w:line="210" w:lineRule="exact"/>
              <w:ind w:left="928" w:right="921"/>
              <w:jc w:val="center"/>
              <w:rPr>
                <w:rFonts w:cs="Arial"/>
                <w:b/>
                <w:bCs/>
              </w:rPr>
            </w:pPr>
            <w:r w:rsidRPr="00FA5477">
              <w:rPr>
                <w:rFonts w:cs="Arial"/>
                <w:b/>
                <w:bCs/>
              </w:rPr>
              <w:t>Meta</w:t>
            </w:r>
          </w:p>
        </w:tc>
        <w:tc>
          <w:tcPr>
            <w:tcW w:w="3777" w:type="dxa"/>
            <w:vMerge w:val="restart"/>
            <w:shd w:val="clear" w:color="auto" w:fill="F9FBFD"/>
            <w:tcMar>
              <w:left w:w="85" w:type="dxa"/>
              <w:right w:w="85" w:type="dxa"/>
            </w:tcMar>
            <w:vAlign w:val="center"/>
          </w:tcPr>
          <w:p w14:paraId="6094AA61" w14:textId="77777777" w:rsidR="00DE1085" w:rsidRPr="00FA5477" w:rsidRDefault="00DE1085" w:rsidP="009B441A">
            <w:pPr>
              <w:pStyle w:val="TableParagraph"/>
              <w:ind w:left="570" w:right="457" w:hanging="94"/>
              <w:jc w:val="center"/>
              <w:rPr>
                <w:rFonts w:cs="Arial"/>
                <w:b/>
                <w:bCs/>
              </w:rPr>
            </w:pPr>
            <w:r w:rsidRPr="00FA5477">
              <w:rPr>
                <w:rFonts w:cs="Arial"/>
                <w:b/>
                <w:bCs/>
              </w:rPr>
              <w:t>Motivo</w:t>
            </w:r>
            <w:r w:rsidRPr="00FA5477">
              <w:rPr>
                <w:rFonts w:cs="Arial"/>
                <w:b/>
                <w:bCs/>
                <w:spacing w:val="-5"/>
              </w:rPr>
              <w:t xml:space="preserve"> </w:t>
            </w:r>
            <w:r w:rsidRPr="00FA5477">
              <w:rPr>
                <w:rFonts w:cs="Arial"/>
                <w:b/>
                <w:bCs/>
              </w:rPr>
              <w:t>de</w:t>
            </w:r>
            <w:r w:rsidRPr="00FA5477">
              <w:rPr>
                <w:rFonts w:cs="Arial"/>
                <w:b/>
                <w:bCs/>
                <w:spacing w:val="-4"/>
              </w:rPr>
              <w:t xml:space="preserve"> </w:t>
            </w:r>
            <w:r w:rsidRPr="00FA5477">
              <w:rPr>
                <w:rFonts w:cs="Arial"/>
                <w:b/>
                <w:bCs/>
              </w:rPr>
              <w:t>la</w:t>
            </w:r>
            <w:r w:rsidRPr="00FA5477">
              <w:rPr>
                <w:rFonts w:cs="Arial"/>
                <w:b/>
                <w:bCs/>
                <w:spacing w:val="-4"/>
              </w:rPr>
              <w:t xml:space="preserve"> </w:t>
            </w:r>
            <w:r w:rsidRPr="00FA5477">
              <w:rPr>
                <w:rFonts w:cs="Arial"/>
                <w:b/>
                <w:bCs/>
              </w:rPr>
              <w:t>elección</w:t>
            </w:r>
            <w:r w:rsidRPr="00FA5477">
              <w:rPr>
                <w:rFonts w:cs="Arial"/>
                <w:b/>
                <w:bCs/>
                <w:spacing w:val="-53"/>
              </w:rPr>
              <w:t xml:space="preserve"> </w:t>
            </w:r>
            <w:r w:rsidRPr="00FA5477">
              <w:rPr>
                <w:rFonts w:cs="Arial"/>
                <w:b/>
                <w:bCs/>
              </w:rPr>
              <w:t>del</w:t>
            </w:r>
            <w:r w:rsidRPr="00FA5477">
              <w:rPr>
                <w:rFonts w:cs="Arial"/>
                <w:b/>
                <w:bCs/>
                <w:spacing w:val="-3"/>
              </w:rPr>
              <w:t xml:space="preserve"> </w:t>
            </w:r>
            <w:r w:rsidRPr="00FA5477">
              <w:rPr>
                <w:rFonts w:cs="Arial"/>
                <w:b/>
                <w:bCs/>
              </w:rPr>
              <w:t>indicador</w:t>
            </w:r>
            <w:r w:rsidRPr="00FA5477">
              <w:rPr>
                <w:rFonts w:cs="Arial"/>
                <w:b/>
                <w:bCs/>
                <w:spacing w:val="-2"/>
              </w:rPr>
              <w:t xml:space="preserve"> </w:t>
            </w:r>
            <w:r w:rsidRPr="00FA5477">
              <w:rPr>
                <w:rFonts w:cs="Arial"/>
                <w:b/>
                <w:bCs/>
              </w:rPr>
              <w:t>o</w:t>
            </w:r>
            <w:r w:rsidRPr="00FA5477">
              <w:rPr>
                <w:rFonts w:cs="Arial"/>
                <w:b/>
                <w:bCs/>
                <w:spacing w:val="-1"/>
              </w:rPr>
              <w:t xml:space="preserve"> </w:t>
            </w:r>
            <w:r w:rsidRPr="00FA5477">
              <w:rPr>
                <w:rFonts w:cs="Arial"/>
                <w:b/>
                <w:bCs/>
              </w:rPr>
              <w:t>hito</w:t>
            </w:r>
          </w:p>
        </w:tc>
        <w:tc>
          <w:tcPr>
            <w:tcW w:w="1559" w:type="dxa"/>
            <w:vMerge w:val="restart"/>
            <w:shd w:val="clear" w:color="auto" w:fill="F9FBFD"/>
            <w:tcMar>
              <w:left w:w="85" w:type="dxa"/>
              <w:right w:w="85" w:type="dxa"/>
            </w:tcMar>
            <w:vAlign w:val="center"/>
          </w:tcPr>
          <w:p w14:paraId="4D40FDD0" w14:textId="77777777" w:rsidR="00DE1085" w:rsidRPr="00FA5477" w:rsidRDefault="00DE1085" w:rsidP="007515D5">
            <w:pPr>
              <w:pStyle w:val="TableParagraph"/>
              <w:spacing w:after="60"/>
              <w:ind w:left="125"/>
              <w:jc w:val="center"/>
              <w:rPr>
                <w:rFonts w:cs="Arial"/>
                <w:b/>
                <w:bCs/>
              </w:rPr>
            </w:pPr>
            <w:r w:rsidRPr="00FA5477">
              <w:rPr>
                <w:rFonts w:cs="Arial"/>
                <w:b/>
                <w:bCs/>
              </w:rPr>
              <w:t>Monto</w:t>
            </w:r>
          </w:p>
          <w:p w14:paraId="42593FD4" w14:textId="5155E350" w:rsidR="00DE1085" w:rsidRPr="00FA5477" w:rsidRDefault="00DE1085" w:rsidP="009B441A">
            <w:pPr>
              <w:pStyle w:val="TableParagraph"/>
              <w:ind w:left="125"/>
              <w:jc w:val="center"/>
              <w:rPr>
                <w:rFonts w:cs="Arial"/>
                <w:b/>
                <w:bCs/>
              </w:rPr>
            </w:pPr>
            <w:r w:rsidRPr="00FA5477">
              <w:rPr>
                <w:rFonts w:cs="Arial"/>
                <w:b/>
                <w:bCs/>
              </w:rPr>
              <w:t>solicitado</w:t>
            </w:r>
          </w:p>
        </w:tc>
        <w:tc>
          <w:tcPr>
            <w:tcW w:w="2410" w:type="dxa"/>
            <w:vMerge w:val="restart"/>
            <w:shd w:val="clear" w:color="auto" w:fill="F9FBFD"/>
            <w:tcMar>
              <w:left w:w="85" w:type="dxa"/>
              <w:right w:w="85" w:type="dxa"/>
            </w:tcMar>
            <w:vAlign w:val="center"/>
          </w:tcPr>
          <w:p w14:paraId="74F273C4" w14:textId="77777777" w:rsidR="00DE1085" w:rsidRPr="00FA5477" w:rsidRDefault="00DE1085" w:rsidP="009B441A">
            <w:pPr>
              <w:pStyle w:val="TableParagraph"/>
              <w:ind w:left="67"/>
              <w:jc w:val="center"/>
              <w:rPr>
                <w:rFonts w:cs="Arial"/>
                <w:b/>
                <w:bCs/>
              </w:rPr>
            </w:pPr>
            <w:r w:rsidRPr="00FA5477">
              <w:rPr>
                <w:rFonts w:cs="Arial"/>
                <w:b/>
                <w:bCs/>
              </w:rPr>
              <w:t>Resultado</w:t>
            </w:r>
            <w:r w:rsidRPr="00FA5477">
              <w:rPr>
                <w:rFonts w:cs="Arial"/>
                <w:b/>
                <w:bCs/>
                <w:spacing w:val="-5"/>
              </w:rPr>
              <w:t xml:space="preserve"> </w:t>
            </w:r>
            <w:r w:rsidRPr="00FA5477">
              <w:rPr>
                <w:rFonts w:cs="Arial"/>
                <w:b/>
                <w:bCs/>
              </w:rPr>
              <w:t>previsto</w:t>
            </w:r>
          </w:p>
        </w:tc>
      </w:tr>
      <w:tr w:rsidR="00DE1085" w:rsidRPr="00FA5477" w14:paraId="230E8CC5" w14:textId="77777777" w:rsidTr="00D803EF">
        <w:trPr>
          <w:trHeight w:val="402"/>
        </w:trPr>
        <w:tc>
          <w:tcPr>
            <w:tcW w:w="2992" w:type="dxa"/>
            <w:vMerge/>
            <w:tcBorders>
              <w:top w:val="nil"/>
            </w:tcBorders>
            <w:shd w:val="clear" w:color="auto" w:fill="F9FBFD"/>
            <w:tcMar>
              <w:left w:w="85" w:type="dxa"/>
              <w:right w:w="85" w:type="dxa"/>
            </w:tcMar>
            <w:vAlign w:val="center"/>
          </w:tcPr>
          <w:p w14:paraId="73D8B67F" w14:textId="77777777" w:rsidR="00DE1085" w:rsidRPr="00FA5477" w:rsidRDefault="00DE1085" w:rsidP="009B441A">
            <w:pPr>
              <w:jc w:val="center"/>
              <w:rPr>
                <w:rFonts w:cs="Arial"/>
              </w:rPr>
            </w:pPr>
          </w:p>
        </w:tc>
        <w:tc>
          <w:tcPr>
            <w:tcW w:w="992" w:type="dxa"/>
            <w:shd w:val="clear" w:color="auto" w:fill="F9FBFD"/>
            <w:tcMar>
              <w:left w:w="85" w:type="dxa"/>
              <w:right w:w="85" w:type="dxa"/>
            </w:tcMar>
            <w:vAlign w:val="center"/>
          </w:tcPr>
          <w:p w14:paraId="5BDE19E6" w14:textId="1EE146C2" w:rsidR="00DE1085" w:rsidRPr="00FA5477" w:rsidRDefault="00DE1085" w:rsidP="007515D5">
            <w:pPr>
              <w:pStyle w:val="TableParagraph"/>
              <w:spacing w:before="60" w:after="60"/>
              <w:ind w:left="50"/>
              <w:jc w:val="center"/>
              <w:rPr>
                <w:rFonts w:cs="Arial"/>
                <w:b/>
                <w:bCs/>
              </w:rPr>
            </w:pPr>
            <w:proofErr w:type="spellStart"/>
            <w:r w:rsidRPr="00FA5477">
              <w:rPr>
                <w:rFonts w:cs="Arial"/>
                <w:b/>
                <w:bCs/>
              </w:rPr>
              <w:t>Refe-rencia</w:t>
            </w:r>
            <w:proofErr w:type="spellEnd"/>
          </w:p>
        </w:tc>
        <w:tc>
          <w:tcPr>
            <w:tcW w:w="992" w:type="dxa"/>
            <w:shd w:val="clear" w:color="auto" w:fill="F9FBFD"/>
            <w:tcMar>
              <w:left w:w="85" w:type="dxa"/>
              <w:right w:w="85" w:type="dxa"/>
            </w:tcMar>
            <w:vAlign w:val="center"/>
          </w:tcPr>
          <w:p w14:paraId="72947ED1" w14:textId="4647D5FF" w:rsidR="00DE1085" w:rsidRPr="00FA5477" w:rsidRDefault="00DE1085" w:rsidP="007515D5">
            <w:pPr>
              <w:pStyle w:val="TableParagraph"/>
              <w:spacing w:before="60" w:after="60" w:line="230" w:lineRule="exact"/>
              <w:ind w:left="179" w:right="7" w:hanging="149"/>
              <w:jc w:val="center"/>
              <w:rPr>
                <w:rFonts w:cs="Arial"/>
                <w:b/>
                <w:bCs/>
                <w:spacing w:val="-53"/>
              </w:rPr>
            </w:pPr>
            <w:r w:rsidRPr="00FA5477">
              <w:rPr>
                <w:rFonts w:cs="Arial"/>
                <w:b/>
                <w:bCs/>
                <w:spacing w:val="-1"/>
              </w:rPr>
              <w:t>Año</w:t>
            </w:r>
          </w:p>
          <w:p w14:paraId="45D21834" w14:textId="77777777" w:rsidR="00DE1085" w:rsidRPr="00FA5477" w:rsidRDefault="00DE1085" w:rsidP="007515D5">
            <w:pPr>
              <w:pStyle w:val="TableParagraph"/>
              <w:spacing w:before="60" w:after="60" w:line="230" w:lineRule="exact"/>
              <w:ind w:left="179" w:right="7" w:hanging="149"/>
              <w:jc w:val="center"/>
              <w:rPr>
                <w:rFonts w:cs="Arial"/>
                <w:b/>
                <w:bCs/>
              </w:rPr>
            </w:pPr>
            <w:r w:rsidRPr="00FA5477">
              <w:rPr>
                <w:rFonts w:cs="Arial"/>
                <w:b/>
                <w:bCs/>
              </w:rPr>
              <w:t>1</w:t>
            </w:r>
          </w:p>
        </w:tc>
        <w:tc>
          <w:tcPr>
            <w:tcW w:w="996" w:type="dxa"/>
            <w:shd w:val="clear" w:color="auto" w:fill="F9FBFD"/>
            <w:tcMar>
              <w:left w:w="85" w:type="dxa"/>
              <w:right w:w="85" w:type="dxa"/>
            </w:tcMar>
            <w:vAlign w:val="center"/>
          </w:tcPr>
          <w:p w14:paraId="27F75B88" w14:textId="77777777" w:rsidR="00DE1085" w:rsidRPr="00FA5477" w:rsidRDefault="00DE1085" w:rsidP="007515D5">
            <w:pPr>
              <w:pStyle w:val="TableParagraph"/>
              <w:spacing w:before="60" w:after="60" w:line="230" w:lineRule="exact"/>
              <w:ind w:left="182" w:right="4" w:hanging="149"/>
              <w:jc w:val="center"/>
              <w:rPr>
                <w:rFonts w:cs="Arial"/>
                <w:b/>
                <w:bCs/>
                <w:spacing w:val="-1"/>
              </w:rPr>
            </w:pPr>
            <w:r w:rsidRPr="00FA5477">
              <w:rPr>
                <w:rFonts w:cs="Arial"/>
                <w:b/>
                <w:bCs/>
                <w:spacing w:val="-1"/>
              </w:rPr>
              <w:t>Año</w:t>
            </w:r>
          </w:p>
          <w:p w14:paraId="577F45AC" w14:textId="77777777" w:rsidR="00DE1085" w:rsidRPr="00FA5477" w:rsidRDefault="00DE1085" w:rsidP="007515D5">
            <w:pPr>
              <w:pStyle w:val="TableParagraph"/>
              <w:spacing w:before="60" w:after="60" w:line="230" w:lineRule="exact"/>
              <w:ind w:left="182" w:right="4" w:hanging="149"/>
              <w:jc w:val="center"/>
              <w:rPr>
                <w:rFonts w:cs="Arial"/>
                <w:b/>
                <w:bCs/>
              </w:rPr>
            </w:pPr>
            <w:r w:rsidRPr="00FA5477">
              <w:rPr>
                <w:rFonts w:cs="Arial"/>
                <w:b/>
                <w:bCs/>
              </w:rPr>
              <w:t>2</w:t>
            </w:r>
          </w:p>
        </w:tc>
        <w:tc>
          <w:tcPr>
            <w:tcW w:w="1039" w:type="dxa"/>
            <w:shd w:val="clear" w:color="auto" w:fill="F9FBFD"/>
            <w:tcMar>
              <w:left w:w="85" w:type="dxa"/>
              <w:right w:w="85" w:type="dxa"/>
            </w:tcMar>
            <w:vAlign w:val="center"/>
          </w:tcPr>
          <w:p w14:paraId="48A0CC72" w14:textId="77777777" w:rsidR="00DE1085" w:rsidRPr="00FA5477" w:rsidRDefault="00DE1085" w:rsidP="007515D5">
            <w:pPr>
              <w:pStyle w:val="TableParagraph"/>
              <w:spacing w:before="60" w:after="60" w:line="230" w:lineRule="exact"/>
              <w:ind w:left="181" w:right="5" w:hanging="149"/>
              <w:jc w:val="center"/>
              <w:rPr>
                <w:rFonts w:cs="Arial"/>
                <w:b/>
                <w:bCs/>
                <w:spacing w:val="-1"/>
              </w:rPr>
            </w:pPr>
            <w:r w:rsidRPr="00FA5477">
              <w:rPr>
                <w:rFonts w:cs="Arial"/>
                <w:b/>
                <w:bCs/>
                <w:spacing w:val="-1"/>
              </w:rPr>
              <w:t>Año</w:t>
            </w:r>
          </w:p>
          <w:p w14:paraId="5BD02002" w14:textId="77777777" w:rsidR="00DE1085" w:rsidRPr="00FA5477" w:rsidRDefault="00DE1085" w:rsidP="007515D5">
            <w:pPr>
              <w:pStyle w:val="TableParagraph"/>
              <w:spacing w:before="60" w:after="60" w:line="230" w:lineRule="exact"/>
              <w:ind w:left="181" w:right="5" w:hanging="149"/>
              <w:jc w:val="center"/>
              <w:rPr>
                <w:rFonts w:cs="Arial"/>
                <w:b/>
                <w:bCs/>
              </w:rPr>
            </w:pPr>
            <w:r w:rsidRPr="00FA5477">
              <w:rPr>
                <w:rFonts w:cs="Arial"/>
                <w:b/>
                <w:bCs/>
              </w:rPr>
              <w:t>3</w:t>
            </w:r>
          </w:p>
        </w:tc>
        <w:tc>
          <w:tcPr>
            <w:tcW w:w="3777" w:type="dxa"/>
            <w:vMerge/>
            <w:shd w:val="clear" w:color="auto" w:fill="F9FBFD"/>
            <w:tcMar>
              <w:left w:w="85" w:type="dxa"/>
              <w:right w:w="85" w:type="dxa"/>
            </w:tcMar>
          </w:tcPr>
          <w:p w14:paraId="5A68CA76" w14:textId="77777777" w:rsidR="00DE1085" w:rsidRPr="00FA5477" w:rsidRDefault="00DE1085" w:rsidP="008B2B26">
            <w:pPr>
              <w:rPr>
                <w:rFonts w:cs="Arial"/>
              </w:rPr>
            </w:pPr>
          </w:p>
        </w:tc>
        <w:tc>
          <w:tcPr>
            <w:tcW w:w="1559" w:type="dxa"/>
            <w:vMerge/>
            <w:shd w:val="clear" w:color="auto" w:fill="F9FBFD"/>
            <w:tcMar>
              <w:left w:w="85" w:type="dxa"/>
              <w:right w:w="85" w:type="dxa"/>
            </w:tcMar>
          </w:tcPr>
          <w:p w14:paraId="012BF3A0" w14:textId="77777777" w:rsidR="00DE1085" w:rsidRPr="00FA5477" w:rsidRDefault="00DE1085" w:rsidP="008B2B26">
            <w:pPr>
              <w:rPr>
                <w:rFonts w:cs="Arial"/>
              </w:rPr>
            </w:pPr>
          </w:p>
        </w:tc>
        <w:tc>
          <w:tcPr>
            <w:tcW w:w="2410" w:type="dxa"/>
            <w:vMerge/>
            <w:shd w:val="clear" w:color="auto" w:fill="F9FBFD"/>
            <w:tcMar>
              <w:left w:w="85" w:type="dxa"/>
              <w:right w:w="85" w:type="dxa"/>
            </w:tcMar>
          </w:tcPr>
          <w:p w14:paraId="0E2E040A" w14:textId="77777777" w:rsidR="00DE1085" w:rsidRPr="00FA5477" w:rsidRDefault="00DE1085" w:rsidP="008B2B26">
            <w:pPr>
              <w:rPr>
                <w:rFonts w:cs="Arial"/>
              </w:rPr>
            </w:pPr>
          </w:p>
        </w:tc>
      </w:tr>
      <w:tr w:rsidR="00DE1085" w:rsidRPr="00FA5477" w14:paraId="560854D4" w14:textId="77777777" w:rsidTr="00D803EF">
        <w:trPr>
          <w:trHeight w:val="275"/>
        </w:trPr>
        <w:tc>
          <w:tcPr>
            <w:tcW w:w="2992" w:type="dxa"/>
            <w:tcMar>
              <w:left w:w="85" w:type="dxa"/>
              <w:right w:w="85" w:type="dxa"/>
            </w:tcMar>
          </w:tcPr>
          <w:p w14:paraId="003B1888" w14:textId="39D462BC" w:rsidR="00A92376" w:rsidRPr="00FA5477" w:rsidRDefault="00A92376" w:rsidP="00DE07FF">
            <w:pPr>
              <w:pStyle w:val="TableParagraph"/>
              <w:spacing w:before="120" w:after="120" w:line="259" w:lineRule="auto"/>
              <w:jc w:val="both"/>
              <w:rPr>
                <w:rFonts w:cs="Arial"/>
              </w:rPr>
            </w:pPr>
            <w:r w:rsidRPr="00FA5477">
              <w:rPr>
                <w:rFonts w:cs="Arial"/>
              </w:rPr>
              <w:t>KP-6</w:t>
            </w:r>
            <w:r w:rsidR="002326C2" w:rsidRPr="00FA5477">
              <w:rPr>
                <w:rFonts w:cs="Arial"/>
              </w:rPr>
              <w:t>-Other1</w:t>
            </w:r>
            <w:r w:rsidRPr="00FA5477">
              <w:rPr>
                <w:rFonts w:cs="Arial"/>
              </w:rPr>
              <w:t xml:space="preserve"> Número de hombres que tienen relaciones sexuales con hombres y personas transgénero que recibieron algún producto PrEP al menos una vez durante el período de reporte</w:t>
            </w:r>
          </w:p>
        </w:tc>
        <w:tc>
          <w:tcPr>
            <w:tcW w:w="992" w:type="dxa"/>
            <w:shd w:val="clear" w:color="auto" w:fill="auto"/>
            <w:tcMar>
              <w:left w:w="85" w:type="dxa"/>
              <w:right w:w="85" w:type="dxa"/>
            </w:tcMar>
          </w:tcPr>
          <w:p w14:paraId="7628C2A7" w14:textId="7C1352B0" w:rsidR="00A92376" w:rsidRPr="00FA5477" w:rsidRDefault="00A92376" w:rsidP="00DE07FF">
            <w:pPr>
              <w:pStyle w:val="TableParagraph"/>
              <w:spacing w:before="120" w:after="120" w:line="259" w:lineRule="auto"/>
              <w:jc w:val="both"/>
              <w:rPr>
                <w:rFonts w:cs="Arial"/>
              </w:rPr>
            </w:pPr>
            <w:r w:rsidRPr="00FA5477">
              <w:rPr>
                <w:rFonts w:cs="Arial"/>
              </w:rPr>
              <w:t>2,942</w:t>
            </w:r>
          </w:p>
        </w:tc>
        <w:tc>
          <w:tcPr>
            <w:tcW w:w="992" w:type="dxa"/>
            <w:shd w:val="clear" w:color="auto" w:fill="auto"/>
            <w:tcMar>
              <w:left w:w="85" w:type="dxa"/>
              <w:right w:w="85" w:type="dxa"/>
            </w:tcMar>
          </w:tcPr>
          <w:p w14:paraId="14C06D6E" w14:textId="3375C030" w:rsidR="00A92376" w:rsidRPr="00FA5477" w:rsidRDefault="00A92376" w:rsidP="00DE07FF">
            <w:pPr>
              <w:pStyle w:val="TableParagraph"/>
              <w:spacing w:before="120" w:after="120" w:line="259" w:lineRule="auto"/>
              <w:jc w:val="both"/>
              <w:rPr>
                <w:rFonts w:cs="Arial"/>
              </w:rPr>
            </w:pPr>
            <w:r w:rsidRPr="00FA5477">
              <w:rPr>
                <w:rFonts w:cs="Arial"/>
              </w:rPr>
              <w:t>3,609</w:t>
            </w:r>
          </w:p>
        </w:tc>
        <w:tc>
          <w:tcPr>
            <w:tcW w:w="996" w:type="dxa"/>
            <w:shd w:val="clear" w:color="auto" w:fill="auto"/>
            <w:tcMar>
              <w:left w:w="85" w:type="dxa"/>
              <w:right w:w="85" w:type="dxa"/>
            </w:tcMar>
          </w:tcPr>
          <w:p w14:paraId="3532DCAB" w14:textId="361ECB58" w:rsidR="00A92376" w:rsidRPr="00FA5477" w:rsidRDefault="00A92376" w:rsidP="00DE07FF">
            <w:pPr>
              <w:pStyle w:val="TableParagraph"/>
              <w:spacing w:before="120" w:after="120" w:line="259" w:lineRule="auto"/>
              <w:jc w:val="both"/>
              <w:rPr>
                <w:rFonts w:cs="Arial"/>
              </w:rPr>
            </w:pPr>
            <w:r w:rsidRPr="00FA5477">
              <w:rPr>
                <w:rFonts w:cs="Arial"/>
              </w:rPr>
              <w:t>4,173</w:t>
            </w:r>
          </w:p>
        </w:tc>
        <w:tc>
          <w:tcPr>
            <w:tcW w:w="1039" w:type="dxa"/>
            <w:shd w:val="clear" w:color="auto" w:fill="auto"/>
            <w:tcMar>
              <w:left w:w="85" w:type="dxa"/>
              <w:right w:w="85" w:type="dxa"/>
            </w:tcMar>
          </w:tcPr>
          <w:p w14:paraId="7B485F70" w14:textId="285271FB" w:rsidR="00A92376" w:rsidRPr="00FA5477" w:rsidRDefault="00A92376" w:rsidP="00DE07FF">
            <w:pPr>
              <w:pStyle w:val="TableParagraph"/>
              <w:spacing w:before="120" w:after="120" w:line="259" w:lineRule="auto"/>
              <w:jc w:val="both"/>
              <w:rPr>
                <w:rFonts w:cs="Arial"/>
              </w:rPr>
            </w:pPr>
            <w:r w:rsidRPr="00FA5477">
              <w:rPr>
                <w:rFonts w:cs="Arial"/>
              </w:rPr>
              <w:t>4,545</w:t>
            </w:r>
          </w:p>
        </w:tc>
        <w:tc>
          <w:tcPr>
            <w:tcW w:w="3777" w:type="dxa"/>
            <w:shd w:val="clear" w:color="auto" w:fill="auto"/>
            <w:tcMar>
              <w:left w:w="85" w:type="dxa"/>
              <w:right w:w="85" w:type="dxa"/>
            </w:tcMar>
          </w:tcPr>
          <w:p w14:paraId="22824B4B" w14:textId="51593144" w:rsidR="00A92376" w:rsidRPr="00FA5477" w:rsidRDefault="00F66D85" w:rsidP="00DE07FF">
            <w:pPr>
              <w:pStyle w:val="TableParagraph"/>
              <w:spacing w:before="120" w:after="120" w:line="259" w:lineRule="auto"/>
              <w:jc w:val="both"/>
              <w:rPr>
                <w:rFonts w:cs="Arial"/>
              </w:rPr>
            </w:pPr>
            <w:r w:rsidRPr="00FA5477">
              <w:rPr>
                <w:rFonts w:cs="Arial"/>
              </w:rPr>
              <w:t>Con esta intervención se pretende ampliar cobertura en las poblaciones mencionadas, con lo cual se busca disminuir la transmisión del VIH y brindar otra forma de prevención para la población.</w:t>
            </w:r>
            <w:r w:rsidR="00622E6E" w:rsidRPr="00FA5477">
              <w:rPr>
                <w:rFonts w:cs="Arial"/>
              </w:rPr>
              <w:t xml:space="preserve"> Para esta subvención se implementará la PrEP a demanda con el objetivo de aumentar cobertura y facilitar la accesibilidad al usuario. De igual manera se ampliará la cobertura geográfica aperturando 10 nuevos establecimientos VICITS/Amigables que ofertarán estos servicios a estas poblaciones.</w:t>
            </w:r>
          </w:p>
        </w:tc>
        <w:tc>
          <w:tcPr>
            <w:tcW w:w="1559" w:type="dxa"/>
            <w:shd w:val="clear" w:color="auto" w:fill="auto"/>
            <w:tcMar>
              <w:left w:w="85" w:type="dxa"/>
              <w:right w:w="85" w:type="dxa"/>
            </w:tcMar>
          </w:tcPr>
          <w:p w14:paraId="7B8F3C9B" w14:textId="5BB46D70" w:rsidR="00A92376" w:rsidRPr="00FA5477" w:rsidRDefault="00A92376" w:rsidP="00DE07FF">
            <w:pPr>
              <w:pStyle w:val="TableParagraph"/>
              <w:spacing w:before="120" w:after="120" w:line="259" w:lineRule="auto"/>
              <w:jc w:val="both"/>
              <w:rPr>
                <w:rFonts w:cs="Arial"/>
                <w:b/>
                <w:bCs/>
              </w:rPr>
            </w:pPr>
            <w:r w:rsidRPr="00FA5477">
              <w:rPr>
                <w:rFonts w:cs="Arial"/>
                <w:b/>
                <w:bCs/>
              </w:rPr>
              <w:t>USD 1,0</w:t>
            </w:r>
            <w:r w:rsidR="00844F49" w:rsidRPr="00FA5477">
              <w:rPr>
                <w:rFonts w:cs="Arial"/>
                <w:b/>
                <w:bCs/>
              </w:rPr>
              <w:t>78</w:t>
            </w:r>
            <w:r w:rsidRPr="00FA5477">
              <w:rPr>
                <w:rFonts w:cs="Arial"/>
                <w:b/>
                <w:bCs/>
              </w:rPr>
              <w:t>,</w:t>
            </w:r>
            <w:r w:rsidR="00844F49" w:rsidRPr="00FA5477">
              <w:rPr>
                <w:rFonts w:cs="Arial"/>
                <w:b/>
                <w:bCs/>
              </w:rPr>
              <w:t>700</w:t>
            </w:r>
            <w:r w:rsidRPr="00FA5477">
              <w:rPr>
                <w:rFonts w:cs="Arial"/>
                <w:b/>
                <w:bCs/>
              </w:rPr>
              <w:t>.</w:t>
            </w:r>
            <w:r w:rsidR="00907F27">
              <w:rPr>
                <w:rFonts w:cs="Arial"/>
                <w:b/>
                <w:bCs/>
              </w:rPr>
              <w:t>5</w:t>
            </w:r>
            <w:r w:rsidRPr="00FA5477">
              <w:rPr>
                <w:rFonts w:cs="Arial"/>
                <w:b/>
                <w:bCs/>
              </w:rPr>
              <w:t>0</w:t>
            </w:r>
          </w:p>
        </w:tc>
        <w:tc>
          <w:tcPr>
            <w:tcW w:w="2410" w:type="dxa"/>
            <w:shd w:val="clear" w:color="auto" w:fill="auto"/>
            <w:tcMar>
              <w:left w:w="85" w:type="dxa"/>
              <w:right w:w="85" w:type="dxa"/>
            </w:tcMar>
          </w:tcPr>
          <w:p w14:paraId="36E51B63" w14:textId="77777777" w:rsidR="00C14CBB" w:rsidRPr="00FA5477" w:rsidRDefault="00A92376" w:rsidP="00DE07FF">
            <w:pPr>
              <w:pStyle w:val="TableParagraph"/>
              <w:spacing w:before="120" w:after="120" w:line="259" w:lineRule="auto"/>
              <w:jc w:val="both"/>
              <w:rPr>
                <w:rFonts w:cs="Arial"/>
              </w:rPr>
            </w:pPr>
            <w:r w:rsidRPr="00FA5477">
              <w:rPr>
                <w:rFonts w:cs="Arial"/>
              </w:rPr>
              <w:t>Disminuida la incidencia de VIIH en poblaciones vulnerables y de mayor carga de enfermedad.</w:t>
            </w:r>
            <w:r w:rsidR="00C14CBB" w:rsidRPr="00FA5477">
              <w:rPr>
                <w:rFonts w:cs="Arial"/>
              </w:rPr>
              <w:t xml:space="preserve"> </w:t>
            </w:r>
          </w:p>
          <w:p w14:paraId="411507A3" w14:textId="605D8A51" w:rsidR="00A92376" w:rsidRPr="00FA5477" w:rsidRDefault="00C14CBB" w:rsidP="00DE07FF">
            <w:pPr>
              <w:pStyle w:val="TableParagraph"/>
              <w:spacing w:before="120" w:after="120" w:line="259" w:lineRule="auto"/>
              <w:jc w:val="both"/>
              <w:rPr>
                <w:rFonts w:cs="Arial"/>
              </w:rPr>
            </w:pPr>
            <w:r w:rsidRPr="00FA5477">
              <w:rPr>
                <w:rFonts w:cs="Arial"/>
              </w:rPr>
              <w:t>Las acciones sobre PrEP están contenidas en la Línea de Acción 2.6: (</w:t>
            </w:r>
            <w:r w:rsidRPr="00FA5477">
              <w:rPr>
                <w:rFonts w:cs="Arial"/>
                <w:i/>
                <w:iCs/>
              </w:rPr>
              <w:t>Implementación, promoción y dispensación de la PrEP</w:t>
            </w:r>
            <w:r w:rsidRPr="00FA5477">
              <w:rPr>
                <w:rFonts w:cs="Arial"/>
              </w:rPr>
              <w:t xml:space="preserve">), del Objetivo Estratégico 2: </w:t>
            </w:r>
            <w:r w:rsidRPr="00FA5477">
              <w:rPr>
                <w:rFonts w:cs="Arial"/>
                <w:i/>
                <w:iCs/>
              </w:rPr>
              <w:t>‘Reducir la vulnerabilidad y el riesgo de transmisión del VIH y las ITS, en el PENM</w:t>
            </w:r>
            <w:r w:rsidR="001E1979" w:rsidRPr="00FA5477">
              <w:rPr>
                <w:rFonts w:cs="Arial"/>
                <w:i/>
                <w:iCs/>
              </w:rPr>
              <w:t>-VIH</w:t>
            </w:r>
            <w:r w:rsidRPr="00FA5477">
              <w:rPr>
                <w:rFonts w:cs="Arial"/>
                <w:i/>
                <w:iCs/>
              </w:rPr>
              <w:t>’.</w:t>
            </w:r>
            <w:r w:rsidR="00756C06" w:rsidRPr="00FA5477">
              <w:rPr>
                <w:rFonts w:cs="Arial"/>
                <w:i/>
                <w:iCs/>
              </w:rPr>
              <w:t xml:space="preserve"> (</w:t>
            </w:r>
            <w:r w:rsidR="005A067C" w:rsidRPr="00FA5477">
              <w:rPr>
                <w:rFonts w:cs="Arial"/>
                <w:i/>
                <w:iCs/>
              </w:rPr>
              <w:t>Anexo 5</w:t>
            </w:r>
            <w:r w:rsidR="00756C06" w:rsidRPr="00FA5477">
              <w:rPr>
                <w:rFonts w:cs="Arial"/>
                <w:i/>
                <w:iCs/>
              </w:rPr>
              <w:t>)</w:t>
            </w:r>
          </w:p>
        </w:tc>
      </w:tr>
      <w:tr w:rsidR="00DE1085" w:rsidRPr="00FA5477" w14:paraId="3ECC24C7" w14:textId="77777777" w:rsidTr="00D803EF">
        <w:trPr>
          <w:trHeight w:val="1206"/>
        </w:trPr>
        <w:tc>
          <w:tcPr>
            <w:tcW w:w="2992" w:type="dxa"/>
            <w:tcBorders>
              <w:bottom w:val="single" w:sz="6" w:space="0" w:color="959595"/>
            </w:tcBorders>
            <w:tcMar>
              <w:left w:w="85" w:type="dxa"/>
              <w:right w:w="85" w:type="dxa"/>
            </w:tcMar>
          </w:tcPr>
          <w:p w14:paraId="0FA262A2" w14:textId="5C245098" w:rsidR="007B4F07" w:rsidRPr="00FA5477" w:rsidRDefault="007B4F07" w:rsidP="00DE07FF">
            <w:pPr>
              <w:pStyle w:val="TableParagraph"/>
              <w:spacing w:before="120" w:after="120" w:line="259" w:lineRule="auto"/>
              <w:jc w:val="both"/>
              <w:rPr>
                <w:rFonts w:cs="Arial"/>
              </w:rPr>
            </w:pPr>
            <w:r w:rsidRPr="00FA5477">
              <w:rPr>
                <w:rFonts w:cs="Arial"/>
              </w:rPr>
              <w:t>HTS-5</w:t>
            </w:r>
            <w:r w:rsidR="002326C2" w:rsidRPr="00FA5477">
              <w:rPr>
                <w:rFonts w:cs="Arial"/>
              </w:rPr>
              <w:t>-Other1</w:t>
            </w:r>
            <w:r w:rsidRPr="00FA5477">
              <w:rPr>
                <w:rFonts w:cs="Arial"/>
              </w:rPr>
              <w:t xml:space="preserve"> Porcentaje de personas recién diagnosticadas con infección por el VIH que han iniciado tratamiento antirretroviral</w:t>
            </w:r>
          </w:p>
        </w:tc>
        <w:tc>
          <w:tcPr>
            <w:tcW w:w="992" w:type="dxa"/>
            <w:tcBorders>
              <w:bottom w:val="single" w:sz="6" w:space="0" w:color="959595"/>
            </w:tcBorders>
            <w:shd w:val="clear" w:color="auto" w:fill="auto"/>
            <w:tcMar>
              <w:left w:w="85" w:type="dxa"/>
              <w:right w:w="85" w:type="dxa"/>
            </w:tcMar>
          </w:tcPr>
          <w:p w14:paraId="63AE8903" w14:textId="59090349" w:rsidR="007B4F07" w:rsidRPr="00FA5477" w:rsidRDefault="007B4F07" w:rsidP="00DE07FF">
            <w:pPr>
              <w:pStyle w:val="TableParagraph"/>
              <w:spacing w:before="120" w:after="120" w:line="259" w:lineRule="auto"/>
              <w:jc w:val="both"/>
              <w:rPr>
                <w:rFonts w:cs="Arial"/>
              </w:rPr>
            </w:pPr>
            <w:r w:rsidRPr="00FA5477">
              <w:rPr>
                <w:rFonts w:cs="Arial"/>
              </w:rPr>
              <w:t>68.99%</w:t>
            </w:r>
          </w:p>
        </w:tc>
        <w:tc>
          <w:tcPr>
            <w:tcW w:w="992" w:type="dxa"/>
            <w:tcBorders>
              <w:bottom w:val="single" w:sz="6" w:space="0" w:color="959595"/>
            </w:tcBorders>
            <w:shd w:val="clear" w:color="auto" w:fill="auto"/>
            <w:tcMar>
              <w:left w:w="85" w:type="dxa"/>
              <w:right w:w="85" w:type="dxa"/>
            </w:tcMar>
          </w:tcPr>
          <w:p w14:paraId="39CB1FB7" w14:textId="0D9A2726" w:rsidR="007B4F07" w:rsidRPr="00FA5477" w:rsidRDefault="007B4F07" w:rsidP="00DE07FF">
            <w:pPr>
              <w:pStyle w:val="TableParagraph"/>
              <w:spacing w:before="120" w:after="120" w:line="259" w:lineRule="auto"/>
              <w:jc w:val="both"/>
              <w:rPr>
                <w:rFonts w:cs="Arial"/>
              </w:rPr>
            </w:pPr>
            <w:r w:rsidRPr="00FA5477">
              <w:rPr>
                <w:rFonts w:cs="Arial"/>
              </w:rPr>
              <w:t>7</w:t>
            </w:r>
            <w:r w:rsidR="002326C2" w:rsidRPr="00FA5477">
              <w:rPr>
                <w:rFonts w:cs="Arial"/>
              </w:rPr>
              <w:t>2</w:t>
            </w:r>
            <w:r w:rsidRPr="00FA5477">
              <w:rPr>
                <w:rFonts w:cs="Arial"/>
              </w:rPr>
              <w:t>.</w:t>
            </w:r>
            <w:r w:rsidR="002326C2" w:rsidRPr="00FA5477">
              <w:rPr>
                <w:rFonts w:cs="Arial"/>
              </w:rPr>
              <w:t>00</w:t>
            </w:r>
            <w:r w:rsidRPr="00FA5477">
              <w:rPr>
                <w:rFonts w:cs="Arial"/>
              </w:rPr>
              <w:t>%</w:t>
            </w:r>
          </w:p>
        </w:tc>
        <w:tc>
          <w:tcPr>
            <w:tcW w:w="996" w:type="dxa"/>
            <w:tcBorders>
              <w:bottom w:val="single" w:sz="6" w:space="0" w:color="959595"/>
            </w:tcBorders>
            <w:shd w:val="clear" w:color="auto" w:fill="auto"/>
            <w:tcMar>
              <w:left w:w="85" w:type="dxa"/>
              <w:right w:w="85" w:type="dxa"/>
            </w:tcMar>
          </w:tcPr>
          <w:p w14:paraId="408C9156" w14:textId="21D03A50" w:rsidR="007B4F07" w:rsidRPr="00FA5477" w:rsidRDefault="007B4F07" w:rsidP="00DE07FF">
            <w:pPr>
              <w:pStyle w:val="TableParagraph"/>
              <w:spacing w:before="120" w:after="120" w:line="259" w:lineRule="auto"/>
              <w:jc w:val="both"/>
              <w:rPr>
                <w:rFonts w:cs="Arial"/>
              </w:rPr>
            </w:pPr>
            <w:r w:rsidRPr="00FA5477">
              <w:rPr>
                <w:rFonts w:cs="Arial"/>
              </w:rPr>
              <w:t>7</w:t>
            </w:r>
            <w:r w:rsidR="002326C2" w:rsidRPr="00FA5477">
              <w:rPr>
                <w:rFonts w:cs="Arial"/>
              </w:rPr>
              <w:t>5</w:t>
            </w:r>
            <w:r w:rsidRPr="00FA5477">
              <w:rPr>
                <w:rFonts w:cs="Arial"/>
              </w:rPr>
              <w:t>.</w:t>
            </w:r>
            <w:r w:rsidR="002326C2" w:rsidRPr="00FA5477">
              <w:rPr>
                <w:rFonts w:cs="Arial"/>
              </w:rPr>
              <w:t>00</w:t>
            </w:r>
            <w:r w:rsidRPr="00FA5477">
              <w:rPr>
                <w:rFonts w:cs="Arial"/>
              </w:rPr>
              <w:t>%</w:t>
            </w:r>
          </w:p>
        </w:tc>
        <w:tc>
          <w:tcPr>
            <w:tcW w:w="1039" w:type="dxa"/>
            <w:tcBorders>
              <w:bottom w:val="single" w:sz="6" w:space="0" w:color="959595"/>
            </w:tcBorders>
            <w:shd w:val="clear" w:color="auto" w:fill="auto"/>
            <w:tcMar>
              <w:left w:w="85" w:type="dxa"/>
              <w:right w:w="85" w:type="dxa"/>
            </w:tcMar>
          </w:tcPr>
          <w:p w14:paraId="6BB0729F" w14:textId="00D242E6" w:rsidR="007B4F07" w:rsidRPr="00FA5477" w:rsidRDefault="007B4F07" w:rsidP="00DE07FF">
            <w:pPr>
              <w:pStyle w:val="TableParagraph"/>
              <w:spacing w:before="120" w:after="120" w:line="259" w:lineRule="auto"/>
              <w:jc w:val="both"/>
              <w:rPr>
                <w:rFonts w:cs="Arial"/>
              </w:rPr>
            </w:pPr>
            <w:r w:rsidRPr="00FA5477">
              <w:rPr>
                <w:rFonts w:cs="Arial"/>
              </w:rPr>
              <w:t>7</w:t>
            </w:r>
            <w:r w:rsidR="002326C2" w:rsidRPr="00FA5477">
              <w:rPr>
                <w:rFonts w:cs="Arial"/>
              </w:rPr>
              <w:t>8</w:t>
            </w:r>
            <w:r w:rsidRPr="00FA5477">
              <w:rPr>
                <w:rFonts w:cs="Arial"/>
              </w:rPr>
              <w:t>.</w:t>
            </w:r>
            <w:r w:rsidR="002326C2" w:rsidRPr="00FA5477">
              <w:rPr>
                <w:rFonts w:cs="Arial"/>
              </w:rPr>
              <w:t>00</w:t>
            </w:r>
            <w:r w:rsidRPr="00FA5477">
              <w:rPr>
                <w:rFonts w:cs="Arial"/>
              </w:rPr>
              <w:t>%</w:t>
            </w:r>
          </w:p>
        </w:tc>
        <w:tc>
          <w:tcPr>
            <w:tcW w:w="3777" w:type="dxa"/>
            <w:tcBorders>
              <w:bottom w:val="single" w:sz="6" w:space="0" w:color="959595"/>
            </w:tcBorders>
            <w:shd w:val="clear" w:color="auto" w:fill="auto"/>
            <w:tcMar>
              <w:left w:w="85" w:type="dxa"/>
              <w:right w:w="85" w:type="dxa"/>
            </w:tcMar>
          </w:tcPr>
          <w:p w14:paraId="6B2A2A8E" w14:textId="7AF88612" w:rsidR="007B4F07" w:rsidRPr="00FA5477" w:rsidRDefault="00F66D85" w:rsidP="00DE07FF">
            <w:pPr>
              <w:pStyle w:val="TableParagraph"/>
              <w:spacing w:before="120" w:after="120" w:line="259" w:lineRule="auto"/>
              <w:jc w:val="both"/>
              <w:rPr>
                <w:rFonts w:cs="Arial"/>
              </w:rPr>
            </w:pPr>
            <w:r w:rsidRPr="00FA5477">
              <w:rPr>
                <w:rFonts w:cs="Arial"/>
              </w:rPr>
              <w:t>Con esta intervención se pretende mejorar los resultados de vinculación y adherencia con lo cual se espera obtener un mayor porcentaje de personas con VIH que cuentan con una CV suprimida y por ende mejorar los pilares de la cascada de atención en busca del 95-95-95. El mejorar el pilar de retención de la cascada de atención, es prioridad durante el período de la subvención</w:t>
            </w:r>
            <w:r w:rsidR="007B4F07" w:rsidRPr="00FA5477">
              <w:rPr>
                <w:rFonts w:cs="Arial"/>
              </w:rPr>
              <w:t>.</w:t>
            </w:r>
            <w:r w:rsidR="005B5BED" w:rsidRPr="00FA5477">
              <w:rPr>
                <w:rFonts w:cs="Arial"/>
              </w:rPr>
              <w:t xml:space="preserve"> Con la ayuda de PEPFAR se ha logrado mejorar la vinculación temprana a la TAR lo cual se pretende mejorar con la apertura de 10 nuevos hospitales con clínicas de atención integral para la dispensación de TAR y la atención de personas con VIH, ampliando así una mayor cobertura geográfica.</w:t>
            </w:r>
          </w:p>
        </w:tc>
        <w:tc>
          <w:tcPr>
            <w:tcW w:w="1559" w:type="dxa"/>
            <w:tcBorders>
              <w:bottom w:val="single" w:sz="6" w:space="0" w:color="959595"/>
            </w:tcBorders>
            <w:shd w:val="clear" w:color="auto" w:fill="auto"/>
            <w:tcMar>
              <w:left w:w="85" w:type="dxa"/>
              <w:right w:w="85" w:type="dxa"/>
            </w:tcMar>
          </w:tcPr>
          <w:p w14:paraId="4BAF7FE6" w14:textId="6F2090A8" w:rsidR="007B4F07" w:rsidRPr="00FA5477" w:rsidRDefault="00844F49" w:rsidP="00DE07FF">
            <w:pPr>
              <w:pStyle w:val="TableParagraph"/>
              <w:spacing w:before="120" w:after="120" w:line="259" w:lineRule="auto"/>
              <w:jc w:val="both"/>
              <w:rPr>
                <w:rFonts w:cs="Arial"/>
                <w:b/>
                <w:bCs/>
              </w:rPr>
            </w:pPr>
            <w:r w:rsidRPr="00FA5477">
              <w:rPr>
                <w:rFonts w:cs="Arial"/>
                <w:b/>
                <w:bCs/>
              </w:rPr>
              <w:t>USD 1,078,700.</w:t>
            </w:r>
            <w:r w:rsidR="00907F27">
              <w:rPr>
                <w:rFonts w:cs="Arial"/>
                <w:b/>
                <w:bCs/>
              </w:rPr>
              <w:t>5</w:t>
            </w:r>
            <w:r w:rsidRPr="00FA5477">
              <w:rPr>
                <w:rFonts w:cs="Arial"/>
                <w:b/>
                <w:bCs/>
              </w:rPr>
              <w:t>0</w:t>
            </w:r>
          </w:p>
        </w:tc>
        <w:tc>
          <w:tcPr>
            <w:tcW w:w="2410" w:type="dxa"/>
            <w:tcBorders>
              <w:bottom w:val="single" w:sz="6" w:space="0" w:color="959595"/>
            </w:tcBorders>
            <w:shd w:val="clear" w:color="auto" w:fill="auto"/>
            <w:tcMar>
              <w:left w:w="85" w:type="dxa"/>
              <w:right w:w="85" w:type="dxa"/>
            </w:tcMar>
          </w:tcPr>
          <w:p w14:paraId="2691FC65" w14:textId="77777777" w:rsidR="007B4F07" w:rsidRPr="00FA5477" w:rsidRDefault="005232E0" w:rsidP="00DE07FF">
            <w:pPr>
              <w:pStyle w:val="TableParagraph"/>
              <w:spacing w:before="120" w:after="480" w:line="259" w:lineRule="auto"/>
              <w:jc w:val="both"/>
              <w:rPr>
                <w:rFonts w:cs="Arial"/>
              </w:rPr>
            </w:pPr>
            <w:r w:rsidRPr="00FA5477">
              <w:rPr>
                <w:rFonts w:cs="Arial"/>
              </w:rPr>
              <w:t>Reducidas las brechas de vinculación, retención y tratamiento con el objetivo de poder elevar la proporción de personas con supresión viral.</w:t>
            </w:r>
          </w:p>
          <w:p w14:paraId="2882C25B" w14:textId="77777777" w:rsidR="00DE07FF" w:rsidRPr="00FA5477" w:rsidRDefault="00DE07FF" w:rsidP="00DE07FF">
            <w:pPr>
              <w:pStyle w:val="TableParagraph"/>
              <w:spacing w:before="120" w:after="480" w:line="259" w:lineRule="auto"/>
              <w:jc w:val="both"/>
              <w:rPr>
                <w:rFonts w:cs="Arial"/>
              </w:rPr>
            </w:pPr>
          </w:p>
          <w:p w14:paraId="77C74AF9" w14:textId="77777777" w:rsidR="00DE07FF" w:rsidRPr="00FA5477" w:rsidRDefault="00DE07FF" w:rsidP="00DE07FF">
            <w:pPr>
              <w:pStyle w:val="TableParagraph"/>
              <w:spacing w:before="120" w:after="480" w:line="259" w:lineRule="auto"/>
              <w:jc w:val="both"/>
              <w:rPr>
                <w:rFonts w:cs="Arial"/>
              </w:rPr>
            </w:pPr>
          </w:p>
          <w:p w14:paraId="26CA6D34" w14:textId="0830F9FA" w:rsidR="009F6044" w:rsidRPr="00FA5477" w:rsidRDefault="009F6044" w:rsidP="00DE07FF">
            <w:pPr>
              <w:pStyle w:val="TableParagraph"/>
              <w:spacing w:before="360" w:after="120" w:line="259" w:lineRule="auto"/>
              <w:jc w:val="both"/>
              <w:rPr>
                <w:rFonts w:cs="Arial"/>
                <w:i/>
                <w:iCs/>
              </w:rPr>
            </w:pPr>
            <w:r w:rsidRPr="00FA5477">
              <w:rPr>
                <w:rFonts w:cs="Arial"/>
                <w:i/>
                <w:iCs/>
              </w:rPr>
              <w:t xml:space="preserve">Las acciones para incorporar a TAR a personas recién diagnosticadas están contenidas en la Línea de Acción </w:t>
            </w:r>
            <w:bookmarkStart w:id="4" w:name="_Hlk164957108"/>
            <w:r w:rsidRPr="00FA5477">
              <w:rPr>
                <w:rFonts w:cs="Arial"/>
                <w:i/>
                <w:iCs/>
              </w:rPr>
              <w:t>4.1. Fortalecimiento de la vinculación de personas diagnosticadas con VIH a los servicios de atención integral,</w:t>
            </w:r>
            <w:bookmarkEnd w:id="4"/>
            <w:r w:rsidRPr="00FA5477">
              <w:rPr>
                <w:rFonts w:cs="Arial"/>
                <w:i/>
                <w:iCs/>
              </w:rPr>
              <w:t xml:space="preserve"> del Objetivo Estratégico 4: Proveer atención integral y oportuna a las personas con VIH e ITS.</w:t>
            </w:r>
          </w:p>
        </w:tc>
      </w:tr>
      <w:tr w:rsidR="00DE1085" w:rsidRPr="00FA5477" w14:paraId="529552D8" w14:textId="77777777" w:rsidTr="00D803EF">
        <w:trPr>
          <w:trHeight w:val="275"/>
        </w:trPr>
        <w:tc>
          <w:tcPr>
            <w:tcW w:w="2992" w:type="dxa"/>
            <w:tcBorders>
              <w:top w:val="nil"/>
            </w:tcBorders>
            <w:tcMar>
              <w:left w:w="85" w:type="dxa"/>
              <w:right w:w="85" w:type="dxa"/>
            </w:tcMar>
          </w:tcPr>
          <w:p w14:paraId="18AB3AFC" w14:textId="646FD7A3" w:rsidR="007B4F07" w:rsidRPr="00FA5477" w:rsidRDefault="007B4F07" w:rsidP="00DE07FF">
            <w:pPr>
              <w:pStyle w:val="TableParagraph"/>
              <w:spacing w:before="120" w:after="120" w:line="259" w:lineRule="auto"/>
              <w:jc w:val="both"/>
              <w:rPr>
                <w:rFonts w:cs="Arial"/>
              </w:rPr>
            </w:pPr>
            <w:r w:rsidRPr="00FA5477">
              <w:rPr>
                <w:rFonts w:cs="Arial"/>
              </w:rPr>
              <w:t>TCS-1.1</w:t>
            </w:r>
            <w:r w:rsidR="00E8273A" w:rsidRPr="00FA5477">
              <w:rPr>
                <w:rFonts w:cs="Arial"/>
              </w:rPr>
              <w:t>-Other1</w:t>
            </w:r>
            <w:r w:rsidRPr="00FA5477">
              <w:rPr>
                <w:rFonts w:cs="Arial"/>
              </w:rPr>
              <w:t xml:space="preserve"> Porcentaje de personas en tratamiento antirretroviral entre todas las personas que viven con el VIH al final del período de reporte</w:t>
            </w:r>
          </w:p>
        </w:tc>
        <w:tc>
          <w:tcPr>
            <w:tcW w:w="992" w:type="dxa"/>
            <w:tcBorders>
              <w:top w:val="nil"/>
            </w:tcBorders>
            <w:shd w:val="clear" w:color="auto" w:fill="auto"/>
            <w:tcMar>
              <w:left w:w="85" w:type="dxa"/>
              <w:right w:w="85" w:type="dxa"/>
            </w:tcMar>
          </w:tcPr>
          <w:p w14:paraId="7C029396" w14:textId="2F1BCF3F" w:rsidR="007B4F07" w:rsidRPr="00FA5477" w:rsidRDefault="007B4F07" w:rsidP="00DE07FF">
            <w:pPr>
              <w:pStyle w:val="TableParagraph"/>
              <w:spacing w:before="120" w:after="120" w:line="259" w:lineRule="auto"/>
              <w:jc w:val="both"/>
              <w:rPr>
                <w:rFonts w:cs="Arial"/>
              </w:rPr>
            </w:pPr>
            <w:r w:rsidRPr="00FA5477">
              <w:rPr>
                <w:rFonts w:cs="Arial"/>
              </w:rPr>
              <w:t>6</w:t>
            </w:r>
            <w:r w:rsidR="00E8273A" w:rsidRPr="00FA5477">
              <w:rPr>
                <w:rFonts w:cs="Arial"/>
              </w:rPr>
              <w:t>8.90</w:t>
            </w:r>
            <w:r w:rsidRPr="00FA5477">
              <w:rPr>
                <w:rFonts w:cs="Arial"/>
              </w:rPr>
              <w:t>%</w:t>
            </w:r>
          </w:p>
        </w:tc>
        <w:tc>
          <w:tcPr>
            <w:tcW w:w="992" w:type="dxa"/>
            <w:tcBorders>
              <w:top w:val="nil"/>
            </w:tcBorders>
            <w:shd w:val="clear" w:color="auto" w:fill="auto"/>
            <w:tcMar>
              <w:left w:w="85" w:type="dxa"/>
              <w:right w:w="85" w:type="dxa"/>
            </w:tcMar>
          </w:tcPr>
          <w:p w14:paraId="09E4CA9F" w14:textId="65A5AFAD" w:rsidR="007B4F07" w:rsidRPr="00FA5477" w:rsidRDefault="00E8273A" w:rsidP="00DE07FF">
            <w:pPr>
              <w:pStyle w:val="TableParagraph"/>
              <w:spacing w:before="120" w:after="120" w:line="259" w:lineRule="auto"/>
              <w:jc w:val="both"/>
              <w:rPr>
                <w:rFonts w:cs="Arial"/>
              </w:rPr>
            </w:pPr>
            <w:r w:rsidRPr="00FA5477">
              <w:rPr>
                <w:rFonts w:cs="Arial"/>
              </w:rPr>
              <w:t>82.23</w:t>
            </w:r>
            <w:r w:rsidR="007B4F07" w:rsidRPr="00FA5477">
              <w:rPr>
                <w:rFonts w:cs="Arial"/>
              </w:rPr>
              <w:t>%</w:t>
            </w:r>
          </w:p>
        </w:tc>
        <w:tc>
          <w:tcPr>
            <w:tcW w:w="996" w:type="dxa"/>
            <w:tcBorders>
              <w:top w:val="nil"/>
            </w:tcBorders>
            <w:shd w:val="clear" w:color="auto" w:fill="auto"/>
            <w:tcMar>
              <w:left w:w="85" w:type="dxa"/>
              <w:right w:w="85" w:type="dxa"/>
            </w:tcMar>
          </w:tcPr>
          <w:p w14:paraId="293DE33F" w14:textId="4D51082D" w:rsidR="007B4F07" w:rsidRPr="00FA5477" w:rsidRDefault="00E8273A" w:rsidP="00DE07FF">
            <w:pPr>
              <w:pStyle w:val="TableParagraph"/>
              <w:spacing w:before="120" w:after="120" w:line="259" w:lineRule="auto"/>
              <w:jc w:val="both"/>
              <w:rPr>
                <w:rFonts w:cs="Arial"/>
              </w:rPr>
            </w:pPr>
            <w:r w:rsidRPr="00FA5477">
              <w:rPr>
                <w:rFonts w:cs="Arial"/>
              </w:rPr>
              <w:t>84.81</w:t>
            </w:r>
            <w:r w:rsidR="007B4F07" w:rsidRPr="00FA5477">
              <w:rPr>
                <w:rFonts w:cs="Arial"/>
              </w:rPr>
              <w:t>%</w:t>
            </w:r>
          </w:p>
        </w:tc>
        <w:tc>
          <w:tcPr>
            <w:tcW w:w="1039" w:type="dxa"/>
            <w:tcBorders>
              <w:top w:val="nil"/>
            </w:tcBorders>
            <w:shd w:val="clear" w:color="auto" w:fill="auto"/>
            <w:tcMar>
              <w:left w:w="85" w:type="dxa"/>
              <w:right w:w="85" w:type="dxa"/>
            </w:tcMar>
          </w:tcPr>
          <w:p w14:paraId="4643A52E" w14:textId="54AB8434" w:rsidR="007B4F07" w:rsidRPr="00FA5477" w:rsidRDefault="00E8273A" w:rsidP="00DE07FF">
            <w:pPr>
              <w:pStyle w:val="TableParagraph"/>
              <w:spacing w:before="120" w:after="120" w:line="259" w:lineRule="auto"/>
              <w:jc w:val="both"/>
              <w:rPr>
                <w:rFonts w:cs="Arial"/>
              </w:rPr>
            </w:pPr>
            <w:r w:rsidRPr="00FA5477">
              <w:rPr>
                <w:rFonts w:cs="Arial"/>
              </w:rPr>
              <w:t>87.36</w:t>
            </w:r>
            <w:r w:rsidR="007B4F07" w:rsidRPr="00FA5477">
              <w:rPr>
                <w:rFonts w:cs="Arial"/>
              </w:rPr>
              <w:t>%</w:t>
            </w:r>
          </w:p>
        </w:tc>
        <w:tc>
          <w:tcPr>
            <w:tcW w:w="3777" w:type="dxa"/>
            <w:tcBorders>
              <w:top w:val="nil"/>
            </w:tcBorders>
            <w:shd w:val="clear" w:color="auto" w:fill="auto"/>
            <w:tcMar>
              <w:left w:w="85" w:type="dxa"/>
              <w:right w:w="85" w:type="dxa"/>
            </w:tcMar>
          </w:tcPr>
          <w:p w14:paraId="2C249F84" w14:textId="402EA510" w:rsidR="007B4F07" w:rsidRPr="00FA5477" w:rsidRDefault="00AF4A19" w:rsidP="00DE07FF">
            <w:pPr>
              <w:pStyle w:val="TableParagraph"/>
              <w:spacing w:before="120" w:after="120" w:line="259" w:lineRule="auto"/>
              <w:jc w:val="both"/>
              <w:rPr>
                <w:rFonts w:cs="Arial"/>
              </w:rPr>
            </w:pPr>
            <w:r w:rsidRPr="00FA5477">
              <w:rPr>
                <w:rFonts w:cs="Arial"/>
              </w:rPr>
              <w:t>Este indicador nos permite dar seguimiento a las personas en TAR, dando importancia a disminuir la brecha de personas no retenidas para la mejora de este pilar de la cascada de atención, que nos conduce por ende a mejorar los otros dos pilares de atención lo cual es prioridad en esta intervención.</w:t>
            </w:r>
            <w:r w:rsidR="005B5BED" w:rsidRPr="00FA5477">
              <w:rPr>
                <w:rFonts w:cs="Arial"/>
              </w:rPr>
              <w:t xml:space="preserve"> Para ampliar cobertura geográfica y acercar los servicios de atención a las personas con VIH, se </w:t>
            </w:r>
            <w:proofErr w:type="spellStart"/>
            <w:r w:rsidR="005B5BED" w:rsidRPr="00FA5477">
              <w:rPr>
                <w:rFonts w:cs="Arial"/>
              </w:rPr>
              <w:t>aperturará</w:t>
            </w:r>
            <w:proofErr w:type="spellEnd"/>
            <w:r w:rsidR="005B5BED" w:rsidRPr="00FA5477">
              <w:rPr>
                <w:rFonts w:cs="Arial"/>
              </w:rPr>
              <w:t xml:space="preserve"> 10 hospitales con clínicas de atención integral y se continuará con la entrega domiciliar de medicamento. Para poder brindar mayor cobertura a la población y mejorar la retención el personal se apoyará de sus promotores para realizar visitas domiciliarias o llamadas telefónicas/mensajería a los usuarios faltantes a su cita de control.</w:t>
            </w:r>
          </w:p>
        </w:tc>
        <w:tc>
          <w:tcPr>
            <w:tcW w:w="1559" w:type="dxa"/>
            <w:tcBorders>
              <w:top w:val="nil"/>
            </w:tcBorders>
            <w:shd w:val="clear" w:color="auto" w:fill="auto"/>
            <w:tcMar>
              <w:left w:w="85" w:type="dxa"/>
              <w:right w:w="85" w:type="dxa"/>
            </w:tcMar>
          </w:tcPr>
          <w:p w14:paraId="14086193" w14:textId="1DE59DE5" w:rsidR="007B4F07" w:rsidRPr="00FA5477" w:rsidRDefault="00844F49" w:rsidP="00DE07FF">
            <w:pPr>
              <w:pStyle w:val="TableParagraph"/>
              <w:spacing w:before="120" w:after="120" w:line="259" w:lineRule="auto"/>
              <w:jc w:val="both"/>
              <w:rPr>
                <w:rFonts w:cs="Arial"/>
              </w:rPr>
            </w:pPr>
            <w:r w:rsidRPr="00FA5477">
              <w:rPr>
                <w:rFonts w:cs="Arial"/>
                <w:b/>
                <w:bCs/>
              </w:rPr>
              <w:t>USD 1,078,700.</w:t>
            </w:r>
            <w:r w:rsidR="00907F27">
              <w:rPr>
                <w:rFonts w:cs="Arial"/>
                <w:b/>
                <w:bCs/>
              </w:rPr>
              <w:t>5</w:t>
            </w:r>
            <w:r w:rsidRPr="00FA5477">
              <w:rPr>
                <w:rFonts w:cs="Arial"/>
                <w:b/>
                <w:bCs/>
              </w:rPr>
              <w:t>0</w:t>
            </w:r>
          </w:p>
        </w:tc>
        <w:tc>
          <w:tcPr>
            <w:tcW w:w="2410" w:type="dxa"/>
            <w:tcBorders>
              <w:top w:val="nil"/>
            </w:tcBorders>
            <w:shd w:val="clear" w:color="auto" w:fill="auto"/>
            <w:tcMar>
              <w:left w:w="85" w:type="dxa"/>
              <w:right w:w="85" w:type="dxa"/>
            </w:tcMar>
          </w:tcPr>
          <w:p w14:paraId="00D54017" w14:textId="77777777" w:rsidR="007B4F07" w:rsidRPr="00FA5477" w:rsidRDefault="007515D5" w:rsidP="00DE07FF">
            <w:pPr>
              <w:pStyle w:val="TableParagraph"/>
              <w:spacing w:before="120" w:after="120" w:line="259" w:lineRule="auto"/>
              <w:jc w:val="both"/>
              <w:rPr>
                <w:rFonts w:cs="Arial"/>
              </w:rPr>
            </w:pPr>
            <w:r w:rsidRPr="00FA5477">
              <w:rPr>
                <w:rFonts w:cs="Arial"/>
              </w:rPr>
              <w:t>Incrementado</w:t>
            </w:r>
            <w:r w:rsidR="007B4F07" w:rsidRPr="00FA5477">
              <w:rPr>
                <w:rFonts w:cs="Arial"/>
              </w:rPr>
              <w:t xml:space="preserve"> el número de personas viviendo con VIH que se encuentran en terapia antirretroviral para acercarnos a las metas 2030 de ONUSIDA y contribuir a la supresión viral de las personas con VIH, conjuntamente con la disminución de la prevalencia de esta enfermedad.</w:t>
            </w:r>
          </w:p>
          <w:p w14:paraId="2ABF0A81" w14:textId="77777777" w:rsidR="009F6044" w:rsidRPr="00FA5477" w:rsidRDefault="009F6044" w:rsidP="00DE07FF">
            <w:pPr>
              <w:pStyle w:val="TableParagraph"/>
              <w:spacing w:before="120" w:after="120" w:line="259" w:lineRule="auto"/>
              <w:jc w:val="both"/>
              <w:rPr>
                <w:rFonts w:cs="Arial"/>
              </w:rPr>
            </w:pPr>
          </w:p>
          <w:p w14:paraId="2093F6FB" w14:textId="43447364" w:rsidR="009F6044" w:rsidRPr="00FA5477" w:rsidRDefault="009F6044" w:rsidP="00DE07FF">
            <w:pPr>
              <w:pStyle w:val="TableParagraph"/>
              <w:spacing w:before="120" w:after="120" w:line="259" w:lineRule="auto"/>
              <w:jc w:val="both"/>
              <w:rPr>
                <w:rFonts w:cs="Arial"/>
                <w:i/>
                <w:iCs/>
              </w:rPr>
            </w:pPr>
            <w:r w:rsidRPr="00FA5477">
              <w:rPr>
                <w:rFonts w:cs="Arial"/>
                <w:i/>
                <w:iCs/>
              </w:rPr>
              <w:t xml:space="preserve">Las acciones para conservar en retención a personas con VIH -incluyendo el tratamiento con ARV- están contenidas en la Línea de Acción 4.3. Aseguramiento de la atención integral y acceso al TAR de las PV., del </w:t>
            </w:r>
            <w:bookmarkStart w:id="5" w:name="_Hlk164956830"/>
            <w:r w:rsidRPr="00FA5477">
              <w:rPr>
                <w:rFonts w:cs="Arial"/>
                <w:i/>
                <w:iCs/>
              </w:rPr>
              <w:t>Objetivo Estratégico 4: Proveer atención integral y oportuna a las personas con VIH e ITS.</w:t>
            </w:r>
            <w:bookmarkEnd w:id="5"/>
          </w:p>
        </w:tc>
      </w:tr>
      <w:tr w:rsidR="00DE1085" w:rsidRPr="00FA5477" w14:paraId="4917886A" w14:textId="77777777" w:rsidTr="00D803EF">
        <w:trPr>
          <w:trHeight w:val="272"/>
        </w:trPr>
        <w:tc>
          <w:tcPr>
            <w:tcW w:w="2992" w:type="dxa"/>
            <w:tcMar>
              <w:left w:w="85" w:type="dxa"/>
              <w:right w:w="85" w:type="dxa"/>
            </w:tcMar>
          </w:tcPr>
          <w:p w14:paraId="090D40CE" w14:textId="22F025F6" w:rsidR="007B4F07" w:rsidRPr="00FA5477" w:rsidRDefault="007B4F07" w:rsidP="00DE07FF">
            <w:pPr>
              <w:pStyle w:val="TableParagraph"/>
              <w:spacing w:before="120" w:after="120" w:line="259" w:lineRule="auto"/>
              <w:jc w:val="both"/>
              <w:rPr>
                <w:rFonts w:cs="Arial"/>
              </w:rPr>
            </w:pPr>
            <w:r w:rsidRPr="00FA5477">
              <w:rPr>
                <w:rFonts w:cs="Arial"/>
              </w:rPr>
              <w:t>TB/HIV-3.1a</w:t>
            </w:r>
            <w:r w:rsidR="00790B09" w:rsidRPr="00FA5477">
              <w:rPr>
                <w:rFonts w:cs="Arial"/>
              </w:rPr>
              <w:t>-Other1</w:t>
            </w:r>
            <w:r w:rsidRPr="00FA5477">
              <w:rPr>
                <w:rFonts w:cs="Arial"/>
              </w:rPr>
              <w:t xml:space="preserve"> Porcentaje de personas que viven con el VIH que acaban de iniciar el tratamiento antirretroviral y que fueron sometidas a pruebas de tuberculosis</w:t>
            </w:r>
          </w:p>
        </w:tc>
        <w:tc>
          <w:tcPr>
            <w:tcW w:w="992" w:type="dxa"/>
            <w:shd w:val="clear" w:color="auto" w:fill="auto"/>
            <w:tcMar>
              <w:left w:w="85" w:type="dxa"/>
              <w:right w:w="85" w:type="dxa"/>
            </w:tcMar>
          </w:tcPr>
          <w:p w14:paraId="5C7BC8CB" w14:textId="77777777" w:rsidR="007B4F07" w:rsidRPr="00FA5477" w:rsidRDefault="007B4F07" w:rsidP="00DE07FF">
            <w:pPr>
              <w:pStyle w:val="TableParagraph"/>
              <w:spacing w:before="120" w:after="120" w:line="259" w:lineRule="auto"/>
              <w:jc w:val="both"/>
              <w:rPr>
                <w:rFonts w:cs="Arial"/>
              </w:rPr>
            </w:pPr>
            <w:r w:rsidRPr="00FA5477">
              <w:rPr>
                <w:rFonts w:cs="Arial"/>
              </w:rPr>
              <w:t>ND</w:t>
            </w:r>
          </w:p>
        </w:tc>
        <w:tc>
          <w:tcPr>
            <w:tcW w:w="992" w:type="dxa"/>
            <w:shd w:val="clear" w:color="auto" w:fill="auto"/>
            <w:tcMar>
              <w:left w:w="85" w:type="dxa"/>
              <w:right w:w="85" w:type="dxa"/>
            </w:tcMar>
          </w:tcPr>
          <w:p w14:paraId="13D30929" w14:textId="1FE002D4" w:rsidR="007B4F07" w:rsidRPr="00FA5477" w:rsidRDefault="007B4F07" w:rsidP="00DE07FF">
            <w:pPr>
              <w:pStyle w:val="TableParagraph"/>
              <w:spacing w:before="120" w:after="120" w:line="259" w:lineRule="auto"/>
              <w:jc w:val="both"/>
              <w:rPr>
                <w:rFonts w:cs="Arial"/>
              </w:rPr>
            </w:pPr>
            <w:r w:rsidRPr="00FA5477">
              <w:rPr>
                <w:rFonts w:cs="Arial"/>
              </w:rPr>
              <w:t>8</w:t>
            </w:r>
            <w:r w:rsidR="00E701FF" w:rsidRPr="00FA5477">
              <w:rPr>
                <w:rFonts w:cs="Arial"/>
              </w:rPr>
              <w:t>0</w:t>
            </w:r>
            <w:r w:rsidRPr="00FA5477">
              <w:rPr>
                <w:rFonts w:cs="Arial"/>
              </w:rPr>
              <w:t>%</w:t>
            </w:r>
          </w:p>
        </w:tc>
        <w:tc>
          <w:tcPr>
            <w:tcW w:w="996" w:type="dxa"/>
            <w:shd w:val="clear" w:color="auto" w:fill="auto"/>
            <w:tcMar>
              <w:left w:w="85" w:type="dxa"/>
              <w:right w:w="85" w:type="dxa"/>
            </w:tcMar>
          </w:tcPr>
          <w:p w14:paraId="22133593" w14:textId="2754E2E7" w:rsidR="007B4F07" w:rsidRPr="00FA5477" w:rsidRDefault="00E701FF" w:rsidP="00DE07FF">
            <w:pPr>
              <w:pStyle w:val="TableParagraph"/>
              <w:spacing w:before="120" w:after="120" w:line="259" w:lineRule="auto"/>
              <w:jc w:val="both"/>
              <w:rPr>
                <w:rFonts w:cs="Arial"/>
              </w:rPr>
            </w:pPr>
            <w:r w:rsidRPr="00FA5477">
              <w:rPr>
                <w:rFonts w:cs="Arial"/>
              </w:rPr>
              <w:t>85</w:t>
            </w:r>
            <w:r w:rsidR="007B4F07" w:rsidRPr="00FA5477">
              <w:rPr>
                <w:rFonts w:cs="Arial"/>
              </w:rPr>
              <w:t>%</w:t>
            </w:r>
          </w:p>
        </w:tc>
        <w:tc>
          <w:tcPr>
            <w:tcW w:w="1039" w:type="dxa"/>
            <w:shd w:val="clear" w:color="auto" w:fill="auto"/>
            <w:tcMar>
              <w:left w:w="85" w:type="dxa"/>
              <w:right w:w="85" w:type="dxa"/>
            </w:tcMar>
          </w:tcPr>
          <w:p w14:paraId="55FB0D69" w14:textId="2D13C4E1" w:rsidR="007B4F07" w:rsidRPr="00FA5477" w:rsidRDefault="007B4F07" w:rsidP="00DE07FF">
            <w:pPr>
              <w:pStyle w:val="TableParagraph"/>
              <w:spacing w:before="120" w:after="120" w:line="259" w:lineRule="auto"/>
              <w:jc w:val="both"/>
              <w:rPr>
                <w:rFonts w:cs="Arial"/>
              </w:rPr>
            </w:pPr>
            <w:r w:rsidRPr="00FA5477">
              <w:rPr>
                <w:rFonts w:cs="Arial"/>
              </w:rPr>
              <w:t>9</w:t>
            </w:r>
            <w:r w:rsidR="00E701FF" w:rsidRPr="00FA5477">
              <w:rPr>
                <w:rFonts w:cs="Arial"/>
              </w:rPr>
              <w:t>0</w:t>
            </w:r>
            <w:r w:rsidRPr="00FA5477">
              <w:rPr>
                <w:rFonts w:cs="Arial"/>
              </w:rPr>
              <w:t>%</w:t>
            </w:r>
          </w:p>
        </w:tc>
        <w:tc>
          <w:tcPr>
            <w:tcW w:w="3777" w:type="dxa"/>
            <w:shd w:val="clear" w:color="auto" w:fill="auto"/>
            <w:tcMar>
              <w:left w:w="85" w:type="dxa"/>
              <w:right w:w="85" w:type="dxa"/>
            </w:tcMar>
          </w:tcPr>
          <w:p w14:paraId="1B3E5A27" w14:textId="028AFA70" w:rsidR="007B4F07" w:rsidRPr="00FA5477" w:rsidRDefault="007B4F07" w:rsidP="00DE07FF">
            <w:pPr>
              <w:pStyle w:val="TableParagraph"/>
              <w:spacing w:before="120" w:after="120" w:line="259" w:lineRule="auto"/>
              <w:jc w:val="both"/>
              <w:rPr>
                <w:rFonts w:cs="Arial"/>
              </w:rPr>
            </w:pPr>
            <w:r w:rsidRPr="00FA5477">
              <w:rPr>
                <w:rFonts w:cs="Arial"/>
              </w:rPr>
              <w:t>La coinfección TB/VIH representa un desafío en la atención de las personas viviendo con VIH, lo que conlleva un aumenta de la morbimortalidad y complicaciones clínicas, por lo que el tamizaje de la TB es fundamental y prioritaria en la estrategia de intervención focalizada en las PV, con lo que se podrá diagnosticar los casos de TB existentes y brindar tratamiento oportuno para así disminuir la mortalidad por esta coinfección.</w:t>
            </w:r>
            <w:r w:rsidR="00394D59" w:rsidRPr="00FA5477">
              <w:rPr>
                <w:rFonts w:cs="Arial"/>
              </w:rPr>
              <w:t xml:space="preserve"> Se espera con la incorporación de esta información en el SUMEVE obtener un mejor registro que permita identificar a las personas a los que se les está realizando el tamizaje para TB, conociendo esta información se pretende mejorar la cobertura con el seguimiento a los médicos que prestan la atención en los servicios de las CAI que atienden a las personas con VIH.</w:t>
            </w:r>
          </w:p>
        </w:tc>
        <w:tc>
          <w:tcPr>
            <w:tcW w:w="1559" w:type="dxa"/>
            <w:shd w:val="clear" w:color="auto" w:fill="auto"/>
            <w:tcMar>
              <w:left w:w="85" w:type="dxa"/>
              <w:right w:w="85" w:type="dxa"/>
            </w:tcMar>
          </w:tcPr>
          <w:p w14:paraId="421537F3" w14:textId="177FC53C" w:rsidR="007B4F07" w:rsidRPr="00FA5477" w:rsidRDefault="00844F49" w:rsidP="00DE07FF">
            <w:pPr>
              <w:pStyle w:val="TableParagraph"/>
              <w:spacing w:before="120" w:after="120" w:line="259" w:lineRule="auto"/>
              <w:jc w:val="both"/>
              <w:rPr>
                <w:rFonts w:cs="Arial"/>
              </w:rPr>
            </w:pPr>
            <w:r w:rsidRPr="00FA5477">
              <w:rPr>
                <w:rFonts w:cs="Arial"/>
                <w:b/>
                <w:bCs/>
              </w:rPr>
              <w:t>USD 1,078,700.</w:t>
            </w:r>
            <w:r w:rsidR="00907F27">
              <w:rPr>
                <w:rFonts w:cs="Arial"/>
                <w:b/>
                <w:bCs/>
              </w:rPr>
              <w:t>5</w:t>
            </w:r>
            <w:r w:rsidRPr="00FA5477">
              <w:rPr>
                <w:rFonts w:cs="Arial"/>
                <w:b/>
                <w:bCs/>
              </w:rPr>
              <w:t>0</w:t>
            </w:r>
          </w:p>
        </w:tc>
        <w:tc>
          <w:tcPr>
            <w:tcW w:w="2410" w:type="dxa"/>
            <w:shd w:val="clear" w:color="auto" w:fill="auto"/>
            <w:tcMar>
              <w:left w:w="85" w:type="dxa"/>
              <w:right w:w="85" w:type="dxa"/>
            </w:tcMar>
          </w:tcPr>
          <w:p w14:paraId="3C265177" w14:textId="05287661" w:rsidR="007B4F07" w:rsidRPr="00FA5477" w:rsidRDefault="007B4F07" w:rsidP="00DE07FF">
            <w:pPr>
              <w:pStyle w:val="TableParagraph"/>
              <w:spacing w:before="120" w:after="120" w:line="259" w:lineRule="auto"/>
              <w:jc w:val="both"/>
              <w:rPr>
                <w:rFonts w:cs="Arial"/>
              </w:rPr>
            </w:pPr>
            <w:r w:rsidRPr="00FA5477">
              <w:rPr>
                <w:rFonts w:cs="Arial"/>
              </w:rPr>
              <w:t>Disminuida la mortalidad por coinfección T</w:t>
            </w:r>
            <w:r w:rsidR="00EB502D" w:rsidRPr="00FA5477">
              <w:rPr>
                <w:rFonts w:cs="Arial"/>
              </w:rPr>
              <w:t>B/</w:t>
            </w:r>
            <w:r w:rsidRPr="00FA5477">
              <w:rPr>
                <w:rFonts w:cs="Arial"/>
              </w:rPr>
              <w:t>VIH realizando un diagnóstico y tratamiento oportuno.</w:t>
            </w:r>
          </w:p>
          <w:p w14:paraId="77B55D54" w14:textId="77777777" w:rsidR="009F6044" w:rsidRPr="00FA5477" w:rsidRDefault="009F6044" w:rsidP="00DE07FF">
            <w:pPr>
              <w:pStyle w:val="TableParagraph"/>
              <w:spacing w:before="120" w:after="120" w:line="259" w:lineRule="auto"/>
              <w:jc w:val="both"/>
              <w:rPr>
                <w:rFonts w:cs="Arial"/>
              </w:rPr>
            </w:pPr>
          </w:p>
          <w:p w14:paraId="43103E71" w14:textId="49691437" w:rsidR="009F6044" w:rsidRPr="00FA5477" w:rsidRDefault="009F6044" w:rsidP="00DE07FF">
            <w:pPr>
              <w:pStyle w:val="TableParagraph"/>
              <w:spacing w:before="120" w:after="120" w:line="259" w:lineRule="auto"/>
              <w:jc w:val="both"/>
              <w:rPr>
                <w:rFonts w:cs="Arial"/>
                <w:i/>
                <w:iCs/>
              </w:rPr>
            </w:pPr>
            <w:r w:rsidRPr="00FA5477">
              <w:rPr>
                <w:rFonts w:cs="Arial"/>
                <w:i/>
                <w:iCs/>
              </w:rPr>
              <w:t xml:space="preserve">Las acciones para el abordaje de la coinfección TB/VIH están contenidas en la Línea de Acción 4.4. Prevención y manejo integral y oportuno de la coinfección VIH, </w:t>
            </w:r>
            <w:r w:rsidR="001334A9" w:rsidRPr="00FA5477">
              <w:rPr>
                <w:rFonts w:cs="Arial"/>
                <w:i/>
                <w:iCs/>
              </w:rPr>
              <w:t>TB, del</w:t>
            </w:r>
            <w:r w:rsidRPr="00FA5477">
              <w:rPr>
                <w:rFonts w:cs="Arial"/>
                <w:i/>
                <w:iCs/>
              </w:rPr>
              <w:t xml:space="preserve"> Objetivo Estratégico 4: Proveer atención integral y oportuna a las personas con VIH e ITS</w:t>
            </w:r>
          </w:p>
        </w:tc>
      </w:tr>
    </w:tbl>
    <w:p w14:paraId="4CBEB6C3" w14:textId="460C9194" w:rsidR="00DE07FF" w:rsidRPr="00FA5477" w:rsidRDefault="008B2B26" w:rsidP="00DE07FF">
      <w:pPr>
        <w:spacing w:before="60" w:after="60"/>
        <w:ind w:left="113"/>
        <w:rPr>
          <w:rFonts w:ascii="Arial" w:hAnsi="Arial"/>
          <w:i/>
          <w:sz w:val="20"/>
        </w:rPr>
        <w:sectPr w:rsidR="00DE07FF" w:rsidRPr="00FA5477" w:rsidSect="003632F2">
          <w:pgSz w:w="16840" w:h="11910" w:orient="landscape"/>
          <w:pgMar w:top="780" w:right="740" w:bottom="880" w:left="740" w:header="0" w:footer="690" w:gutter="0"/>
          <w:cols w:space="720"/>
        </w:sectPr>
      </w:pPr>
      <w:r w:rsidRPr="00FA5477">
        <w:rPr>
          <w:rFonts w:ascii="Arial" w:hAnsi="Arial"/>
          <w:i/>
          <w:sz w:val="20"/>
        </w:rPr>
        <w:t>Los</w:t>
      </w:r>
      <w:r w:rsidRPr="00FA5477">
        <w:rPr>
          <w:rFonts w:ascii="Arial" w:hAnsi="Arial"/>
          <w:i/>
          <w:spacing w:val="-4"/>
          <w:sz w:val="20"/>
        </w:rPr>
        <w:t xml:space="preserve"> </w:t>
      </w:r>
      <w:r w:rsidRPr="00FA5477">
        <w:rPr>
          <w:rFonts w:ascii="Arial" w:hAnsi="Arial"/>
          <w:i/>
          <w:sz w:val="20"/>
        </w:rPr>
        <w:t>países</w:t>
      </w:r>
      <w:r w:rsidRPr="00FA5477">
        <w:rPr>
          <w:rFonts w:ascii="Arial" w:hAnsi="Arial"/>
          <w:i/>
          <w:spacing w:val="-1"/>
          <w:sz w:val="20"/>
        </w:rPr>
        <w:t xml:space="preserve"> </w:t>
      </w:r>
      <w:r w:rsidRPr="00FA5477">
        <w:rPr>
          <w:rFonts w:ascii="Arial" w:hAnsi="Arial"/>
          <w:i/>
          <w:sz w:val="20"/>
        </w:rPr>
        <w:t>deben</w:t>
      </w:r>
      <w:r w:rsidRPr="00FA5477">
        <w:rPr>
          <w:rFonts w:ascii="Arial" w:hAnsi="Arial"/>
          <w:i/>
          <w:spacing w:val="-5"/>
          <w:sz w:val="20"/>
        </w:rPr>
        <w:t xml:space="preserve"> </w:t>
      </w:r>
      <w:r w:rsidRPr="00FA5477">
        <w:rPr>
          <w:rFonts w:ascii="Arial" w:hAnsi="Arial"/>
          <w:i/>
          <w:sz w:val="20"/>
        </w:rPr>
        <w:t>discutir</w:t>
      </w:r>
      <w:r w:rsidRPr="00FA5477">
        <w:rPr>
          <w:rFonts w:ascii="Arial" w:hAnsi="Arial"/>
          <w:i/>
          <w:spacing w:val="-4"/>
          <w:sz w:val="20"/>
        </w:rPr>
        <w:t xml:space="preserve"> </w:t>
      </w:r>
      <w:r w:rsidRPr="00FA5477">
        <w:rPr>
          <w:rFonts w:ascii="Arial" w:hAnsi="Arial"/>
          <w:i/>
          <w:sz w:val="20"/>
        </w:rPr>
        <w:t>con</w:t>
      </w:r>
      <w:r w:rsidRPr="00FA5477">
        <w:rPr>
          <w:rFonts w:ascii="Arial" w:hAnsi="Arial"/>
          <w:i/>
          <w:spacing w:val="-5"/>
          <w:sz w:val="20"/>
        </w:rPr>
        <w:t xml:space="preserve"> </w:t>
      </w:r>
      <w:r w:rsidRPr="00FA5477">
        <w:rPr>
          <w:rFonts w:ascii="Arial" w:hAnsi="Arial"/>
          <w:i/>
          <w:sz w:val="20"/>
        </w:rPr>
        <w:t>sus</w:t>
      </w:r>
      <w:r w:rsidRPr="00FA5477">
        <w:rPr>
          <w:rFonts w:ascii="Arial" w:hAnsi="Arial"/>
          <w:i/>
          <w:spacing w:val="-3"/>
          <w:sz w:val="20"/>
        </w:rPr>
        <w:t xml:space="preserve"> </w:t>
      </w:r>
      <w:r w:rsidRPr="00FA5477">
        <w:rPr>
          <w:rFonts w:ascii="Arial" w:hAnsi="Arial"/>
          <w:i/>
          <w:sz w:val="20"/>
        </w:rPr>
        <w:t>Equipos</w:t>
      </w:r>
      <w:r w:rsidRPr="00FA5477">
        <w:rPr>
          <w:rFonts w:ascii="Arial" w:hAnsi="Arial"/>
          <w:i/>
          <w:spacing w:val="-3"/>
          <w:sz w:val="20"/>
        </w:rPr>
        <w:t xml:space="preserve"> </w:t>
      </w:r>
      <w:r w:rsidRPr="00FA5477">
        <w:rPr>
          <w:rFonts w:ascii="Arial" w:hAnsi="Arial"/>
          <w:i/>
          <w:sz w:val="20"/>
        </w:rPr>
        <w:t>de</w:t>
      </w:r>
      <w:r w:rsidRPr="00FA5477">
        <w:rPr>
          <w:rFonts w:ascii="Arial" w:hAnsi="Arial"/>
          <w:i/>
          <w:spacing w:val="-5"/>
          <w:sz w:val="20"/>
        </w:rPr>
        <w:t xml:space="preserve"> </w:t>
      </w:r>
      <w:r w:rsidRPr="00FA5477">
        <w:rPr>
          <w:rFonts w:ascii="Arial" w:hAnsi="Arial"/>
          <w:i/>
          <w:sz w:val="20"/>
        </w:rPr>
        <w:t>País</w:t>
      </w:r>
      <w:r w:rsidRPr="00FA5477">
        <w:rPr>
          <w:rFonts w:ascii="Arial" w:hAnsi="Arial"/>
          <w:i/>
          <w:spacing w:val="-3"/>
          <w:sz w:val="20"/>
        </w:rPr>
        <w:t xml:space="preserve"> </w:t>
      </w:r>
      <w:r w:rsidRPr="00FA5477">
        <w:rPr>
          <w:rFonts w:ascii="Arial" w:hAnsi="Arial"/>
          <w:i/>
          <w:sz w:val="20"/>
        </w:rPr>
        <w:t>si</w:t>
      </w:r>
      <w:r w:rsidRPr="00FA5477">
        <w:rPr>
          <w:rFonts w:ascii="Arial" w:hAnsi="Arial"/>
          <w:i/>
          <w:spacing w:val="-3"/>
          <w:sz w:val="20"/>
        </w:rPr>
        <w:t xml:space="preserve"> </w:t>
      </w:r>
      <w:r w:rsidRPr="00FA5477">
        <w:rPr>
          <w:rFonts w:ascii="Arial" w:hAnsi="Arial"/>
          <w:i/>
          <w:sz w:val="20"/>
        </w:rPr>
        <w:t>están</w:t>
      </w:r>
      <w:r w:rsidRPr="00FA5477">
        <w:rPr>
          <w:rFonts w:ascii="Arial" w:hAnsi="Arial"/>
          <w:i/>
          <w:spacing w:val="-4"/>
          <w:sz w:val="20"/>
        </w:rPr>
        <w:t xml:space="preserve"> </w:t>
      </w:r>
      <w:r w:rsidRPr="00FA5477">
        <w:rPr>
          <w:rFonts w:ascii="Arial" w:hAnsi="Arial"/>
          <w:i/>
          <w:sz w:val="20"/>
        </w:rPr>
        <w:t>considerando</w:t>
      </w:r>
      <w:r w:rsidRPr="00FA5477">
        <w:rPr>
          <w:rFonts w:ascii="Arial" w:hAnsi="Arial"/>
          <w:i/>
          <w:spacing w:val="-3"/>
          <w:sz w:val="20"/>
        </w:rPr>
        <w:t xml:space="preserve"> </w:t>
      </w:r>
      <w:r w:rsidRPr="00FA5477">
        <w:rPr>
          <w:rFonts w:ascii="Arial" w:hAnsi="Arial"/>
          <w:i/>
          <w:sz w:val="20"/>
        </w:rPr>
        <w:t>el</w:t>
      </w:r>
      <w:r w:rsidRPr="00FA5477">
        <w:rPr>
          <w:rFonts w:ascii="Arial" w:hAnsi="Arial"/>
          <w:i/>
          <w:spacing w:val="-3"/>
          <w:sz w:val="20"/>
        </w:rPr>
        <w:t xml:space="preserve"> </w:t>
      </w:r>
      <w:r w:rsidRPr="00FA5477">
        <w:rPr>
          <w:rFonts w:ascii="Arial" w:hAnsi="Arial"/>
          <w:i/>
          <w:sz w:val="20"/>
        </w:rPr>
        <w:t>uso</w:t>
      </w:r>
      <w:r w:rsidRPr="00FA5477">
        <w:rPr>
          <w:rFonts w:ascii="Arial" w:hAnsi="Arial"/>
          <w:i/>
          <w:spacing w:val="-2"/>
          <w:sz w:val="20"/>
        </w:rPr>
        <w:t xml:space="preserve"> </w:t>
      </w:r>
      <w:r w:rsidRPr="00FA5477">
        <w:rPr>
          <w:rFonts w:ascii="Arial" w:hAnsi="Arial"/>
          <w:i/>
          <w:sz w:val="20"/>
        </w:rPr>
        <w:t>de</w:t>
      </w:r>
      <w:r w:rsidRPr="00FA5477">
        <w:rPr>
          <w:rFonts w:ascii="Arial" w:hAnsi="Arial"/>
          <w:i/>
          <w:spacing w:val="-5"/>
          <w:sz w:val="20"/>
        </w:rPr>
        <w:t xml:space="preserve"> </w:t>
      </w:r>
      <w:r w:rsidRPr="00FA5477">
        <w:rPr>
          <w:rFonts w:ascii="Arial" w:hAnsi="Arial"/>
          <w:i/>
          <w:sz w:val="20"/>
        </w:rPr>
        <w:t>una</w:t>
      </w:r>
      <w:r w:rsidRPr="00FA5477">
        <w:rPr>
          <w:rFonts w:ascii="Arial" w:hAnsi="Arial"/>
          <w:i/>
          <w:spacing w:val="4"/>
          <w:sz w:val="20"/>
        </w:rPr>
        <w:t xml:space="preserve"> </w:t>
      </w:r>
      <w:r w:rsidRPr="00FA5477">
        <w:rPr>
          <w:rFonts w:ascii="Arial" w:hAnsi="Arial"/>
          <w:i/>
          <w:sz w:val="20"/>
        </w:rPr>
        <w:t>modalidad</w:t>
      </w:r>
      <w:r w:rsidRPr="00FA5477">
        <w:rPr>
          <w:rFonts w:ascii="Arial" w:hAnsi="Arial"/>
          <w:i/>
          <w:spacing w:val="-4"/>
          <w:sz w:val="20"/>
        </w:rPr>
        <w:t xml:space="preserve"> </w:t>
      </w:r>
      <w:r w:rsidRPr="00FA5477">
        <w:rPr>
          <w:rFonts w:ascii="Arial" w:hAnsi="Arial"/>
          <w:i/>
          <w:sz w:val="20"/>
        </w:rPr>
        <w:t>de</w:t>
      </w:r>
      <w:r w:rsidRPr="00FA5477">
        <w:rPr>
          <w:rFonts w:ascii="Arial" w:hAnsi="Arial"/>
          <w:i/>
          <w:spacing w:val="-3"/>
          <w:sz w:val="20"/>
        </w:rPr>
        <w:t xml:space="preserve"> </w:t>
      </w:r>
      <w:r w:rsidRPr="00FA5477">
        <w:rPr>
          <w:rFonts w:ascii="Arial" w:hAnsi="Arial"/>
          <w:i/>
          <w:sz w:val="20"/>
        </w:rPr>
        <w:t>pago</w:t>
      </w:r>
      <w:r w:rsidRPr="00FA5477">
        <w:rPr>
          <w:rFonts w:ascii="Arial" w:hAnsi="Arial"/>
          <w:i/>
          <w:spacing w:val="-3"/>
          <w:sz w:val="20"/>
        </w:rPr>
        <w:t xml:space="preserve"> </w:t>
      </w:r>
      <w:r w:rsidRPr="00FA5477">
        <w:rPr>
          <w:rFonts w:ascii="Arial" w:hAnsi="Arial"/>
          <w:i/>
          <w:sz w:val="20"/>
        </w:rPr>
        <w:t>por</w:t>
      </w:r>
      <w:r w:rsidRPr="00FA5477">
        <w:rPr>
          <w:rFonts w:ascii="Arial" w:hAnsi="Arial"/>
          <w:i/>
          <w:spacing w:val="-3"/>
          <w:sz w:val="20"/>
        </w:rPr>
        <w:t xml:space="preserve"> </w:t>
      </w:r>
      <w:r w:rsidRPr="00FA5477">
        <w:rPr>
          <w:rFonts w:ascii="Arial" w:hAnsi="Arial"/>
          <w:i/>
          <w:sz w:val="20"/>
        </w:rPr>
        <w:t>resultados</w:t>
      </w:r>
      <w:r w:rsidRPr="00FA5477">
        <w:rPr>
          <w:rFonts w:ascii="Arial" w:hAnsi="Arial"/>
          <w:i/>
          <w:spacing w:val="-4"/>
          <w:sz w:val="20"/>
        </w:rPr>
        <w:t xml:space="preserve"> </w:t>
      </w:r>
      <w:r w:rsidRPr="00FA5477">
        <w:rPr>
          <w:rFonts w:ascii="Arial" w:hAnsi="Arial"/>
          <w:i/>
          <w:sz w:val="20"/>
        </w:rPr>
        <w:t>como</w:t>
      </w:r>
      <w:r w:rsidRPr="00FA5477">
        <w:rPr>
          <w:rFonts w:ascii="Arial" w:hAnsi="Arial"/>
          <w:i/>
          <w:spacing w:val="-2"/>
          <w:sz w:val="20"/>
        </w:rPr>
        <w:t xml:space="preserve"> </w:t>
      </w:r>
      <w:r w:rsidRPr="00FA5477">
        <w:rPr>
          <w:rFonts w:ascii="Arial" w:hAnsi="Arial"/>
          <w:i/>
          <w:sz w:val="20"/>
        </w:rPr>
        <w:t>base</w:t>
      </w:r>
      <w:r w:rsidRPr="00FA5477">
        <w:rPr>
          <w:rFonts w:ascii="Arial" w:hAnsi="Arial"/>
          <w:i/>
          <w:spacing w:val="-2"/>
          <w:sz w:val="20"/>
        </w:rPr>
        <w:t xml:space="preserve"> </w:t>
      </w:r>
      <w:r w:rsidRPr="00FA5477">
        <w:rPr>
          <w:rFonts w:ascii="Arial" w:hAnsi="Arial"/>
          <w:i/>
          <w:sz w:val="20"/>
        </w:rPr>
        <w:t>de</w:t>
      </w:r>
      <w:r w:rsidRPr="00FA5477">
        <w:rPr>
          <w:rFonts w:ascii="Arial" w:hAnsi="Arial"/>
          <w:i/>
          <w:spacing w:val="-5"/>
          <w:sz w:val="20"/>
        </w:rPr>
        <w:t xml:space="preserve"> </w:t>
      </w:r>
      <w:r w:rsidRPr="00FA5477">
        <w:rPr>
          <w:rFonts w:ascii="Arial" w:hAnsi="Arial"/>
          <w:i/>
          <w:sz w:val="20"/>
        </w:rPr>
        <w:t>la</w:t>
      </w:r>
      <w:r w:rsidRPr="00FA5477">
        <w:rPr>
          <w:rFonts w:ascii="Arial" w:hAnsi="Arial"/>
          <w:i/>
          <w:spacing w:val="-5"/>
          <w:sz w:val="20"/>
        </w:rPr>
        <w:t xml:space="preserve"> </w:t>
      </w:r>
      <w:r w:rsidRPr="00FA5477">
        <w:rPr>
          <w:rFonts w:ascii="Arial" w:hAnsi="Arial"/>
          <w:i/>
          <w:sz w:val="20"/>
        </w:rPr>
        <w:t>solicitud</w:t>
      </w:r>
      <w:r w:rsidRPr="00FA5477">
        <w:rPr>
          <w:rFonts w:ascii="Arial" w:hAnsi="Arial"/>
          <w:i/>
          <w:spacing w:val="-5"/>
          <w:sz w:val="20"/>
        </w:rPr>
        <w:t xml:space="preserve"> </w:t>
      </w:r>
      <w:r w:rsidRPr="00FA5477">
        <w:rPr>
          <w:rFonts w:ascii="Arial" w:hAnsi="Arial"/>
          <w:i/>
          <w:sz w:val="20"/>
        </w:rPr>
        <w:t>de</w:t>
      </w:r>
      <w:r w:rsidRPr="00FA5477">
        <w:rPr>
          <w:rFonts w:ascii="Arial" w:hAnsi="Arial"/>
          <w:i/>
          <w:spacing w:val="-4"/>
          <w:sz w:val="20"/>
        </w:rPr>
        <w:t xml:space="preserve"> </w:t>
      </w:r>
      <w:r w:rsidRPr="00FA5477">
        <w:rPr>
          <w:rFonts w:ascii="Arial" w:hAnsi="Arial"/>
          <w:i/>
          <w:sz w:val="20"/>
        </w:rPr>
        <w:t>financiamiento.</w:t>
      </w:r>
    </w:p>
    <w:p w14:paraId="04F0DB29" w14:textId="77777777" w:rsidR="00DE07FF" w:rsidRPr="00FA5477" w:rsidRDefault="00DE07FF" w:rsidP="00DE07FF">
      <w:pPr>
        <w:spacing w:before="120"/>
        <w:rPr>
          <w:sz w:val="24"/>
        </w:rPr>
      </w:pPr>
      <w:r w:rsidRPr="00FA5477">
        <w:rPr>
          <w:sz w:val="24"/>
        </w:rPr>
        <w:t>Explique cómo se va a garantizar la exactitud y fiabilidad de los resultados que se notifiquen.</w:t>
      </w:r>
    </w:p>
    <w:p w14:paraId="27146ABE" w14:textId="7867DC5A" w:rsidR="00DE07FF" w:rsidRPr="00FA5477" w:rsidRDefault="00DE07FF" w:rsidP="006607F8">
      <w:pPr>
        <w:spacing w:before="60" w:after="120" w:line="259" w:lineRule="auto"/>
        <w:jc w:val="both"/>
      </w:pPr>
      <w:r w:rsidRPr="00FA5477">
        <w:t xml:space="preserve">La realización de las actividades en los establecimientos de salud y las </w:t>
      </w:r>
      <w:r w:rsidR="00B36C53">
        <w:t>extramuros son</w:t>
      </w:r>
      <w:r w:rsidRPr="00FA5477">
        <w:t xml:space="preserve"> supervisada en forma planificada por las instancias gerenciales, y se incluye la supervisión del registro de los datos en los formatos correspondientes según el tipo de actividad brindada. También se realiza supervisión de la ‘grabación’ de los datos en el Sistema Único de Monitoreo, Evaluación y Vigilancia Epidemiológica del VIH – SUMEVE, realizando sesiones de control de calidad entre personal del programa y la dirección de tecnologías de la información y comunicación en el MINSAL. El SUMEVE, como parte de todo el Sistema Único de Información en Salud, cumple con la política procedimental descrita en el ‘Manual de operación del área de ciberseguridad´</w:t>
      </w:r>
      <w:r w:rsidR="00DA6F5E" w:rsidRPr="00FA5477">
        <w:rPr>
          <w:rStyle w:val="Refdenotaalpie"/>
        </w:rPr>
        <w:footnoteReference w:id="3"/>
      </w:r>
      <w:r w:rsidRPr="00FA5477">
        <w:t>, que engloba la gestión y mantenimiento de los equipos del área, los procesos y aplicación de reglas y acciones de seguridad, así como la creación de respaldos y el monitoreo de eventos.</w:t>
      </w:r>
    </w:p>
    <w:p w14:paraId="554FD35D" w14:textId="77777777" w:rsidR="00DE07FF" w:rsidRPr="00FA5477" w:rsidRDefault="00DE07FF" w:rsidP="006607F8">
      <w:pPr>
        <w:spacing w:before="60" w:after="120" w:line="259" w:lineRule="auto"/>
        <w:jc w:val="both"/>
      </w:pPr>
      <w:r w:rsidRPr="00FA5477">
        <w:t xml:space="preserve">El SUMEVE es un sistema de información sólido que fue desarrollado por el Ministerio de Salud desde 2008, ha contado con apoyo técnico y financiero de donantes internacionales -incluyendo la OPS|OMS y el Fondo Mundial-, ha recibido revisiones de calidad e integridad de los datos, ha tenido dos ejercicios de Objetivos y Revisión a la Calidad del Dato (Target y DQR por sus siglas en inglés) lo que ha permitido validar los datos, con lo que este sistema ha reforzado la transparencia, validez y confiabilidad de los resultados obtenidos de las intervenciones. En él se registra la información de acciones desarrolladas por todos los actores de la respuesta nacional, así muestra información completa y actualizada, estando disponible en línea la generación de reportes interactivos (en forma tabular y gráfica) y tableros de mando que facilitan a todos los actores el análisis de la situación de la epidemia en forma periódica y con ello contribuye a la toma de decisiones técnicas, administrativas, operativas y estratégicas. </w:t>
      </w:r>
    </w:p>
    <w:p w14:paraId="726C768A" w14:textId="6D4A992D" w:rsidR="00DE07FF" w:rsidRPr="00FA5477" w:rsidRDefault="00DE07FF" w:rsidP="006607F8">
      <w:pPr>
        <w:spacing w:before="60" w:after="120" w:line="259" w:lineRule="auto"/>
        <w:jc w:val="both"/>
      </w:pPr>
      <w:r w:rsidRPr="00FA5477">
        <w:t>El PENM</w:t>
      </w:r>
      <w:r w:rsidR="00EB502D" w:rsidRPr="00FA5477">
        <w:t>-VIH</w:t>
      </w:r>
      <w:r w:rsidRPr="00FA5477">
        <w:t xml:space="preserve"> 2022-2027, para cumplir el objetivo estratégico 7 (‘</w:t>
      </w:r>
      <w:r w:rsidRPr="00FA5477">
        <w:rPr>
          <w:i/>
          <w:iCs/>
        </w:rPr>
        <w:t>Establecer sistemas robustos de gestión, monitoreo y evaluación’</w:t>
      </w:r>
      <w:r w:rsidRPr="00FA5477">
        <w:t xml:space="preserve">) contiene actividades de fortalecimiento de capacidades de actores de la respuesta en el uso de los datos utilizando la información suministrada por SUMEVE. El país, para conservar la confianza que se tiene en este sistema, al ser reconocido como un sistema con recursos técnicos y financieros GOES mantendrá las actividades que aseguren conservar la simplicidad, flexibilidad, aceptabilidad, sensibilidad, representatividad y oportunidad de las que goza en la actualidad. [Para más detalles ver </w:t>
      </w:r>
      <w:r w:rsidR="005A067C" w:rsidRPr="00FA5477">
        <w:t>a</w:t>
      </w:r>
      <w:r w:rsidR="00452F96" w:rsidRPr="00FA5477">
        <w:t>nexo</w:t>
      </w:r>
      <w:r w:rsidR="005A067C" w:rsidRPr="00FA5477">
        <w:t>s</w:t>
      </w:r>
      <w:r w:rsidR="00452F96" w:rsidRPr="00FA5477">
        <w:t xml:space="preserve"> </w:t>
      </w:r>
      <w:r w:rsidR="005A067C" w:rsidRPr="00FA5477">
        <w:t>7</w:t>
      </w:r>
      <w:r w:rsidR="00933169" w:rsidRPr="00FA5477">
        <w:t xml:space="preserve"> y </w:t>
      </w:r>
      <w:r w:rsidR="005A067C" w:rsidRPr="00FA5477">
        <w:t>8</w:t>
      </w:r>
      <w:r w:rsidR="00933169" w:rsidRPr="00FA5477">
        <w:t>]</w:t>
      </w:r>
    </w:p>
    <w:p w14:paraId="06E0792B" w14:textId="79142B70" w:rsidR="00DE07FF" w:rsidRPr="00FA5477" w:rsidRDefault="00DE07FF">
      <w:pPr>
        <w:rPr>
          <w:sz w:val="24"/>
        </w:rPr>
      </w:pPr>
      <w:r w:rsidRPr="00FA5477">
        <w:rPr>
          <w:sz w:val="24"/>
        </w:rPr>
        <w:br w:type="page"/>
      </w:r>
    </w:p>
    <w:p w14:paraId="3B4AA7B2" w14:textId="09FB405A" w:rsidR="000F3D1A" w:rsidRPr="00FA5477" w:rsidRDefault="008B2B26">
      <w:pPr>
        <w:pStyle w:val="Prrafodelista"/>
        <w:numPr>
          <w:ilvl w:val="1"/>
          <w:numId w:val="3"/>
        </w:numPr>
        <w:tabs>
          <w:tab w:val="left" w:pos="853"/>
        </w:tabs>
        <w:spacing w:before="74" w:line="264" w:lineRule="auto"/>
        <w:ind w:left="852" w:right="151" w:hanging="721"/>
        <w:jc w:val="both"/>
        <w:rPr>
          <w:sz w:val="24"/>
        </w:rPr>
      </w:pPr>
      <w:r w:rsidRPr="00FA5477">
        <w:rPr>
          <w:rFonts w:ascii="Arial" w:hAnsi="Arial"/>
          <w:b/>
          <w:sz w:val="24"/>
        </w:rPr>
        <w:t>Justificación:</w:t>
      </w:r>
      <w:r w:rsidRPr="00FA5477">
        <w:rPr>
          <w:rFonts w:ascii="Arial" w:hAnsi="Arial"/>
          <w:b/>
          <w:spacing w:val="1"/>
          <w:sz w:val="24"/>
        </w:rPr>
        <w:t xml:space="preserve"> </w:t>
      </w:r>
      <w:r w:rsidRPr="00FA5477">
        <w:rPr>
          <w:sz w:val="24"/>
        </w:rPr>
        <w:t>proporcione</w:t>
      </w:r>
      <w:r w:rsidRPr="00FA5477">
        <w:rPr>
          <w:spacing w:val="1"/>
          <w:sz w:val="24"/>
        </w:rPr>
        <w:t xml:space="preserve"> </w:t>
      </w:r>
      <w:r w:rsidRPr="00FA5477">
        <w:rPr>
          <w:sz w:val="24"/>
        </w:rPr>
        <w:t>un</w:t>
      </w:r>
      <w:r w:rsidRPr="00FA5477">
        <w:rPr>
          <w:spacing w:val="1"/>
          <w:sz w:val="24"/>
        </w:rPr>
        <w:t xml:space="preserve"> </w:t>
      </w:r>
      <w:bookmarkStart w:id="6" w:name="_Hlk164070983"/>
      <w:r w:rsidRPr="00FA5477">
        <w:rPr>
          <w:sz w:val="24"/>
        </w:rPr>
        <w:t>breve</w:t>
      </w:r>
      <w:r w:rsidRPr="00FA5477">
        <w:rPr>
          <w:spacing w:val="1"/>
          <w:sz w:val="24"/>
        </w:rPr>
        <w:t xml:space="preserve"> </w:t>
      </w:r>
      <w:r w:rsidRPr="00FA5477">
        <w:rPr>
          <w:sz w:val="24"/>
        </w:rPr>
        <w:t>resumen</w:t>
      </w:r>
      <w:r w:rsidRPr="00FA5477">
        <w:rPr>
          <w:spacing w:val="1"/>
          <w:sz w:val="24"/>
        </w:rPr>
        <w:t xml:space="preserve"> </w:t>
      </w:r>
      <w:r w:rsidRPr="00FA5477">
        <w:rPr>
          <w:sz w:val="24"/>
        </w:rPr>
        <w:t>del</w:t>
      </w:r>
      <w:r w:rsidRPr="00FA5477">
        <w:rPr>
          <w:spacing w:val="1"/>
          <w:sz w:val="24"/>
        </w:rPr>
        <w:t xml:space="preserve"> </w:t>
      </w:r>
      <w:r w:rsidRPr="00FA5477">
        <w:rPr>
          <w:sz w:val="24"/>
        </w:rPr>
        <w:t>contexto</w:t>
      </w:r>
      <w:r w:rsidRPr="00FA5477">
        <w:rPr>
          <w:spacing w:val="1"/>
          <w:sz w:val="24"/>
        </w:rPr>
        <w:t xml:space="preserve"> </w:t>
      </w:r>
      <w:r w:rsidRPr="00FA5477">
        <w:rPr>
          <w:sz w:val="24"/>
        </w:rPr>
        <w:t>y</w:t>
      </w:r>
      <w:r w:rsidRPr="00FA5477">
        <w:rPr>
          <w:spacing w:val="1"/>
          <w:sz w:val="24"/>
        </w:rPr>
        <w:t xml:space="preserve"> </w:t>
      </w:r>
      <w:r w:rsidRPr="00FA5477">
        <w:rPr>
          <w:sz w:val="24"/>
        </w:rPr>
        <w:t>las</w:t>
      </w:r>
      <w:r w:rsidRPr="00FA5477">
        <w:rPr>
          <w:spacing w:val="1"/>
          <w:sz w:val="24"/>
        </w:rPr>
        <w:t xml:space="preserve"> </w:t>
      </w:r>
      <w:r w:rsidRPr="00FA5477">
        <w:rPr>
          <w:sz w:val="24"/>
        </w:rPr>
        <w:t>tendencias</w:t>
      </w:r>
      <w:r w:rsidRPr="00FA5477">
        <w:rPr>
          <w:spacing w:val="1"/>
          <w:sz w:val="24"/>
        </w:rPr>
        <w:t xml:space="preserve"> </w:t>
      </w:r>
      <w:r w:rsidRPr="00FA5477">
        <w:rPr>
          <w:sz w:val="24"/>
        </w:rPr>
        <w:t>epidemiológicas pertinentes, los sistemas de salud y las necesidades de la comunidad</w:t>
      </w:r>
      <w:r w:rsidRPr="00FA5477">
        <w:rPr>
          <w:spacing w:val="1"/>
          <w:sz w:val="24"/>
        </w:rPr>
        <w:t xml:space="preserve"> </w:t>
      </w:r>
      <w:r w:rsidRPr="00FA5477">
        <w:rPr>
          <w:sz w:val="24"/>
        </w:rPr>
        <w:t>que</w:t>
      </w:r>
      <w:r w:rsidRPr="00FA5477">
        <w:rPr>
          <w:spacing w:val="-1"/>
          <w:sz w:val="24"/>
        </w:rPr>
        <w:t xml:space="preserve"> </w:t>
      </w:r>
      <w:r w:rsidRPr="00FA5477">
        <w:rPr>
          <w:sz w:val="24"/>
        </w:rPr>
        <w:t>justifiquen la</w:t>
      </w:r>
      <w:r w:rsidRPr="00FA5477">
        <w:rPr>
          <w:spacing w:val="-2"/>
          <w:sz w:val="24"/>
        </w:rPr>
        <w:t xml:space="preserve"> </w:t>
      </w:r>
      <w:r w:rsidRPr="00FA5477">
        <w:rPr>
          <w:sz w:val="24"/>
        </w:rPr>
        <w:t>solicitud</w:t>
      </w:r>
      <w:bookmarkEnd w:id="6"/>
      <w:r w:rsidRPr="00FA5477">
        <w:rPr>
          <w:sz w:val="24"/>
        </w:rPr>
        <w:t>.</w:t>
      </w:r>
    </w:p>
    <w:p w14:paraId="2D59810C" w14:textId="3B8E9FA6" w:rsidR="003F19FC" w:rsidRPr="00FA5477" w:rsidRDefault="00452274" w:rsidP="004725AD">
      <w:pPr>
        <w:spacing w:after="60"/>
        <w:ind w:left="1276" w:right="153"/>
        <w:jc w:val="both"/>
        <w:rPr>
          <w:b/>
          <w:bCs/>
        </w:rPr>
      </w:pPr>
      <w:r w:rsidRPr="00FA5477">
        <w:rPr>
          <w:b/>
          <w:bCs/>
        </w:rPr>
        <w:t>P</w:t>
      </w:r>
      <w:r w:rsidR="003F19FC" w:rsidRPr="00FA5477">
        <w:rPr>
          <w:b/>
          <w:bCs/>
        </w:rPr>
        <w:t>rimer pilar de la cascada del continuo de la atención</w:t>
      </w:r>
    </w:p>
    <w:p w14:paraId="3E524F05" w14:textId="64D9EDD3" w:rsidR="0015433B" w:rsidRPr="00FA5477" w:rsidRDefault="005C13DE" w:rsidP="008748D2">
      <w:pPr>
        <w:spacing w:after="60"/>
        <w:ind w:left="1276" w:right="153"/>
        <w:jc w:val="both"/>
        <w:rPr>
          <w:sz w:val="24"/>
          <w:szCs w:val="24"/>
        </w:rPr>
      </w:pPr>
      <w:r w:rsidRPr="00FA5477">
        <w:rPr>
          <w:noProof/>
          <w:sz w:val="24"/>
          <w:szCs w:val="24"/>
        </w:rPr>
        <w:drawing>
          <wp:anchor distT="0" distB="0" distL="114300" distR="114300" simplePos="0" relativeHeight="251650560" behindDoc="0" locked="0" layoutInCell="1" allowOverlap="1" wp14:anchorId="39DB1864" wp14:editId="7A86D419">
            <wp:simplePos x="0" y="0"/>
            <wp:positionH relativeFrom="column">
              <wp:posOffset>3608070</wp:posOffset>
            </wp:positionH>
            <wp:positionV relativeFrom="paragraph">
              <wp:posOffset>48260</wp:posOffset>
            </wp:positionV>
            <wp:extent cx="2961640" cy="2412365"/>
            <wp:effectExtent l="0" t="0" r="10160" b="6985"/>
            <wp:wrapSquare wrapText="bothSides"/>
            <wp:docPr id="251760245" name="Gráfico 1">
              <a:extLst xmlns:a="http://schemas.openxmlformats.org/drawingml/2006/main">
                <a:ext uri="{FF2B5EF4-FFF2-40B4-BE49-F238E27FC236}">
                  <a16:creationId xmlns:a16="http://schemas.microsoft.com/office/drawing/2014/main" id="{54077D29-E832-C7B0-3CAB-0FD8F53909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3F19FC" w:rsidRPr="00FA5477">
        <w:rPr>
          <w:sz w:val="24"/>
          <w:szCs w:val="24"/>
        </w:rPr>
        <w:t xml:space="preserve">Desde 1984 en que se diagnosticó a la primera persona, hasta finales del 2022 se ha detectado con VIH a 40,672 personas en el país. </w:t>
      </w:r>
      <w:r w:rsidR="006D5382" w:rsidRPr="00FA5477">
        <w:rPr>
          <w:sz w:val="24"/>
          <w:szCs w:val="24"/>
        </w:rPr>
        <w:t>Para ese año se estima que en el país hay 22,960 personas vivas con VIH, y según los registros del SUMEVE hay 20,019 personas que han sido diagnosticadas, lo que representa el 87%, habiendo una brecha de ocho puntos porcentuales respecto a la meta de 95% de personas que tienen la infección sepan que la tienen (diagnóstico), que en términos absolutos la brecha es de 1,793 personas que no saben que tienen VIH</w:t>
      </w:r>
      <w:r w:rsidR="006D5382" w:rsidRPr="00FA5477">
        <w:rPr>
          <w:rStyle w:val="Refdenotaalpie"/>
          <w:sz w:val="24"/>
          <w:szCs w:val="24"/>
        </w:rPr>
        <w:footnoteReference w:id="4"/>
      </w:r>
      <w:r w:rsidR="006D5382" w:rsidRPr="00FA5477">
        <w:rPr>
          <w:sz w:val="24"/>
          <w:szCs w:val="24"/>
        </w:rPr>
        <w:t xml:space="preserve">. </w:t>
      </w:r>
      <w:r w:rsidRPr="00FA5477">
        <w:rPr>
          <w:sz w:val="24"/>
          <w:szCs w:val="24"/>
        </w:rPr>
        <w:t xml:space="preserve">Entre 2013 y 2022 </w:t>
      </w:r>
      <w:r w:rsidR="00197FE2" w:rsidRPr="00FA5477">
        <w:rPr>
          <w:sz w:val="24"/>
          <w:szCs w:val="24"/>
        </w:rPr>
        <w:t>la proporción de personas que tienen VIH oscila entre el 89% en 2015 y 69% en 2013, en el período 2018 a 2022 se observa un sostenido incremento, siendo de 14 puntos porcentuales entre esos dos años</w:t>
      </w:r>
      <w:r w:rsidR="000D20FF" w:rsidRPr="00FA5477">
        <w:rPr>
          <w:rStyle w:val="Refdenotaalpie"/>
          <w:sz w:val="24"/>
          <w:szCs w:val="24"/>
        </w:rPr>
        <w:footnoteReference w:id="5"/>
      </w:r>
      <w:r w:rsidR="002A187B" w:rsidRPr="00FA5477">
        <w:rPr>
          <w:sz w:val="24"/>
          <w:szCs w:val="24"/>
        </w:rPr>
        <w:t xml:space="preserve"> (Gráfico 1)</w:t>
      </w:r>
      <w:r w:rsidR="00197FE2" w:rsidRPr="00FA5477">
        <w:rPr>
          <w:sz w:val="24"/>
          <w:szCs w:val="24"/>
        </w:rPr>
        <w:t xml:space="preserve">. A pesar de los esfuerzos del país en poner a disposición la prueba de VIH -que entre 2009 y 2022 </w:t>
      </w:r>
      <w:r w:rsidR="0015433B" w:rsidRPr="00FA5477">
        <w:rPr>
          <w:sz w:val="24"/>
          <w:szCs w:val="24"/>
        </w:rPr>
        <w:t xml:space="preserve">se contabilizan 5,632,890 pruebas realizadas </w:t>
      </w:r>
      <w:r w:rsidR="00197FE2" w:rsidRPr="00FA5477">
        <w:rPr>
          <w:sz w:val="24"/>
          <w:szCs w:val="24"/>
        </w:rPr>
        <w:t>(</w:t>
      </w:r>
      <w:r w:rsidR="0015433B" w:rsidRPr="00FA5477">
        <w:rPr>
          <w:sz w:val="24"/>
          <w:szCs w:val="24"/>
        </w:rPr>
        <w:t>400 mil pruebas anuales entre 2017 y 2021</w:t>
      </w:r>
      <w:r w:rsidR="00197FE2" w:rsidRPr="00FA5477">
        <w:rPr>
          <w:sz w:val="24"/>
          <w:szCs w:val="24"/>
        </w:rPr>
        <w:t xml:space="preserve"> en promedio)- con la implementación de</w:t>
      </w:r>
      <w:r w:rsidR="000A04CE" w:rsidRPr="00FA5477">
        <w:rPr>
          <w:sz w:val="24"/>
          <w:szCs w:val="24"/>
        </w:rPr>
        <w:t xml:space="preserve"> estrategia</w:t>
      </w:r>
      <w:r w:rsidR="00197FE2" w:rsidRPr="00FA5477">
        <w:rPr>
          <w:sz w:val="24"/>
          <w:szCs w:val="24"/>
        </w:rPr>
        <w:t>s</w:t>
      </w:r>
      <w:r w:rsidR="000A04CE" w:rsidRPr="00FA5477">
        <w:rPr>
          <w:sz w:val="24"/>
          <w:szCs w:val="24"/>
        </w:rPr>
        <w:t xml:space="preserve"> para garantizar el acceso </w:t>
      </w:r>
      <w:r w:rsidR="00197FE2" w:rsidRPr="00FA5477">
        <w:rPr>
          <w:sz w:val="24"/>
          <w:szCs w:val="24"/>
        </w:rPr>
        <w:t>-</w:t>
      </w:r>
      <w:r w:rsidR="000A04CE" w:rsidRPr="00FA5477">
        <w:rPr>
          <w:sz w:val="24"/>
          <w:szCs w:val="24"/>
        </w:rPr>
        <w:t>particularmente a quienes pertenecen a grupos de poblaciones clave</w:t>
      </w:r>
      <w:r w:rsidR="00197FE2" w:rsidRPr="00FA5477">
        <w:rPr>
          <w:sz w:val="24"/>
          <w:szCs w:val="24"/>
        </w:rPr>
        <w:t>,</w:t>
      </w:r>
      <w:r w:rsidR="000A04CE" w:rsidRPr="00FA5477">
        <w:rPr>
          <w:sz w:val="24"/>
          <w:szCs w:val="24"/>
        </w:rPr>
        <w:t xml:space="preserve"> </w:t>
      </w:r>
      <w:r w:rsidR="00197FE2" w:rsidRPr="00FA5477">
        <w:rPr>
          <w:sz w:val="24"/>
          <w:szCs w:val="24"/>
        </w:rPr>
        <w:t xml:space="preserve">como </w:t>
      </w:r>
      <w:r w:rsidR="000A04CE" w:rsidRPr="00FA5477">
        <w:rPr>
          <w:sz w:val="24"/>
          <w:szCs w:val="24"/>
        </w:rPr>
        <w:t>la disponibilidad en establecimientos del MINSAL habilitados con personal entrenado y sensibilizado</w:t>
      </w:r>
      <w:r w:rsidR="001F63A5" w:rsidRPr="00FA5477">
        <w:rPr>
          <w:sz w:val="24"/>
          <w:szCs w:val="24"/>
        </w:rPr>
        <w:t xml:space="preserve"> </w:t>
      </w:r>
      <w:r w:rsidR="00400B8C" w:rsidRPr="00FA5477">
        <w:rPr>
          <w:sz w:val="24"/>
          <w:szCs w:val="24"/>
        </w:rPr>
        <w:t xml:space="preserve">para la atención de personas de población clave en clínicas </w:t>
      </w:r>
      <w:r w:rsidR="001F63A5" w:rsidRPr="00FA5477">
        <w:rPr>
          <w:sz w:val="24"/>
          <w:szCs w:val="24"/>
        </w:rPr>
        <w:t>VICITS</w:t>
      </w:r>
      <w:r w:rsidR="00400B8C" w:rsidRPr="00FA5477">
        <w:rPr>
          <w:sz w:val="24"/>
          <w:szCs w:val="24"/>
        </w:rPr>
        <w:t>/</w:t>
      </w:r>
      <w:r w:rsidR="001F63A5" w:rsidRPr="00FA5477">
        <w:rPr>
          <w:sz w:val="24"/>
          <w:szCs w:val="24"/>
        </w:rPr>
        <w:t xml:space="preserve"> Amigables</w:t>
      </w:r>
      <w:r w:rsidR="00400B8C" w:rsidRPr="00FA5477">
        <w:rPr>
          <w:sz w:val="24"/>
          <w:szCs w:val="24"/>
        </w:rPr>
        <w:t>, donde se ofrecen servicios de prevención como lo son las pruebas de ITS y VIH, condones, lubricantes, salud anal, PrEP</w:t>
      </w:r>
      <w:r w:rsidR="00F34BDD" w:rsidRPr="00FA5477">
        <w:rPr>
          <w:sz w:val="24"/>
          <w:szCs w:val="24"/>
        </w:rPr>
        <w:t>, NAC/NAP, vinculación al tratamiento,</w:t>
      </w:r>
      <w:r w:rsidR="00400B8C" w:rsidRPr="00FA5477">
        <w:rPr>
          <w:sz w:val="24"/>
          <w:szCs w:val="24"/>
        </w:rPr>
        <w:t xml:space="preserve"> entre otros, también se cuenta con este personal en </w:t>
      </w:r>
      <w:r w:rsidR="000A04CE" w:rsidRPr="00FA5477">
        <w:rPr>
          <w:sz w:val="24"/>
          <w:szCs w:val="24"/>
        </w:rPr>
        <w:t xml:space="preserve">unidades móviles que </w:t>
      </w:r>
      <w:r w:rsidR="001F63A5" w:rsidRPr="00FA5477">
        <w:rPr>
          <w:sz w:val="24"/>
          <w:szCs w:val="24"/>
        </w:rPr>
        <w:t xml:space="preserve">llegan a sitios con dificultad geográfica y que -según coordinaciones con organizaciones de sociedad civil de personas claves- funcionan en sitios </w:t>
      </w:r>
      <w:r w:rsidR="0015433B" w:rsidRPr="00FA5477">
        <w:rPr>
          <w:sz w:val="24"/>
          <w:szCs w:val="24"/>
        </w:rPr>
        <w:t xml:space="preserve">y horarios </w:t>
      </w:r>
      <w:r w:rsidR="001F63A5" w:rsidRPr="00FA5477">
        <w:rPr>
          <w:sz w:val="24"/>
          <w:szCs w:val="24"/>
        </w:rPr>
        <w:t xml:space="preserve">de reunión de </w:t>
      </w:r>
      <w:r w:rsidR="00400B8C" w:rsidRPr="00FA5477">
        <w:rPr>
          <w:sz w:val="24"/>
          <w:szCs w:val="24"/>
        </w:rPr>
        <w:t xml:space="preserve">la </w:t>
      </w:r>
      <w:r w:rsidR="001F63A5" w:rsidRPr="00FA5477">
        <w:rPr>
          <w:sz w:val="24"/>
          <w:szCs w:val="24"/>
        </w:rPr>
        <w:t xml:space="preserve">poblaciones </w:t>
      </w:r>
      <w:r w:rsidR="00400B8C" w:rsidRPr="00FA5477">
        <w:rPr>
          <w:sz w:val="24"/>
          <w:szCs w:val="24"/>
        </w:rPr>
        <w:t>citada</w:t>
      </w:r>
      <w:r w:rsidR="003007EF" w:rsidRPr="00FA5477">
        <w:rPr>
          <w:sz w:val="24"/>
          <w:szCs w:val="24"/>
        </w:rPr>
        <w:t>,</w:t>
      </w:r>
      <w:r w:rsidR="00F34BDD" w:rsidRPr="00FA5477">
        <w:rPr>
          <w:sz w:val="24"/>
          <w:szCs w:val="24"/>
        </w:rPr>
        <w:t xml:space="preserve"> en donde se les ofrece servicios para pruebas de VIH, acompañamiento para el búsqueda de alternativas para el manejo del riesgo sustancial. Aún con todas estas intervenciones quedan </w:t>
      </w:r>
      <w:r w:rsidR="000D20FF" w:rsidRPr="00FA5477">
        <w:rPr>
          <w:sz w:val="24"/>
          <w:szCs w:val="24"/>
        </w:rPr>
        <w:t xml:space="preserve">por diagnosticar </w:t>
      </w:r>
      <w:r w:rsidR="003007EF" w:rsidRPr="00FA5477">
        <w:rPr>
          <w:sz w:val="24"/>
          <w:szCs w:val="24"/>
        </w:rPr>
        <w:t xml:space="preserve">casi tres mil personas </w:t>
      </w:r>
      <w:r w:rsidR="000D20FF" w:rsidRPr="00FA5477">
        <w:rPr>
          <w:sz w:val="24"/>
          <w:szCs w:val="24"/>
        </w:rPr>
        <w:t>– siendo mayormente personas en mayor vulnerabilidad y precariedad, por lo que las intervenciones propuestas en la presente solicitud contribuirán a continuar reduciendo la brecha,</w:t>
      </w:r>
      <w:r w:rsidR="00F34BDD" w:rsidRPr="00FA5477">
        <w:rPr>
          <w:sz w:val="24"/>
          <w:szCs w:val="24"/>
        </w:rPr>
        <w:t xml:space="preserve"> aumentando la cobertura geográfica con la apertura de servicios de PrEP de 15 a 25 establecimientos que la ofertan, en las cuales también se incluirá la PrEP a demanda para que el usuario tenga otras alternativas de prevención según sus necesidades.</w:t>
      </w:r>
      <w:r w:rsidR="000D20FF" w:rsidRPr="00FA5477">
        <w:rPr>
          <w:sz w:val="24"/>
          <w:szCs w:val="24"/>
        </w:rPr>
        <w:t xml:space="preserve"> </w:t>
      </w:r>
    </w:p>
    <w:p w14:paraId="4F5DDB36" w14:textId="2668F0E2" w:rsidR="00533AFA" w:rsidRPr="00FA5477" w:rsidRDefault="00533AFA" w:rsidP="00BD215D">
      <w:pPr>
        <w:spacing w:after="240"/>
        <w:ind w:left="1276" w:right="153"/>
        <w:jc w:val="both"/>
        <w:rPr>
          <w:sz w:val="24"/>
          <w:szCs w:val="24"/>
        </w:rPr>
      </w:pPr>
      <w:r w:rsidRPr="00FA5477">
        <w:rPr>
          <w:sz w:val="24"/>
          <w:szCs w:val="24"/>
        </w:rPr>
        <w:t>Según las brechas programáticas identificadas durante este período, las intervenciones a implementar en esta solicitud de financiamiento están dirigidas en mejorar y ampliar coberturas, tanto en área geográfica como en poblaciones, en actividades innovadoras en el país como lo son la Autoprueba y la PrEP en el área de prevención, esto con el fin de realizar diagnósticos oportunos y darles seguimiento para mantener negativos al VIH a la población con riesgo sustancial, asegurando su vinculación para propiciar el inicio temprano de tratamiento.</w:t>
      </w:r>
    </w:p>
    <w:p w14:paraId="59FF1F59" w14:textId="0CEC5ACA" w:rsidR="00452274" w:rsidRPr="00FA5477" w:rsidRDefault="00452274" w:rsidP="00452274">
      <w:pPr>
        <w:spacing w:after="60"/>
        <w:ind w:left="1276" w:right="153"/>
        <w:jc w:val="both"/>
        <w:rPr>
          <w:b/>
          <w:bCs/>
        </w:rPr>
      </w:pPr>
      <w:r w:rsidRPr="00FA5477">
        <w:rPr>
          <w:b/>
          <w:bCs/>
        </w:rPr>
        <w:t>Segundo pilar de la cascada del continuo de la atención</w:t>
      </w:r>
    </w:p>
    <w:p w14:paraId="4944A4F7" w14:textId="31E7D714" w:rsidR="00F7757B" w:rsidRPr="00FA5477" w:rsidRDefault="00F7757B" w:rsidP="00BD215D">
      <w:pPr>
        <w:spacing w:after="120"/>
        <w:ind w:left="1276" w:right="153"/>
        <w:jc w:val="both"/>
        <w:rPr>
          <w:sz w:val="24"/>
          <w:szCs w:val="24"/>
        </w:rPr>
      </w:pPr>
      <w:r w:rsidRPr="00FA5477">
        <w:rPr>
          <w:sz w:val="24"/>
          <w:szCs w:val="24"/>
        </w:rPr>
        <w:t xml:space="preserve">Entre el 2013 y el 2022 los esfuerzos del país, con el apoyo </w:t>
      </w:r>
      <w:r w:rsidR="00500A09" w:rsidRPr="00FA5477">
        <w:rPr>
          <w:sz w:val="24"/>
          <w:szCs w:val="24"/>
        </w:rPr>
        <w:t>técnico y financiero de proyectos con financiamiento externo</w:t>
      </w:r>
      <w:r w:rsidRPr="00FA5477">
        <w:rPr>
          <w:sz w:val="24"/>
          <w:szCs w:val="24"/>
        </w:rPr>
        <w:t xml:space="preserve">, ha permitido poner a disposición de las personas diagnosticadas la TAR, </w:t>
      </w:r>
      <w:r w:rsidR="00500A09" w:rsidRPr="00FA5477">
        <w:rPr>
          <w:sz w:val="24"/>
          <w:szCs w:val="24"/>
        </w:rPr>
        <w:t xml:space="preserve">que ha posibilitado tanto el contar con los medicamentos que en la actualidad son asumidos 100% con fondos GOES, como la implementación de modalidades de atención que han favorecido la vinculación y retención, </w:t>
      </w:r>
      <w:r w:rsidRPr="00FA5477">
        <w:rPr>
          <w:sz w:val="24"/>
          <w:szCs w:val="24"/>
        </w:rPr>
        <w:t xml:space="preserve">lo que se ha visto evidenciado en cómo se ha venido </w:t>
      </w:r>
      <w:r w:rsidR="00BC38E1" w:rsidRPr="00FA5477">
        <w:rPr>
          <w:noProof/>
          <w:sz w:val="24"/>
          <w:szCs w:val="24"/>
        </w:rPr>
        <w:drawing>
          <wp:anchor distT="0" distB="0" distL="114300" distR="114300" simplePos="0" relativeHeight="251662848" behindDoc="0" locked="0" layoutInCell="1" allowOverlap="1" wp14:anchorId="78D31F4D" wp14:editId="45A523D5">
            <wp:simplePos x="0" y="0"/>
            <wp:positionH relativeFrom="column">
              <wp:posOffset>831215</wp:posOffset>
            </wp:positionH>
            <wp:positionV relativeFrom="paragraph">
              <wp:posOffset>57150</wp:posOffset>
            </wp:positionV>
            <wp:extent cx="3234690" cy="2382520"/>
            <wp:effectExtent l="0" t="0" r="3810" b="17780"/>
            <wp:wrapSquare wrapText="bothSides"/>
            <wp:docPr id="488292620" name="Gráfico 1">
              <a:extLst xmlns:a="http://schemas.openxmlformats.org/drawingml/2006/main">
                <a:ext uri="{FF2B5EF4-FFF2-40B4-BE49-F238E27FC236}">
                  <a16:creationId xmlns:a16="http://schemas.microsoft.com/office/drawing/2014/main" id="{39491197-87C7-B86D-7D71-96C4AF3809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Pr="00FA5477">
        <w:rPr>
          <w:sz w:val="24"/>
          <w:szCs w:val="24"/>
        </w:rPr>
        <w:t>reduciendo la brecha en la proporción de quienes están en tratamiento -en 30 puntos porcentuales la brecha</w:t>
      </w:r>
      <w:r w:rsidR="002A187B" w:rsidRPr="00FA5477">
        <w:rPr>
          <w:sz w:val="24"/>
          <w:szCs w:val="24"/>
        </w:rPr>
        <w:t xml:space="preserve"> (Gráfico 2)</w:t>
      </w:r>
      <w:r w:rsidRPr="00FA5477">
        <w:rPr>
          <w:sz w:val="24"/>
          <w:szCs w:val="24"/>
        </w:rPr>
        <w:t xml:space="preserve">. A pesar de ello aún hay casi cinco mil personas que a pesar de contar con su diagnóstico aún no reciben TAR, </w:t>
      </w:r>
      <w:r w:rsidR="00500A09" w:rsidRPr="00FA5477">
        <w:rPr>
          <w:sz w:val="24"/>
          <w:szCs w:val="24"/>
        </w:rPr>
        <w:t>para el MINSAL es una prioridad cerrar esta brecha, que es clave para que se alcance</w:t>
      </w:r>
      <w:r w:rsidR="00F34BDD" w:rsidRPr="00FA5477">
        <w:rPr>
          <w:sz w:val="24"/>
          <w:szCs w:val="24"/>
        </w:rPr>
        <w:t>n</w:t>
      </w:r>
      <w:r w:rsidR="00500A09" w:rsidRPr="00FA5477">
        <w:rPr>
          <w:sz w:val="24"/>
          <w:szCs w:val="24"/>
        </w:rPr>
        <w:t xml:space="preserve"> niveles satisfactorios de personas en supresión viral, por lo que las intervenciones propuestas en la presente solicitud contribuirán a continuar reduciendo la brecha al garantizar el </w:t>
      </w:r>
      <w:r w:rsidR="00B23DCE" w:rsidRPr="00FA5477">
        <w:rPr>
          <w:sz w:val="24"/>
          <w:szCs w:val="24"/>
        </w:rPr>
        <w:t>vínculo y retención</w:t>
      </w:r>
      <w:r w:rsidR="00500A09" w:rsidRPr="00FA5477">
        <w:rPr>
          <w:sz w:val="24"/>
          <w:szCs w:val="24"/>
        </w:rPr>
        <w:t xml:space="preserve"> </w:t>
      </w:r>
      <w:r w:rsidR="00B23DCE" w:rsidRPr="00FA5477">
        <w:rPr>
          <w:sz w:val="24"/>
          <w:szCs w:val="24"/>
        </w:rPr>
        <w:t xml:space="preserve">de </w:t>
      </w:r>
      <w:r w:rsidR="00500A09" w:rsidRPr="00FA5477">
        <w:rPr>
          <w:sz w:val="24"/>
          <w:szCs w:val="24"/>
        </w:rPr>
        <w:t>todas las personas diagnosticadas</w:t>
      </w:r>
      <w:r w:rsidR="00F34BDD" w:rsidRPr="00FA5477">
        <w:rPr>
          <w:sz w:val="24"/>
          <w:szCs w:val="24"/>
        </w:rPr>
        <w:t xml:space="preserve"> a través del seguimiento de estas con visitas domiciliares llevadas a cabo por promotores pares de los establecimientos de salud o de los socios implementadores conjuntamente con servicios de mensajería y/o llamadas telefónicas, de forma inmediata a la inasistencia a su cita de control</w:t>
      </w:r>
      <w:r w:rsidR="0081407D" w:rsidRPr="00FA5477">
        <w:rPr>
          <w:sz w:val="24"/>
          <w:szCs w:val="24"/>
        </w:rPr>
        <w:t>.</w:t>
      </w:r>
    </w:p>
    <w:p w14:paraId="560C53D7" w14:textId="77777777" w:rsidR="00BD215D" w:rsidRPr="00FA5477" w:rsidRDefault="00BD215D" w:rsidP="00BD215D">
      <w:pPr>
        <w:spacing w:after="240"/>
        <w:ind w:left="1276" w:right="153"/>
        <w:jc w:val="both"/>
        <w:rPr>
          <w:sz w:val="24"/>
          <w:szCs w:val="24"/>
        </w:rPr>
      </w:pPr>
      <w:r w:rsidRPr="00FA5477">
        <w:rPr>
          <w:sz w:val="24"/>
          <w:szCs w:val="24"/>
        </w:rPr>
        <w:t>Con esta solicitud de financiamiento se busca ampliar el acceso a la TAR con la apertura de 10 nuevos establecimientos llegando a un total de 31 hospitales que ofertan el tratamiento para mejorar la accesibilidad a los usuarios y otras acciones (llamadas telefónicas, mensajería, visitas domiciliares, etc.) que contribuyan a reducir la brecha existente en la retención de usuarios como prioridad de esta subvención a través de actividades que faciliten su seguimiento y la intervención inmediata que asegure la continuidad en la atención.</w:t>
      </w:r>
    </w:p>
    <w:p w14:paraId="6263B1FA" w14:textId="0D31960D" w:rsidR="00452274" w:rsidRPr="00FA5477" w:rsidRDefault="00452274" w:rsidP="00AD5929">
      <w:pPr>
        <w:spacing w:before="240" w:after="60"/>
        <w:ind w:left="1276" w:right="153"/>
        <w:jc w:val="both"/>
        <w:rPr>
          <w:b/>
          <w:bCs/>
        </w:rPr>
      </w:pPr>
      <w:r w:rsidRPr="00FA5477">
        <w:rPr>
          <w:b/>
          <w:bCs/>
        </w:rPr>
        <w:t>Cascada de la Prevención en HSH y Personas Trans</w:t>
      </w:r>
      <w:r w:rsidR="00732655" w:rsidRPr="00FA5477">
        <w:rPr>
          <w:b/>
          <w:bCs/>
        </w:rPr>
        <w:t>género</w:t>
      </w:r>
    </w:p>
    <w:p w14:paraId="3FEB5C7A" w14:textId="5F34AB8D" w:rsidR="00470A24" w:rsidRPr="00FA5477" w:rsidRDefault="00244554" w:rsidP="00DB2F8B">
      <w:pPr>
        <w:spacing w:after="360"/>
        <w:ind w:left="1276" w:right="153"/>
        <w:jc w:val="both"/>
      </w:pPr>
      <w:r w:rsidRPr="00FA5477">
        <w:t>Según el PENM</w:t>
      </w:r>
      <w:r w:rsidR="0071603F" w:rsidRPr="00FA5477">
        <w:t>-VIH</w:t>
      </w:r>
      <w:r w:rsidRPr="00FA5477">
        <w:t xml:space="preserve"> 2022-2027 las poblaciones clave se estimaban en 54,140 HSH; 1,835 Personas Trans</w:t>
      </w:r>
      <w:r w:rsidR="00674E06" w:rsidRPr="00FA5477">
        <w:t>género</w:t>
      </w:r>
      <w:r w:rsidRPr="00FA5477">
        <w:t xml:space="preserve"> y 44,882 TS. La prevalencia de VIH es de 10.5% en HSH, 16.5% en Personas Trans</w:t>
      </w:r>
      <w:r w:rsidR="00674E06" w:rsidRPr="00FA5477">
        <w:t>género</w:t>
      </w:r>
      <w:r w:rsidRPr="00FA5477">
        <w:t xml:space="preserve"> y 8.1% en TS. El total de quienes han sido diagnosticados es de 3,581 HSH; 175 Personas Trans</w:t>
      </w:r>
      <w:r w:rsidR="00674E06" w:rsidRPr="00FA5477">
        <w:t>género</w:t>
      </w:r>
      <w:r w:rsidRPr="00FA5477">
        <w:t xml:space="preserve"> y 3,643 TS. Con lo que -por diferencia- se estima que la cantidad de quienes tienen VIH y aún no lo saben es de 2,104 HSH y 122 Personas Trans</w:t>
      </w:r>
      <w:r w:rsidR="00674E06" w:rsidRPr="00FA5477">
        <w:t>género</w:t>
      </w:r>
      <w:r w:rsidR="00470A24" w:rsidRPr="00FA5477">
        <w:t xml:space="preserve">, observándose una significativa brecha en quienes teniendo la infección no saben que lo tienen, siendo alta la necesidad de pruebas: 50,559 HSH que ya han tenido un resultado negativo y aquellos que son positivos y no lo saben. En HSH que se han mantenido en contacto con los servicios de prevención la tasa de positividad de la prueba es 29% más baja </w:t>
      </w:r>
      <w:r w:rsidR="00114110" w:rsidRPr="00FA5477">
        <w:t>en comparación con el total de quienes se hicieron la prueba en los últimos 12 meses (1.7% vs 2.4%), lo que podría indicar que las estrategias de prevención y retención en los servicios está teniendo el efecto deseado</w:t>
      </w:r>
      <w:r w:rsidR="00114110" w:rsidRPr="00FA5477">
        <w:rPr>
          <w:rStyle w:val="Refdenotaalpie"/>
        </w:rPr>
        <w:footnoteReference w:id="6"/>
      </w:r>
      <w:r w:rsidR="0006705E" w:rsidRPr="00FA5477">
        <w:t xml:space="preserve"> lo que apoya la decisión de incluir en esta solicitud intervenciones para asegurar que los negativos vulnerables se mantengan negativos: unidades móviles</w:t>
      </w:r>
      <w:r w:rsidR="00A2003B" w:rsidRPr="00FA5477">
        <w:t xml:space="preserve"> y</w:t>
      </w:r>
      <w:r w:rsidR="0006705E" w:rsidRPr="00FA5477">
        <w:t xml:space="preserve"> </w:t>
      </w:r>
      <w:r w:rsidR="00A44DD0" w:rsidRPr="00FA5477">
        <w:t>la aplicación ‘</w:t>
      </w:r>
      <w:r w:rsidR="0006705E" w:rsidRPr="00FA5477">
        <w:rPr>
          <w:i/>
          <w:iCs/>
        </w:rPr>
        <w:t>Match con tu Salud</w:t>
      </w:r>
      <w:r w:rsidR="00A44DD0" w:rsidRPr="00FA5477">
        <w:t>’</w:t>
      </w:r>
      <w:r w:rsidR="00A2003B" w:rsidRPr="00FA5477">
        <w:t>; así como la voluntad de incrementar el número de contactos con personas altamente vulnerables y la necesidad de ampliar la cobertura de la PrEP</w:t>
      </w:r>
      <w:r w:rsidR="0006705E" w:rsidRPr="00FA5477">
        <w:t>.</w:t>
      </w:r>
    </w:p>
    <w:p w14:paraId="17627EB2" w14:textId="0E31ED04" w:rsidR="009D5B43" w:rsidRPr="00FA5477" w:rsidRDefault="009D5B43" w:rsidP="00DB2F8B">
      <w:pPr>
        <w:spacing w:after="120"/>
        <w:ind w:left="1276" w:right="153"/>
        <w:jc w:val="both"/>
      </w:pPr>
      <w:r w:rsidRPr="00FA5477">
        <w:t xml:space="preserve">Actualmente en el país se está concluyendo el estudio de estimación de tamaño de población de alta prevalencia en VIH, con la misma metodología del realizado en 2016, en el que se observa una notable reducción en la prevalencia de VIH en Trabajadoras </w:t>
      </w:r>
      <w:r w:rsidR="00303AF8" w:rsidRPr="00FA5477">
        <w:t xml:space="preserve">del sexo </w:t>
      </w:r>
      <w:r w:rsidRPr="00FA5477">
        <w:t>(8.1% vs 2.8%) y en HSH (10.5% vs 5.7%), con menos intensidad también en Mujeres Trans</w:t>
      </w:r>
      <w:r w:rsidR="00674E06" w:rsidRPr="00FA5477">
        <w:t>género</w:t>
      </w:r>
      <w:r w:rsidRPr="00FA5477">
        <w:t xml:space="preserve"> hay una reducción de 16.2% a 13.1%. Estas reducciones refuerzan el efecto positivo que tienen las intervenciones de prevención y retención en los servicios de salud. En el estudio se ha recabado información sobre la PrEP encontrándose que han usado alguna vez PrEP el 40.9% de HSH (de ellos el 75.6% la utilizan actualmente), y el 30.1% de MTrans (70.0% de ellas lo utilizan actualmente). </w:t>
      </w:r>
    </w:p>
    <w:p w14:paraId="38A3252B" w14:textId="4B1924DC" w:rsidR="009D5B43" w:rsidRPr="00FA5477" w:rsidRDefault="009D5B43" w:rsidP="009D5B43">
      <w:pPr>
        <w:spacing w:after="60"/>
        <w:ind w:left="1276"/>
        <w:jc w:val="center"/>
        <w:rPr>
          <w:b/>
          <w:bCs/>
          <w:sz w:val="20"/>
          <w:szCs w:val="20"/>
          <w:lang w:bidi="es-ES"/>
        </w:rPr>
      </w:pPr>
      <w:r w:rsidRPr="00FA5477">
        <w:rPr>
          <w:b/>
          <w:bCs/>
          <w:sz w:val="20"/>
          <w:szCs w:val="20"/>
          <w:lang w:bidi="es-ES"/>
        </w:rPr>
        <w:t>Tabla 1. Tamaño de población, prevalencia e Índice de positivad</w:t>
      </w:r>
    </w:p>
    <w:p w14:paraId="65D5A66E" w14:textId="43846A68" w:rsidR="009D5B43" w:rsidRPr="00FA5477" w:rsidRDefault="009D5B43" w:rsidP="00674E06">
      <w:pPr>
        <w:spacing w:after="60"/>
        <w:ind w:left="1276"/>
        <w:jc w:val="center"/>
        <w:rPr>
          <w:b/>
          <w:bCs/>
          <w:sz w:val="20"/>
          <w:szCs w:val="20"/>
          <w:lang w:bidi="es-ES"/>
        </w:rPr>
      </w:pPr>
      <w:r w:rsidRPr="00FA5477">
        <w:rPr>
          <w:b/>
          <w:bCs/>
          <w:sz w:val="20"/>
          <w:szCs w:val="20"/>
          <w:lang w:bidi="es-ES"/>
        </w:rPr>
        <w:t>de VIH en Poblaciones clave.</w:t>
      </w:r>
    </w:p>
    <w:tbl>
      <w:tblPr>
        <w:tblStyle w:val="Tablaconcuadrcula"/>
        <w:tblW w:w="8185" w:type="dxa"/>
        <w:tblInd w:w="1843" w:type="dxa"/>
        <w:tblBorders>
          <w:left w:val="none" w:sz="0" w:space="0" w:color="auto"/>
          <w:right w:val="none" w:sz="0" w:space="0" w:color="auto"/>
        </w:tblBorders>
        <w:tblLayout w:type="fixed"/>
        <w:tblLook w:val="04A0" w:firstRow="1" w:lastRow="0" w:firstColumn="1" w:lastColumn="0" w:noHBand="0" w:noVBand="1"/>
      </w:tblPr>
      <w:tblGrid>
        <w:gridCol w:w="2468"/>
        <w:gridCol w:w="976"/>
        <w:gridCol w:w="872"/>
        <w:gridCol w:w="800"/>
        <w:gridCol w:w="236"/>
        <w:gridCol w:w="1220"/>
        <w:gridCol w:w="888"/>
        <w:gridCol w:w="725"/>
      </w:tblGrid>
      <w:tr w:rsidR="008858D2" w:rsidRPr="00FA5477" w14:paraId="03653FC2" w14:textId="77777777" w:rsidTr="00C93FE4">
        <w:tc>
          <w:tcPr>
            <w:tcW w:w="2468" w:type="dxa"/>
            <w:vMerge w:val="restart"/>
            <w:vAlign w:val="center"/>
          </w:tcPr>
          <w:p w14:paraId="16B8351E" w14:textId="77777777" w:rsidR="00C93FE4" w:rsidRPr="00FA5477" w:rsidRDefault="008858D2" w:rsidP="005F70F1">
            <w:pPr>
              <w:spacing w:after="60"/>
              <w:ind w:left="-109"/>
              <w:jc w:val="center"/>
              <w:rPr>
                <w:b/>
                <w:bCs/>
                <w:sz w:val="18"/>
                <w:szCs w:val="18"/>
                <w:lang w:bidi="es-ES"/>
              </w:rPr>
            </w:pPr>
            <w:r w:rsidRPr="00FA5477">
              <w:rPr>
                <w:b/>
                <w:bCs/>
                <w:sz w:val="18"/>
                <w:szCs w:val="18"/>
                <w:lang w:bidi="es-ES"/>
              </w:rPr>
              <w:t>Tipo de</w:t>
            </w:r>
          </w:p>
          <w:p w14:paraId="505EB28F" w14:textId="4ACF8899" w:rsidR="008858D2" w:rsidRPr="00FA5477" w:rsidRDefault="008858D2" w:rsidP="005F70F1">
            <w:pPr>
              <w:spacing w:after="60"/>
              <w:ind w:left="-109"/>
              <w:jc w:val="center"/>
              <w:rPr>
                <w:b/>
                <w:bCs/>
                <w:sz w:val="20"/>
                <w:szCs w:val="20"/>
                <w:lang w:bidi="es-ES"/>
              </w:rPr>
            </w:pPr>
            <w:r w:rsidRPr="00FA5477">
              <w:rPr>
                <w:b/>
                <w:bCs/>
                <w:sz w:val="18"/>
                <w:szCs w:val="18"/>
                <w:lang w:bidi="es-ES"/>
              </w:rPr>
              <w:t>población</w:t>
            </w:r>
          </w:p>
        </w:tc>
        <w:tc>
          <w:tcPr>
            <w:tcW w:w="976" w:type="dxa"/>
            <w:vMerge w:val="restart"/>
            <w:vAlign w:val="center"/>
          </w:tcPr>
          <w:p w14:paraId="5BF507AA" w14:textId="7340D48F" w:rsidR="008858D2" w:rsidRPr="00FA5477" w:rsidRDefault="008858D2" w:rsidP="005F70F1">
            <w:pPr>
              <w:spacing w:after="60"/>
              <w:ind w:left="-109"/>
              <w:jc w:val="center"/>
              <w:rPr>
                <w:b/>
                <w:bCs/>
                <w:sz w:val="20"/>
                <w:szCs w:val="20"/>
                <w:lang w:bidi="es-ES"/>
              </w:rPr>
            </w:pPr>
            <w:r w:rsidRPr="00FA5477">
              <w:rPr>
                <w:b/>
                <w:bCs/>
                <w:sz w:val="18"/>
                <w:szCs w:val="18"/>
                <w:lang w:bidi="es-ES"/>
              </w:rPr>
              <w:t xml:space="preserve">Tamaño </w:t>
            </w:r>
            <w:r w:rsidRPr="00FA5477">
              <w:rPr>
                <w:b/>
                <w:bCs/>
                <w:sz w:val="18"/>
                <w:szCs w:val="18"/>
                <w:vertAlign w:val="superscript"/>
                <w:lang w:bidi="es-ES"/>
              </w:rPr>
              <w:t>a)</w:t>
            </w:r>
          </w:p>
        </w:tc>
        <w:tc>
          <w:tcPr>
            <w:tcW w:w="1672" w:type="dxa"/>
            <w:gridSpan w:val="2"/>
            <w:vAlign w:val="center"/>
          </w:tcPr>
          <w:p w14:paraId="6233FE4A" w14:textId="72D3D51A" w:rsidR="008858D2" w:rsidRPr="00FA5477" w:rsidRDefault="008858D2" w:rsidP="005F70F1">
            <w:pPr>
              <w:spacing w:after="60"/>
              <w:jc w:val="center"/>
              <w:rPr>
                <w:b/>
                <w:bCs/>
                <w:sz w:val="20"/>
                <w:szCs w:val="20"/>
                <w:lang w:bidi="es-ES"/>
              </w:rPr>
            </w:pPr>
            <w:r w:rsidRPr="00FA5477">
              <w:rPr>
                <w:b/>
                <w:bCs/>
                <w:sz w:val="18"/>
                <w:szCs w:val="18"/>
                <w:lang w:bidi="es-ES"/>
              </w:rPr>
              <w:t>Prevalencia</w:t>
            </w:r>
            <w:r w:rsidRPr="00FA5477">
              <w:rPr>
                <w:b/>
                <w:bCs/>
                <w:sz w:val="18"/>
                <w:szCs w:val="18"/>
                <w:vertAlign w:val="superscript"/>
                <w:lang w:bidi="es-ES"/>
              </w:rPr>
              <w:t xml:space="preserve"> a)</w:t>
            </w:r>
          </w:p>
        </w:tc>
        <w:tc>
          <w:tcPr>
            <w:tcW w:w="236" w:type="dxa"/>
            <w:tcBorders>
              <w:bottom w:val="nil"/>
            </w:tcBorders>
          </w:tcPr>
          <w:p w14:paraId="3757667C" w14:textId="6A10BDAB" w:rsidR="008858D2" w:rsidRPr="00FA5477" w:rsidRDefault="008858D2" w:rsidP="005F70F1">
            <w:pPr>
              <w:spacing w:after="60"/>
              <w:jc w:val="center"/>
              <w:rPr>
                <w:b/>
                <w:bCs/>
                <w:sz w:val="18"/>
                <w:szCs w:val="18"/>
                <w:lang w:bidi="es-ES"/>
              </w:rPr>
            </w:pPr>
          </w:p>
        </w:tc>
        <w:tc>
          <w:tcPr>
            <w:tcW w:w="2833" w:type="dxa"/>
            <w:gridSpan w:val="3"/>
            <w:vAlign w:val="center"/>
          </w:tcPr>
          <w:p w14:paraId="7FAF4E8C" w14:textId="42FC0C2B" w:rsidR="008858D2" w:rsidRPr="00FA5477" w:rsidRDefault="008858D2" w:rsidP="005F70F1">
            <w:pPr>
              <w:spacing w:after="60"/>
              <w:jc w:val="center"/>
              <w:rPr>
                <w:b/>
                <w:bCs/>
                <w:sz w:val="20"/>
                <w:szCs w:val="20"/>
                <w:lang w:bidi="es-ES"/>
              </w:rPr>
            </w:pPr>
            <w:r w:rsidRPr="00FA5477">
              <w:rPr>
                <w:b/>
                <w:bCs/>
                <w:sz w:val="18"/>
                <w:szCs w:val="18"/>
                <w:lang w:bidi="es-ES"/>
              </w:rPr>
              <w:t>Positividad año 2023</w:t>
            </w:r>
            <w:r w:rsidRPr="00FA5477">
              <w:rPr>
                <w:b/>
                <w:bCs/>
                <w:sz w:val="18"/>
                <w:szCs w:val="18"/>
                <w:vertAlign w:val="superscript"/>
                <w:lang w:bidi="es-ES"/>
              </w:rPr>
              <w:t>b)</w:t>
            </w:r>
          </w:p>
        </w:tc>
      </w:tr>
      <w:tr w:rsidR="008858D2" w:rsidRPr="00FA5477" w14:paraId="1E449A87" w14:textId="77777777" w:rsidTr="00C93FE4">
        <w:tc>
          <w:tcPr>
            <w:tcW w:w="2468" w:type="dxa"/>
            <w:vMerge/>
            <w:vAlign w:val="center"/>
          </w:tcPr>
          <w:p w14:paraId="5E4BA25B" w14:textId="77777777" w:rsidR="008858D2" w:rsidRPr="00FA5477" w:rsidRDefault="008858D2" w:rsidP="005F70F1">
            <w:pPr>
              <w:spacing w:after="60"/>
              <w:jc w:val="center"/>
              <w:rPr>
                <w:b/>
                <w:bCs/>
                <w:sz w:val="20"/>
                <w:szCs w:val="20"/>
                <w:lang w:bidi="es-ES"/>
              </w:rPr>
            </w:pPr>
          </w:p>
        </w:tc>
        <w:tc>
          <w:tcPr>
            <w:tcW w:w="976" w:type="dxa"/>
            <w:vMerge/>
            <w:vAlign w:val="center"/>
          </w:tcPr>
          <w:p w14:paraId="16A075B2" w14:textId="77777777" w:rsidR="008858D2" w:rsidRPr="00FA5477" w:rsidRDefault="008858D2" w:rsidP="005F70F1">
            <w:pPr>
              <w:spacing w:after="60"/>
              <w:jc w:val="center"/>
              <w:rPr>
                <w:b/>
                <w:bCs/>
                <w:sz w:val="20"/>
                <w:szCs w:val="20"/>
                <w:lang w:bidi="es-ES"/>
              </w:rPr>
            </w:pPr>
          </w:p>
        </w:tc>
        <w:tc>
          <w:tcPr>
            <w:tcW w:w="872" w:type="dxa"/>
            <w:vAlign w:val="center"/>
          </w:tcPr>
          <w:p w14:paraId="24CFF213" w14:textId="3D908112" w:rsidR="008858D2" w:rsidRPr="00FA5477" w:rsidRDefault="008858D2" w:rsidP="005F70F1">
            <w:pPr>
              <w:spacing w:after="60"/>
              <w:ind w:left="-109"/>
              <w:jc w:val="center"/>
              <w:rPr>
                <w:b/>
                <w:bCs/>
                <w:sz w:val="20"/>
                <w:szCs w:val="20"/>
                <w:lang w:bidi="es-ES"/>
              </w:rPr>
            </w:pPr>
            <w:r w:rsidRPr="00FA5477">
              <w:rPr>
                <w:b/>
                <w:bCs/>
                <w:sz w:val="18"/>
                <w:szCs w:val="18"/>
                <w:lang w:bidi="es-ES"/>
              </w:rPr>
              <w:t>2016</w:t>
            </w:r>
          </w:p>
        </w:tc>
        <w:tc>
          <w:tcPr>
            <w:tcW w:w="800" w:type="dxa"/>
            <w:vAlign w:val="center"/>
          </w:tcPr>
          <w:p w14:paraId="58869685" w14:textId="03807CCF" w:rsidR="008858D2" w:rsidRPr="00FA5477" w:rsidRDefault="008858D2" w:rsidP="005F70F1">
            <w:pPr>
              <w:spacing w:after="60"/>
              <w:ind w:left="-109"/>
              <w:jc w:val="center"/>
              <w:rPr>
                <w:b/>
                <w:bCs/>
                <w:sz w:val="20"/>
                <w:szCs w:val="20"/>
                <w:lang w:bidi="es-ES"/>
              </w:rPr>
            </w:pPr>
            <w:r w:rsidRPr="00FA5477">
              <w:rPr>
                <w:b/>
                <w:bCs/>
                <w:sz w:val="18"/>
                <w:szCs w:val="18"/>
                <w:lang w:bidi="es-ES"/>
              </w:rPr>
              <w:t>2024</w:t>
            </w:r>
          </w:p>
        </w:tc>
        <w:tc>
          <w:tcPr>
            <w:tcW w:w="236" w:type="dxa"/>
            <w:tcBorders>
              <w:top w:val="nil"/>
              <w:bottom w:val="nil"/>
            </w:tcBorders>
            <w:shd w:val="clear" w:color="auto" w:fill="auto"/>
          </w:tcPr>
          <w:p w14:paraId="3169AE3B" w14:textId="77777777" w:rsidR="008858D2" w:rsidRPr="00FA5477" w:rsidRDefault="008858D2" w:rsidP="005F70F1">
            <w:pPr>
              <w:spacing w:after="60"/>
              <w:ind w:left="-138"/>
              <w:jc w:val="center"/>
              <w:rPr>
                <w:b/>
                <w:bCs/>
                <w:sz w:val="18"/>
                <w:szCs w:val="18"/>
                <w:lang w:bidi="es-ES"/>
              </w:rPr>
            </w:pPr>
          </w:p>
        </w:tc>
        <w:tc>
          <w:tcPr>
            <w:tcW w:w="1220" w:type="dxa"/>
            <w:vAlign w:val="center"/>
          </w:tcPr>
          <w:p w14:paraId="3E49616E" w14:textId="2F036C97" w:rsidR="008858D2" w:rsidRPr="00FA5477" w:rsidRDefault="008858D2" w:rsidP="005F70F1">
            <w:pPr>
              <w:spacing w:after="60"/>
              <w:ind w:left="-138"/>
              <w:jc w:val="center"/>
              <w:rPr>
                <w:b/>
                <w:bCs/>
                <w:sz w:val="18"/>
                <w:szCs w:val="18"/>
                <w:lang w:bidi="es-ES"/>
              </w:rPr>
            </w:pPr>
            <w:r w:rsidRPr="00FA5477">
              <w:rPr>
                <w:b/>
                <w:bCs/>
                <w:sz w:val="18"/>
                <w:szCs w:val="18"/>
                <w:lang w:bidi="es-ES"/>
              </w:rPr>
              <w:t>Se</w:t>
            </w:r>
          </w:p>
          <w:p w14:paraId="202B8F21" w14:textId="5EE59248" w:rsidR="008858D2" w:rsidRPr="00FA5477" w:rsidRDefault="008858D2" w:rsidP="005F70F1">
            <w:pPr>
              <w:spacing w:after="60"/>
              <w:ind w:left="-138"/>
              <w:jc w:val="center"/>
              <w:rPr>
                <w:b/>
                <w:bCs/>
                <w:sz w:val="18"/>
                <w:szCs w:val="18"/>
                <w:lang w:bidi="es-ES"/>
              </w:rPr>
            </w:pPr>
            <w:r w:rsidRPr="00FA5477">
              <w:rPr>
                <w:b/>
                <w:bCs/>
                <w:sz w:val="18"/>
                <w:szCs w:val="18"/>
                <w:lang w:bidi="es-ES"/>
              </w:rPr>
              <w:t>realizaron</w:t>
            </w:r>
          </w:p>
          <w:p w14:paraId="421EBA7B" w14:textId="77777777" w:rsidR="008858D2" w:rsidRPr="00FA5477" w:rsidRDefault="008858D2" w:rsidP="005F70F1">
            <w:pPr>
              <w:spacing w:after="60"/>
              <w:ind w:left="-138"/>
              <w:jc w:val="center"/>
              <w:rPr>
                <w:b/>
                <w:bCs/>
                <w:sz w:val="20"/>
                <w:szCs w:val="20"/>
                <w:lang w:bidi="es-ES"/>
              </w:rPr>
            </w:pPr>
            <w:r w:rsidRPr="00FA5477">
              <w:rPr>
                <w:b/>
                <w:bCs/>
                <w:sz w:val="18"/>
                <w:szCs w:val="18"/>
                <w:lang w:bidi="es-ES"/>
              </w:rPr>
              <w:t>prueba</w:t>
            </w:r>
          </w:p>
        </w:tc>
        <w:tc>
          <w:tcPr>
            <w:tcW w:w="888" w:type="dxa"/>
            <w:vAlign w:val="center"/>
          </w:tcPr>
          <w:p w14:paraId="2FE4E431" w14:textId="77777777" w:rsidR="008858D2" w:rsidRPr="00FA5477" w:rsidRDefault="008858D2" w:rsidP="005F70F1">
            <w:pPr>
              <w:ind w:left="-129"/>
              <w:jc w:val="center"/>
              <w:rPr>
                <w:b/>
                <w:bCs/>
                <w:sz w:val="18"/>
                <w:szCs w:val="18"/>
                <w:lang w:bidi="es-ES"/>
              </w:rPr>
            </w:pPr>
            <w:r w:rsidRPr="00FA5477">
              <w:rPr>
                <w:b/>
                <w:bCs/>
                <w:sz w:val="18"/>
                <w:szCs w:val="18"/>
                <w:lang w:bidi="es-ES"/>
              </w:rPr>
              <w:t>Nuevas</w:t>
            </w:r>
          </w:p>
          <w:p w14:paraId="1A697A1D" w14:textId="196250D8" w:rsidR="008858D2" w:rsidRPr="00FA5477" w:rsidRDefault="008858D2" w:rsidP="005F70F1">
            <w:pPr>
              <w:ind w:left="-129"/>
              <w:jc w:val="center"/>
              <w:rPr>
                <w:b/>
                <w:bCs/>
                <w:sz w:val="18"/>
                <w:szCs w:val="18"/>
                <w:lang w:bidi="es-ES"/>
              </w:rPr>
            </w:pPr>
            <w:r w:rsidRPr="00FA5477">
              <w:rPr>
                <w:b/>
                <w:bCs/>
                <w:sz w:val="18"/>
                <w:szCs w:val="18"/>
                <w:lang w:bidi="es-ES"/>
              </w:rPr>
              <w:t>notifica-</w:t>
            </w:r>
          </w:p>
          <w:p w14:paraId="7B12E7AA" w14:textId="19CE4CEA" w:rsidR="008858D2" w:rsidRPr="00FA5477" w:rsidRDefault="008858D2" w:rsidP="005F70F1">
            <w:pPr>
              <w:ind w:left="-129"/>
              <w:jc w:val="center"/>
              <w:rPr>
                <w:b/>
                <w:bCs/>
                <w:sz w:val="20"/>
                <w:szCs w:val="20"/>
                <w:lang w:bidi="es-ES"/>
              </w:rPr>
            </w:pPr>
            <w:proofErr w:type="spellStart"/>
            <w:r w:rsidRPr="00FA5477">
              <w:rPr>
                <w:b/>
                <w:bCs/>
                <w:sz w:val="18"/>
                <w:szCs w:val="18"/>
                <w:lang w:bidi="es-ES"/>
              </w:rPr>
              <w:t>ciones</w:t>
            </w:r>
            <w:proofErr w:type="spellEnd"/>
          </w:p>
        </w:tc>
        <w:tc>
          <w:tcPr>
            <w:tcW w:w="725" w:type="dxa"/>
            <w:vAlign w:val="center"/>
          </w:tcPr>
          <w:p w14:paraId="7CAAB9E0" w14:textId="77777777" w:rsidR="008858D2" w:rsidRPr="00FA5477" w:rsidRDefault="008858D2" w:rsidP="005F70F1">
            <w:pPr>
              <w:ind w:left="-142"/>
              <w:jc w:val="center"/>
              <w:rPr>
                <w:b/>
                <w:bCs/>
                <w:sz w:val="18"/>
                <w:szCs w:val="18"/>
                <w:lang w:bidi="es-ES"/>
              </w:rPr>
            </w:pPr>
            <w:r w:rsidRPr="00FA5477">
              <w:rPr>
                <w:b/>
                <w:bCs/>
                <w:sz w:val="18"/>
                <w:szCs w:val="18"/>
                <w:lang w:bidi="es-ES"/>
              </w:rPr>
              <w:t>%</w:t>
            </w:r>
          </w:p>
          <w:p w14:paraId="123C6179" w14:textId="77777777" w:rsidR="008858D2" w:rsidRPr="00FA5477" w:rsidRDefault="008858D2" w:rsidP="005F70F1">
            <w:pPr>
              <w:ind w:left="-142"/>
              <w:jc w:val="center"/>
              <w:rPr>
                <w:b/>
                <w:bCs/>
                <w:sz w:val="18"/>
                <w:szCs w:val="18"/>
                <w:lang w:bidi="es-ES"/>
              </w:rPr>
            </w:pPr>
            <w:proofErr w:type="spellStart"/>
            <w:r w:rsidRPr="00FA5477">
              <w:rPr>
                <w:b/>
                <w:bCs/>
                <w:sz w:val="18"/>
                <w:szCs w:val="18"/>
                <w:lang w:bidi="es-ES"/>
              </w:rPr>
              <w:t>Positi</w:t>
            </w:r>
            <w:proofErr w:type="spellEnd"/>
            <w:r w:rsidRPr="00FA5477">
              <w:rPr>
                <w:b/>
                <w:bCs/>
                <w:sz w:val="18"/>
                <w:szCs w:val="18"/>
                <w:lang w:bidi="es-ES"/>
              </w:rPr>
              <w:t>-</w:t>
            </w:r>
          </w:p>
          <w:p w14:paraId="1F4E69FC" w14:textId="5892C92B" w:rsidR="008858D2" w:rsidRPr="00FA5477" w:rsidRDefault="008858D2" w:rsidP="005F70F1">
            <w:pPr>
              <w:ind w:left="-142"/>
              <w:jc w:val="center"/>
              <w:rPr>
                <w:b/>
                <w:bCs/>
                <w:sz w:val="20"/>
                <w:szCs w:val="20"/>
                <w:lang w:bidi="es-ES"/>
              </w:rPr>
            </w:pPr>
            <w:proofErr w:type="spellStart"/>
            <w:r w:rsidRPr="00FA5477">
              <w:rPr>
                <w:b/>
                <w:bCs/>
                <w:sz w:val="18"/>
                <w:szCs w:val="18"/>
                <w:lang w:bidi="es-ES"/>
              </w:rPr>
              <w:t>vidad</w:t>
            </w:r>
            <w:proofErr w:type="spellEnd"/>
          </w:p>
        </w:tc>
      </w:tr>
      <w:tr w:rsidR="008858D2" w:rsidRPr="00FA5477" w14:paraId="28A7851B" w14:textId="77777777" w:rsidTr="00C93FE4">
        <w:tc>
          <w:tcPr>
            <w:tcW w:w="2468" w:type="dxa"/>
            <w:shd w:val="clear" w:color="auto" w:fill="F2F2F2" w:themeFill="background1" w:themeFillShade="F2"/>
            <w:vAlign w:val="center"/>
          </w:tcPr>
          <w:p w14:paraId="48E8E670" w14:textId="77777777" w:rsidR="008858D2" w:rsidRPr="00FA5477" w:rsidRDefault="008858D2" w:rsidP="005F70F1">
            <w:pPr>
              <w:spacing w:after="60"/>
              <w:jc w:val="center"/>
              <w:rPr>
                <w:b/>
                <w:bCs/>
                <w:sz w:val="18"/>
                <w:szCs w:val="18"/>
                <w:lang w:bidi="es-ES"/>
              </w:rPr>
            </w:pPr>
            <w:r w:rsidRPr="00FA5477">
              <w:rPr>
                <w:b/>
                <w:bCs/>
                <w:sz w:val="18"/>
                <w:szCs w:val="18"/>
                <w:lang w:bidi="es-ES"/>
              </w:rPr>
              <w:t>Trabajadoras</w:t>
            </w:r>
          </w:p>
          <w:p w14:paraId="29DD35C6" w14:textId="77777777" w:rsidR="008858D2" w:rsidRPr="00FA5477" w:rsidRDefault="008858D2" w:rsidP="005F70F1">
            <w:pPr>
              <w:spacing w:after="60"/>
              <w:jc w:val="center"/>
              <w:rPr>
                <w:b/>
                <w:bCs/>
                <w:sz w:val="20"/>
                <w:szCs w:val="20"/>
                <w:lang w:bidi="es-ES"/>
              </w:rPr>
            </w:pPr>
            <w:r w:rsidRPr="00FA5477">
              <w:rPr>
                <w:b/>
                <w:bCs/>
                <w:sz w:val="18"/>
                <w:szCs w:val="18"/>
                <w:lang w:bidi="es-ES"/>
              </w:rPr>
              <w:t>sexuales (TS)</w:t>
            </w:r>
          </w:p>
        </w:tc>
        <w:tc>
          <w:tcPr>
            <w:tcW w:w="976" w:type="dxa"/>
            <w:shd w:val="clear" w:color="auto" w:fill="F2F2F2" w:themeFill="background1" w:themeFillShade="F2"/>
            <w:vAlign w:val="center"/>
          </w:tcPr>
          <w:p w14:paraId="2664B3AA" w14:textId="16E7F6CB" w:rsidR="008858D2" w:rsidRPr="00FA5477" w:rsidRDefault="008858D2" w:rsidP="005F70F1">
            <w:pPr>
              <w:spacing w:after="60"/>
              <w:jc w:val="center"/>
              <w:rPr>
                <w:b/>
                <w:bCs/>
                <w:sz w:val="20"/>
                <w:szCs w:val="20"/>
                <w:lang w:bidi="es-ES"/>
              </w:rPr>
            </w:pPr>
            <w:r w:rsidRPr="00FA5477">
              <w:rPr>
                <w:sz w:val="18"/>
                <w:szCs w:val="18"/>
                <w:lang w:bidi="es-ES"/>
              </w:rPr>
              <w:t>26,066</w:t>
            </w:r>
          </w:p>
        </w:tc>
        <w:tc>
          <w:tcPr>
            <w:tcW w:w="872" w:type="dxa"/>
            <w:shd w:val="clear" w:color="auto" w:fill="F2F2F2" w:themeFill="background1" w:themeFillShade="F2"/>
            <w:vAlign w:val="center"/>
          </w:tcPr>
          <w:p w14:paraId="004D4638" w14:textId="77777777" w:rsidR="008858D2" w:rsidRPr="00FA5477" w:rsidRDefault="008858D2" w:rsidP="005F70F1">
            <w:pPr>
              <w:spacing w:after="60"/>
              <w:jc w:val="center"/>
              <w:rPr>
                <w:b/>
                <w:bCs/>
                <w:sz w:val="20"/>
                <w:szCs w:val="20"/>
                <w:lang w:bidi="es-ES"/>
              </w:rPr>
            </w:pPr>
            <w:r w:rsidRPr="00FA5477">
              <w:rPr>
                <w:sz w:val="18"/>
                <w:szCs w:val="18"/>
                <w:lang w:bidi="es-ES"/>
              </w:rPr>
              <w:t>8.1%</w:t>
            </w:r>
          </w:p>
        </w:tc>
        <w:tc>
          <w:tcPr>
            <w:tcW w:w="800" w:type="dxa"/>
            <w:tcBorders>
              <w:top w:val="nil"/>
            </w:tcBorders>
            <w:shd w:val="clear" w:color="auto" w:fill="F2F2F2" w:themeFill="background1" w:themeFillShade="F2"/>
            <w:vAlign w:val="center"/>
          </w:tcPr>
          <w:p w14:paraId="2F8B946F" w14:textId="77777777" w:rsidR="008858D2" w:rsidRPr="00FA5477" w:rsidRDefault="008858D2" w:rsidP="005F70F1">
            <w:pPr>
              <w:spacing w:after="60"/>
              <w:jc w:val="center"/>
              <w:rPr>
                <w:b/>
                <w:bCs/>
                <w:sz w:val="20"/>
                <w:szCs w:val="20"/>
                <w:lang w:bidi="es-ES"/>
              </w:rPr>
            </w:pPr>
            <w:r w:rsidRPr="00FA5477">
              <w:rPr>
                <w:sz w:val="18"/>
                <w:szCs w:val="18"/>
                <w:lang w:bidi="es-ES"/>
              </w:rPr>
              <w:t>2.8</w:t>
            </w:r>
          </w:p>
        </w:tc>
        <w:tc>
          <w:tcPr>
            <w:tcW w:w="236" w:type="dxa"/>
            <w:tcBorders>
              <w:top w:val="nil"/>
              <w:bottom w:val="nil"/>
            </w:tcBorders>
            <w:shd w:val="clear" w:color="auto" w:fill="auto"/>
          </w:tcPr>
          <w:p w14:paraId="496FAAFD" w14:textId="77777777" w:rsidR="008858D2" w:rsidRPr="00FA5477" w:rsidRDefault="008858D2" w:rsidP="005F70F1">
            <w:pPr>
              <w:spacing w:after="60"/>
              <w:jc w:val="center"/>
              <w:rPr>
                <w:sz w:val="18"/>
                <w:szCs w:val="18"/>
                <w:lang w:bidi="es-ES"/>
              </w:rPr>
            </w:pPr>
          </w:p>
        </w:tc>
        <w:tc>
          <w:tcPr>
            <w:tcW w:w="1220" w:type="dxa"/>
            <w:shd w:val="clear" w:color="auto" w:fill="F2F2F2" w:themeFill="background1" w:themeFillShade="F2"/>
            <w:vAlign w:val="center"/>
          </w:tcPr>
          <w:p w14:paraId="18CA21BF" w14:textId="3E4DCAF3" w:rsidR="008858D2" w:rsidRPr="00FA5477" w:rsidRDefault="008858D2" w:rsidP="005F70F1">
            <w:pPr>
              <w:spacing w:after="60"/>
              <w:jc w:val="center"/>
              <w:rPr>
                <w:b/>
                <w:bCs/>
                <w:sz w:val="20"/>
                <w:szCs w:val="20"/>
                <w:lang w:bidi="es-ES"/>
              </w:rPr>
            </w:pPr>
            <w:r w:rsidRPr="00FA5477">
              <w:rPr>
                <w:sz w:val="18"/>
                <w:szCs w:val="18"/>
                <w:lang w:bidi="es-ES"/>
              </w:rPr>
              <w:t>14,062</w:t>
            </w:r>
          </w:p>
        </w:tc>
        <w:tc>
          <w:tcPr>
            <w:tcW w:w="888" w:type="dxa"/>
            <w:shd w:val="clear" w:color="auto" w:fill="F2F2F2" w:themeFill="background1" w:themeFillShade="F2"/>
            <w:vAlign w:val="center"/>
          </w:tcPr>
          <w:p w14:paraId="1D7D5FD3" w14:textId="6C252C8B" w:rsidR="008858D2" w:rsidRPr="00FA5477" w:rsidRDefault="008858D2" w:rsidP="005F70F1">
            <w:pPr>
              <w:spacing w:after="60"/>
              <w:jc w:val="center"/>
              <w:rPr>
                <w:b/>
                <w:bCs/>
                <w:sz w:val="20"/>
                <w:szCs w:val="20"/>
                <w:lang w:bidi="es-ES"/>
              </w:rPr>
            </w:pPr>
            <w:r w:rsidRPr="00FA5477">
              <w:rPr>
                <w:sz w:val="18"/>
                <w:szCs w:val="18"/>
                <w:lang w:bidi="es-ES"/>
              </w:rPr>
              <w:t>14</w:t>
            </w:r>
          </w:p>
        </w:tc>
        <w:tc>
          <w:tcPr>
            <w:tcW w:w="725" w:type="dxa"/>
            <w:shd w:val="clear" w:color="auto" w:fill="F2F2F2" w:themeFill="background1" w:themeFillShade="F2"/>
            <w:vAlign w:val="center"/>
          </w:tcPr>
          <w:p w14:paraId="6DD1E768" w14:textId="5638D7F2" w:rsidR="008858D2" w:rsidRPr="00FA5477" w:rsidRDefault="008858D2" w:rsidP="005F70F1">
            <w:pPr>
              <w:spacing w:after="60"/>
              <w:jc w:val="center"/>
              <w:rPr>
                <w:b/>
                <w:bCs/>
                <w:sz w:val="20"/>
                <w:szCs w:val="20"/>
                <w:lang w:bidi="es-ES"/>
              </w:rPr>
            </w:pPr>
            <w:r w:rsidRPr="00FA5477">
              <w:rPr>
                <w:sz w:val="18"/>
                <w:szCs w:val="18"/>
                <w:lang w:bidi="es-ES"/>
              </w:rPr>
              <w:t>0.10</w:t>
            </w:r>
          </w:p>
        </w:tc>
      </w:tr>
      <w:tr w:rsidR="008858D2" w:rsidRPr="00FA5477" w14:paraId="4544A977" w14:textId="77777777" w:rsidTr="00C93FE4">
        <w:tc>
          <w:tcPr>
            <w:tcW w:w="2468" w:type="dxa"/>
            <w:vAlign w:val="center"/>
          </w:tcPr>
          <w:p w14:paraId="3DAA2E42" w14:textId="77777777" w:rsidR="008858D2" w:rsidRPr="00FA5477" w:rsidRDefault="008858D2" w:rsidP="005F70F1">
            <w:pPr>
              <w:spacing w:after="60"/>
              <w:jc w:val="center"/>
              <w:rPr>
                <w:b/>
                <w:bCs/>
                <w:sz w:val="18"/>
                <w:szCs w:val="18"/>
                <w:lang w:bidi="es-ES"/>
              </w:rPr>
            </w:pPr>
            <w:r w:rsidRPr="00FA5477">
              <w:rPr>
                <w:b/>
                <w:bCs/>
                <w:sz w:val="18"/>
                <w:szCs w:val="18"/>
                <w:lang w:bidi="es-ES"/>
              </w:rPr>
              <w:t>Hombres que tienen</w:t>
            </w:r>
          </w:p>
          <w:p w14:paraId="44BD5E76" w14:textId="77777777" w:rsidR="008858D2" w:rsidRPr="00FA5477" w:rsidRDefault="008858D2" w:rsidP="005F70F1">
            <w:pPr>
              <w:spacing w:after="60"/>
              <w:jc w:val="center"/>
              <w:rPr>
                <w:b/>
                <w:bCs/>
                <w:sz w:val="20"/>
                <w:szCs w:val="20"/>
                <w:lang w:bidi="es-ES"/>
              </w:rPr>
            </w:pPr>
            <w:r w:rsidRPr="00FA5477">
              <w:rPr>
                <w:b/>
                <w:bCs/>
                <w:sz w:val="18"/>
                <w:szCs w:val="18"/>
                <w:lang w:bidi="es-ES"/>
              </w:rPr>
              <w:t>sexo con hombres (HSH)</w:t>
            </w:r>
          </w:p>
        </w:tc>
        <w:tc>
          <w:tcPr>
            <w:tcW w:w="976" w:type="dxa"/>
            <w:vAlign w:val="center"/>
          </w:tcPr>
          <w:p w14:paraId="2FDDAF75" w14:textId="77777777" w:rsidR="008858D2" w:rsidRPr="00FA5477" w:rsidRDefault="008858D2" w:rsidP="005F70F1">
            <w:pPr>
              <w:spacing w:after="60"/>
              <w:jc w:val="center"/>
              <w:rPr>
                <w:b/>
                <w:bCs/>
                <w:sz w:val="20"/>
                <w:szCs w:val="20"/>
                <w:lang w:bidi="es-ES"/>
              </w:rPr>
            </w:pPr>
            <w:r w:rsidRPr="00FA5477">
              <w:rPr>
                <w:sz w:val="18"/>
                <w:szCs w:val="18"/>
                <w:lang w:bidi="es-ES"/>
              </w:rPr>
              <w:t>61,327</w:t>
            </w:r>
          </w:p>
        </w:tc>
        <w:tc>
          <w:tcPr>
            <w:tcW w:w="872" w:type="dxa"/>
            <w:vAlign w:val="center"/>
          </w:tcPr>
          <w:p w14:paraId="66A0E621" w14:textId="77777777" w:rsidR="008858D2" w:rsidRPr="00FA5477" w:rsidRDefault="008858D2" w:rsidP="005F70F1">
            <w:pPr>
              <w:spacing w:after="60"/>
              <w:jc w:val="center"/>
              <w:rPr>
                <w:b/>
                <w:bCs/>
                <w:sz w:val="20"/>
                <w:szCs w:val="20"/>
                <w:lang w:bidi="es-ES"/>
              </w:rPr>
            </w:pPr>
            <w:r w:rsidRPr="00FA5477">
              <w:rPr>
                <w:sz w:val="18"/>
                <w:szCs w:val="18"/>
                <w:lang w:bidi="es-ES"/>
              </w:rPr>
              <w:t>10.5%</w:t>
            </w:r>
          </w:p>
        </w:tc>
        <w:tc>
          <w:tcPr>
            <w:tcW w:w="800" w:type="dxa"/>
            <w:vAlign w:val="center"/>
          </w:tcPr>
          <w:p w14:paraId="45A97CE5" w14:textId="77777777" w:rsidR="008858D2" w:rsidRPr="00FA5477" w:rsidRDefault="008858D2" w:rsidP="005F70F1">
            <w:pPr>
              <w:spacing w:after="60"/>
              <w:jc w:val="center"/>
              <w:rPr>
                <w:b/>
                <w:bCs/>
                <w:sz w:val="20"/>
                <w:szCs w:val="20"/>
                <w:lang w:bidi="es-ES"/>
              </w:rPr>
            </w:pPr>
            <w:r w:rsidRPr="00FA5477">
              <w:rPr>
                <w:sz w:val="18"/>
                <w:szCs w:val="18"/>
                <w:lang w:bidi="es-ES"/>
              </w:rPr>
              <w:t>5.7</w:t>
            </w:r>
          </w:p>
        </w:tc>
        <w:tc>
          <w:tcPr>
            <w:tcW w:w="236" w:type="dxa"/>
            <w:tcBorders>
              <w:top w:val="nil"/>
              <w:bottom w:val="nil"/>
            </w:tcBorders>
            <w:shd w:val="clear" w:color="auto" w:fill="auto"/>
          </w:tcPr>
          <w:p w14:paraId="72650352" w14:textId="77777777" w:rsidR="008858D2" w:rsidRPr="00FA5477" w:rsidRDefault="008858D2" w:rsidP="005F70F1">
            <w:pPr>
              <w:spacing w:after="60"/>
              <w:jc w:val="center"/>
              <w:rPr>
                <w:sz w:val="18"/>
                <w:szCs w:val="18"/>
                <w:lang w:bidi="es-ES"/>
              </w:rPr>
            </w:pPr>
          </w:p>
        </w:tc>
        <w:tc>
          <w:tcPr>
            <w:tcW w:w="1220" w:type="dxa"/>
            <w:vAlign w:val="center"/>
          </w:tcPr>
          <w:p w14:paraId="12292F2B" w14:textId="574884A9" w:rsidR="008858D2" w:rsidRPr="00FA5477" w:rsidRDefault="008858D2" w:rsidP="005F70F1">
            <w:pPr>
              <w:spacing w:after="60"/>
              <w:jc w:val="center"/>
              <w:rPr>
                <w:b/>
                <w:bCs/>
                <w:sz w:val="20"/>
                <w:szCs w:val="20"/>
                <w:lang w:bidi="es-ES"/>
              </w:rPr>
            </w:pPr>
            <w:r w:rsidRPr="00FA5477">
              <w:rPr>
                <w:sz w:val="18"/>
                <w:szCs w:val="18"/>
                <w:lang w:bidi="es-ES"/>
              </w:rPr>
              <w:t>37,850</w:t>
            </w:r>
          </w:p>
        </w:tc>
        <w:tc>
          <w:tcPr>
            <w:tcW w:w="888" w:type="dxa"/>
            <w:vAlign w:val="center"/>
          </w:tcPr>
          <w:p w14:paraId="51032D28" w14:textId="25FD89BF" w:rsidR="008858D2" w:rsidRPr="00FA5477" w:rsidRDefault="008858D2" w:rsidP="005F70F1">
            <w:pPr>
              <w:spacing w:after="60"/>
              <w:jc w:val="center"/>
              <w:rPr>
                <w:b/>
                <w:bCs/>
                <w:sz w:val="20"/>
                <w:szCs w:val="20"/>
                <w:lang w:bidi="es-ES"/>
              </w:rPr>
            </w:pPr>
            <w:r w:rsidRPr="00FA5477">
              <w:rPr>
                <w:sz w:val="18"/>
                <w:szCs w:val="18"/>
                <w:lang w:bidi="es-ES"/>
              </w:rPr>
              <w:t>417</w:t>
            </w:r>
          </w:p>
        </w:tc>
        <w:tc>
          <w:tcPr>
            <w:tcW w:w="725" w:type="dxa"/>
            <w:vAlign w:val="center"/>
          </w:tcPr>
          <w:p w14:paraId="01E83BA4" w14:textId="59CD68B9" w:rsidR="008858D2" w:rsidRPr="00FA5477" w:rsidRDefault="008858D2" w:rsidP="005F70F1">
            <w:pPr>
              <w:spacing w:after="60"/>
              <w:jc w:val="center"/>
              <w:rPr>
                <w:b/>
                <w:bCs/>
                <w:sz w:val="20"/>
                <w:szCs w:val="20"/>
                <w:lang w:bidi="es-ES"/>
              </w:rPr>
            </w:pPr>
            <w:r w:rsidRPr="00FA5477">
              <w:rPr>
                <w:sz w:val="18"/>
                <w:szCs w:val="18"/>
                <w:lang w:bidi="es-ES"/>
              </w:rPr>
              <w:t>1.10</w:t>
            </w:r>
          </w:p>
        </w:tc>
      </w:tr>
      <w:tr w:rsidR="008858D2" w:rsidRPr="00FA5477" w14:paraId="50AD67C6" w14:textId="77777777" w:rsidTr="00C93FE4">
        <w:tc>
          <w:tcPr>
            <w:tcW w:w="2468" w:type="dxa"/>
            <w:shd w:val="clear" w:color="auto" w:fill="F2F2F2" w:themeFill="background1" w:themeFillShade="F2"/>
            <w:vAlign w:val="center"/>
          </w:tcPr>
          <w:p w14:paraId="76261E7C" w14:textId="77777777" w:rsidR="008858D2" w:rsidRPr="00FA5477" w:rsidRDefault="008858D2" w:rsidP="005F70F1">
            <w:pPr>
              <w:spacing w:after="60"/>
              <w:jc w:val="center"/>
              <w:rPr>
                <w:b/>
                <w:bCs/>
                <w:sz w:val="18"/>
                <w:szCs w:val="18"/>
                <w:lang w:bidi="es-ES"/>
              </w:rPr>
            </w:pPr>
            <w:r w:rsidRPr="00FA5477">
              <w:rPr>
                <w:b/>
                <w:bCs/>
                <w:sz w:val="18"/>
                <w:szCs w:val="18"/>
                <w:lang w:bidi="es-ES"/>
              </w:rPr>
              <w:t>Mujeres Trans</w:t>
            </w:r>
          </w:p>
          <w:p w14:paraId="2F6C6D3D" w14:textId="77777777" w:rsidR="008858D2" w:rsidRPr="00FA5477" w:rsidRDefault="008858D2" w:rsidP="005F70F1">
            <w:pPr>
              <w:spacing w:after="60"/>
              <w:jc w:val="center"/>
              <w:rPr>
                <w:b/>
                <w:bCs/>
                <w:sz w:val="20"/>
                <w:szCs w:val="20"/>
                <w:lang w:bidi="es-ES"/>
              </w:rPr>
            </w:pPr>
            <w:r w:rsidRPr="00FA5477">
              <w:rPr>
                <w:b/>
                <w:bCs/>
                <w:sz w:val="18"/>
                <w:szCs w:val="18"/>
                <w:lang w:bidi="es-ES"/>
              </w:rPr>
              <w:t>(MTrans)</w:t>
            </w:r>
          </w:p>
        </w:tc>
        <w:tc>
          <w:tcPr>
            <w:tcW w:w="976" w:type="dxa"/>
            <w:shd w:val="clear" w:color="auto" w:fill="F2F2F2" w:themeFill="background1" w:themeFillShade="F2"/>
            <w:vAlign w:val="center"/>
          </w:tcPr>
          <w:p w14:paraId="6DA7901A" w14:textId="77777777" w:rsidR="008858D2" w:rsidRPr="00FA5477" w:rsidRDefault="008858D2" w:rsidP="005F70F1">
            <w:pPr>
              <w:spacing w:after="60"/>
              <w:jc w:val="center"/>
              <w:rPr>
                <w:b/>
                <w:bCs/>
                <w:sz w:val="20"/>
                <w:szCs w:val="20"/>
                <w:lang w:bidi="es-ES"/>
              </w:rPr>
            </w:pPr>
            <w:r w:rsidRPr="00FA5477">
              <w:rPr>
                <w:sz w:val="18"/>
                <w:szCs w:val="18"/>
                <w:lang w:bidi="es-ES"/>
              </w:rPr>
              <w:t>1,956</w:t>
            </w:r>
          </w:p>
        </w:tc>
        <w:tc>
          <w:tcPr>
            <w:tcW w:w="872" w:type="dxa"/>
            <w:shd w:val="clear" w:color="auto" w:fill="F2F2F2" w:themeFill="background1" w:themeFillShade="F2"/>
            <w:vAlign w:val="center"/>
          </w:tcPr>
          <w:p w14:paraId="50503892" w14:textId="6D40DFD7" w:rsidR="008858D2" w:rsidRPr="00FA5477" w:rsidRDefault="008858D2" w:rsidP="005F70F1">
            <w:pPr>
              <w:spacing w:after="60"/>
              <w:jc w:val="center"/>
              <w:rPr>
                <w:b/>
                <w:bCs/>
                <w:sz w:val="20"/>
                <w:szCs w:val="20"/>
                <w:lang w:bidi="es-ES"/>
              </w:rPr>
            </w:pPr>
            <w:r w:rsidRPr="00FA5477">
              <w:rPr>
                <w:sz w:val="18"/>
                <w:szCs w:val="18"/>
                <w:lang w:bidi="es-ES"/>
              </w:rPr>
              <w:t>16.2%</w:t>
            </w:r>
          </w:p>
        </w:tc>
        <w:tc>
          <w:tcPr>
            <w:tcW w:w="800" w:type="dxa"/>
            <w:shd w:val="clear" w:color="auto" w:fill="F2F2F2" w:themeFill="background1" w:themeFillShade="F2"/>
            <w:vAlign w:val="center"/>
          </w:tcPr>
          <w:p w14:paraId="30970E15" w14:textId="77777777" w:rsidR="008858D2" w:rsidRPr="00FA5477" w:rsidRDefault="008858D2" w:rsidP="005F70F1">
            <w:pPr>
              <w:spacing w:after="60"/>
              <w:jc w:val="center"/>
              <w:rPr>
                <w:b/>
                <w:bCs/>
                <w:sz w:val="20"/>
                <w:szCs w:val="20"/>
                <w:lang w:bidi="es-ES"/>
              </w:rPr>
            </w:pPr>
            <w:r w:rsidRPr="00FA5477">
              <w:rPr>
                <w:sz w:val="18"/>
                <w:szCs w:val="18"/>
                <w:lang w:bidi="es-ES"/>
              </w:rPr>
              <w:t>13.1</w:t>
            </w:r>
          </w:p>
        </w:tc>
        <w:tc>
          <w:tcPr>
            <w:tcW w:w="236" w:type="dxa"/>
            <w:tcBorders>
              <w:top w:val="nil"/>
            </w:tcBorders>
            <w:shd w:val="clear" w:color="auto" w:fill="auto"/>
          </w:tcPr>
          <w:p w14:paraId="51E7AE40" w14:textId="77777777" w:rsidR="008858D2" w:rsidRPr="00FA5477" w:rsidRDefault="008858D2" w:rsidP="005F70F1">
            <w:pPr>
              <w:spacing w:after="60"/>
              <w:jc w:val="center"/>
              <w:rPr>
                <w:sz w:val="18"/>
                <w:szCs w:val="18"/>
                <w:lang w:bidi="es-ES"/>
              </w:rPr>
            </w:pPr>
          </w:p>
        </w:tc>
        <w:tc>
          <w:tcPr>
            <w:tcW w:w="1220" w:type="dxa"/>
            <w:shd w:val="clear" w:color="auto" w:fill="F2F2F2" w:themeFill="background1" w:themeFillShade="F2"/>
            <w:vAlign w:val="center"/>
          </w:tcPr>
          <w:p w14:paraId="2E041BB0" w14:textId="2FB82FF6" w:rsidR="008858D2" w:rsidRPr="00FA5477" w:rsidRDefault="008858D2" w:rsidP="005F70F1">
            <w:pPr>
              <w:spacing w:after="60"/>
              <w:jc w:val="center"/>
              <w:rPr>
                <w:b/>
                <w:bCs/>
                <w:sz w:val="20"/>
                <w:szCs w:val="20"/>
                <w:lang w:bidi="es-ES"/>
              </w:rPr>
            </w:pPr>
            <w:r w:rsidRPr="00FA5477">
              <w:rPr>
                <w:sz w:val="18"/>
                <w:szCs w:val="18"/>
                <w:lang w:bidi="es-ES"/>
              </w:rPr>
              <w:t>1,995</w:t>
            </w:r>
          </w:p>
        </w:tc>
        <w:tc>
          <w:tcPr>
            <w:tcW w:w="888" w:type="dxa"/>
            <w:shd w:val="clear" w:color="auto" w:fill="F2F2F2" w:themeFill="background1" w:themeFillShade="F2"/>
            <w:vAlign w:val="center"/>
          </w:tcPr>
          <w:p w14:paraId="6EA70387" w14:textId="3F78C3D9" w:rsidR="008858D2" w:rsidRPr="00FA5477" w:rsidRDefault="008858D2" w:rsidP="005F70F1">
            <w:pPr>
              <w:spacing w:after="60"/>
              <w:jc w:val="center"/>
              <w:rPr>
                <w:b/>
                <w:bCs/>
                <w:sz w:val="20"/>
                <w:szCs w:val="20"/>
                <w:lang w:bidi="es-ES"/>
              </w:rPr>
            </w:pPr>
            <w:r w:rsidRPr="00FA5477">
              <w:rPr>
                <w:sz w:val="18"/>
                <w:szCs w:val="18"/>
                <w:lang w:bidi="es-ES"/>
              </w:rPr>
              <w:t>23</w:t>
            </w:r>
          </w:p>
        </w:tc>
        <w:tc>
          <w:tcPr>
            <w:tcW w:w="725" w:type="dxa"/>
            <w:shd w:val="clear" w:color="auto" w:fill="F2F2F2" w:themeFill="background1" w:themeFillShade="F2"/>
            <w:vAlign w:val="center"/>
          </w:tcPr>
          <w:p w14:paraId="183F5505" w14:textId="3371A13B" w:rsidR="008858D2" w:rsidRPr="00FA5477" w:rsidRDefault="008858D2" w:rsidP="005F70F1">
            <w:pPr>
              <w:spacing w:after="60"/>
              <w:jc w:val="center"/>
              <w:rPr>
                <w:b/>
                <w:bCs/>
                <w:sz w:val="20"/>
                <w:szCs w:val="20"/>
                <w:lang w:bidi="es-ES"/>
              </w:rPr>
            </w:pPr>
            <w:r w:rsidRPr="00FA5477">
              <w:rPr>
                <w:sz w:val="18"/>
                <w:szCs w:val="18"/>
                <w:lang w:bidi="es-ES"/>
              </w:rPr>
              <w:t>1.15</w:t>
            </w:r>
          </w:p>
        </w:tc>
      </w:tr>
    </w:tbl>
    <w:p w14:paraId="2772F14C" w14:textId="6E1D5C58" w:rsidR="009D5B43" w:rsidRPr="00FA5477" w:rsidRDefault="009D5B43" w:rsidP="00C93FE4">
      <w:pPr>
        <w:spacing w:line="160" w:lineRule="atLeast"/>
        <w:ind w:left="2805" w:hanging="645"/>
        <w:jc w:val="both"/>
        <w:rPr>
          <w:sz w:val="16"/>
          <w:szCs w:val="16"/>
          <w:lang w:bidi="es-ES"/>
        </w:rPr>
      </w:pPr>
      <w:r w:rsidRPr="00FA5477">
        <w:rPr>
          <w:sz w:val="16"/>
          <w:szCs w:val="16"/>
          <w:lang w:bidi="es-ES"/>
        </w:rPr>
        <w:t xml:space="preserve">Fuente:  a) </w:t>
      </w:r>
      <w:r w:rsidR="00900085" w:rsidRPr="00FA5477">
        <w:rPr>
          <w:sz w:val="16"/>
          <w:szCs w:val="16"/>
          <w:lang w:bidi="es-ES"/>
        </w:rPr>
        <w:t>PENM VIH 2022-2027</w:t>
      </w:r>
      <w:r w:rsidR="00FF78D9" w:rsidRPr="00FA5477">
        <w:rPr>
          <w:sz w:val="16"/>
          <w:szCs w:val="16"/>
          <w:lang w:bidi="es-ES"/>
        </w:rPr>
        <w:t>, página 28. [Anexo</w:t>
      </w:r>
      <w:r w:rsidR="006607F8" w:rsidRPr="00FA5477">
        <w:rPr>
          <w:sz w:val="16"/>
          <w:szCs w:val="16"/>
          <w:lang w:bidi="es-ES"/>
        </w:rPr>
        <w:t xml:space="preserve"> </w:t>
      </w:r>
      <w:r w:rsidR="006607F8" w:rsidRPr="00FA5477">
        <w:rPr>
          <w:sz w:val="16"/>
          <w:szCs w:val="16"/>
        </w:rPr>
        <w:t>5]</w:t>
      </w:r>
      <w:r w:rsidR="008858D2" w:rsidRPr="00FA5477">
        <w:rPr>
          <w:sz w:val="16"/>
          <w:szCs w:val="16"/>
          <w:lang w:bidi="es-ES"/>
        </w:rPr>
        <w:t xml:space="preserve"> </w:t>
      </w:r>
      <w:r w:rsidR="00FF78D9" w:rsidRPr="00FA5477">
        <w:rPr>
          <w:sz w:val="16"/>
          <w:szCs w:val="16"/>
          <w:lang w:bidi="es-ES"/>
        </w:rPr>
        <w:t xml:space="preserve"> </w:t>
      </w:r>
      <w:r w:rsidRPr="00FA5477">
        <w:rPr>
          <w:sz w:val="16"/>
          <w:szCs w:val="16"/>
          <w:lang w:bidi="es-ES"/>
        </w:rPr>
        <w:t xml:space="preserve"> | b) PUDR 2023</w:t>
      </w:r>
    </w:p>
    <w:p w14:paraId="557FD607" w14:textId="77777777" w:rsidR="007C2DFC" w:rsidRPr="00FA5477" w:rsidRDefault="007C2DFC" w:rsidP="007C2DFC">
      <w:pPr>
        <w:spacing w:before="120" w:after="60"/>
        <w:ind w:left="1276" w:right="153"/>
        <w:jc w:val="both"/>
        <w:rPr>
          <w:i/>
          <w:iCs/>
        </w:rPr>
      </w:pPr>
      <w:r w:rsidRPr="00FA5477">
        <w:rPr>
          <w:i/>
          <w:iCs/>
        </w:rPr>
        <w:t>Actividades colaborativas relacionadas con la tuberculosis y el VIH</w:t>
      </w:r>
    </w:p>
    <w:p w14:paraId="672968C7" w14:textId="75E8C3DD" w:rsidR="000B0968" w:rsidRPr="00FA5477" w:rsidRDefault="000B0968" w:rsidP="000B0968">
      <w:pPr>
        <w:spacing w:after="60"/>
        <w:ind w:left="1276" w:right="153"/>
        <w:jc w:val="both"/>
      </w:pPr>
      <w:r w:rsidRPr="00FA5477">
        <w:t>En el país se realiza monitoreo conjunto VIH/TB para la vigilancia de la coinfección. En 2022 se notificaron 188 personas con TB que tenían VIH, de un total de 2,517 casos de TB notificados en ese año, lo que corresponde a 7.5% de casos de coinfección VIH/TB. En ese año se le realizó tamizaje para TB al 57.2% de personas con VIH (casos nuevos y antiguos) vinculadas a los servicios de salud. El 77% de personas con VIH que ingresaron a TAR recibieron tratamiento preventivo para TB y al 95% de personas con coinfección TB/VIH se les administro TMP/SMX. En año 2021 de los que ingresaron a tratamiento para TB en el 69% se alcanzó el éxito de tratamiento por coinfección TB</w:t>
      </w:r>
      <w:r w:rsidR="00EB502D" w:rsidRPr="00FA5477">
        <w:t>/</w:t>
      </w:r>
      <w:r w:rsidRPr="00FA5477">
        <w:t>VIH y 16% de los notificados fallecieron.</w:t>
      </w:r>
      <w:r w:rsidRPr="00FA5477">
        <w:rPr>
          <w:rStyle w:val="Refdenotaalpie"/>
        </w:rPr>
        <w:footnoteReference w:id="7"/>
      </w:r>
    </w:p>
    <w:p w14:paraId="3AA5963A" w14:textId="3F49F9C2" w:rsidR="000B0968" w:rsidRPr="00FA5477" w:rsidRDefault="000B0968" w:rsidP="000B0968">
      <w:pPr>
        <w:spacing w:after="60"/>
        <w:ind w:left="1276" w:right="153"/>
        <w:jc w:val="both"/>
      </w:pPr>
      <w:r w:rsidRPr="00FA5477">
        <w:t>El país continúa asumiendo los desafíos de superar las brechas observadas, fortaleciendo la integración programáticas de los programas TB y VIH realizando las actividades colaborativas de intensificar la búsqueda de casos de TB en personas con VIH, implementar quimioprofilaxis para el manejo de la infección por TB latente y el inicio rápido de la terapia antirretroviral en acompañamiento de las estrategias prueba y tratamiento para la reducción de los tiempos de atención de ambas enfermedades, con el fin de controlar la coinfección TB/VIH; utilizando las directrices actualizadas de la OMS, la estrategia Fin de la TB y la vía rápida para la erradicación del VIH en el 2030.</w:t>
      </w:r>
      <w:r w:rsidR="0081407D" w:rsidRPr="00FA5477">
        <w:t xml:space="preserve"> </w:t>
      </w:r>
    </w:p>
    <w:p w14:paraId="4B9A9094" w14:textId="6D644169" w:rsidR="008D2C73" w:rsidRPr="00FA5477" w:rsidRDefault="008D2C73" w:rsidP="000B0968">
      <w:pPr>
        <w:spacing w:after="60"/>
        <w:ind w:left="1276" w:right="153"/>
        <w:jc w:val="both"/>
      </w:pPr>
      <w:r w:rsidRPr="00FA5477">
        <w:t>La selección de los indicadores para esta solicitud de financiamiento, con el enfoque de pago por resultados</w:t>
      </w:r>
      <w:r w:rsidR="00166798" w:rsidRPr="00FA5477">
        <w:t>,</w:t>
      </w:r>
      <w:r w:rsidRPr="00FA5477">
        <w:t xml:space="preserve"> se ha hecho tomando en consideración </w:t>
      </w:r>
      <w:r w:rsidR="00832F4C" w:rsidRPr="00FA5477">
        <w:t>el contexto epidemiológico del país, l</w:t>
      </w:r>
      <w:r w:rsidR="004725AD" w:rsidRPr="00FA5477">
        <w:t>a carga de enfermedad</w:t>
      </w:r>
      <w:r w:rsidR="009F54B0" w:rsidRPr="00FA5477">
        <w:t xml:space="preserve"> y</w:t>
      </w:r>
      <w:r w:rsidR="004725AD" w:rsidRPr="00FA5477">
        <w:t xml:space="preserve"> </w:t>
      </w:r>
      <w:r w:rsidR="00832F4C" w:rsidRPr="00FA5477">
        <w:t xml:space="preserve">las </w:t>
      </w:r>
      <w:r w:rsidR="004725AD" w:rsidRPr="00FA5477">
        <w:t>necesidades de las poblaciones clave y vulnerables</w:t>
      </w:r>
      <w:r w:rsidR="009F54B0" w:rsidRPr="00FA5477">
        <w:t>. Con ell</w:t>
      </w:r>
      <w:r w:rsidR="0081407D" w:rsidRPr="00FA5477">
        <w:t>a</w:t>
      </w:r>
      <w:r w:rsidR="009F54B0" w:rsidRPr="00FA5477">
        <w:t xml:space="preserve">s se permitirá </w:t>
      </w:r>
      <w:r w:rsidR="00832F4C" w:rsidRPr="00FA5477">
        <w:t>dar seguimiento a intervenciones basadas en evidencia que se implementan en el país, como la PrEP</w:t>
      </w:r>
      <w:r w:rsidR="0081407D" w:rsidRPr="00FA5477">
        <w:t>, NAC/NAP, Autopruebas</w:t>
      </w:r>
      <w:r w:rsidR="00952D56" w:rsidRPr="00FA5477">
        <w:t>, seguimiento a personas VIH en TAR para asegurar la retención y adherencia, entre otras</w:t>
      </w:r>
      <w:r w:rsidR="0081407D" w:rsidRPr="00FA5477">
        <w:t xml:space="preserve"> que contribuirán</w:t>
      </w:r>
      <w:r w:rsidR="009F54B0" w:rsidRPr="00FA5477">
        <w:t xml:space="preserve"> a reducir las brechas en los pilares del continuo de la atención </w:t>
      </w:r>
      <w:r w:rsidR="00832F4C" w:rsidRPr="00FA5477">
        <w:t>de personas con VIH</w:t>
      </w:r>
      <w:r w:rsidR="009F54B0" w:rsidRPr="00FA5477">
        <w:t>;</w:t>
      </w:r>
      <w:r w:rsidR="00832F4C" w:rsidRPr="00FA5477">
        <w:t xml:space="preserve"> </w:t>
      </w:r>
      <w:r w:rsidR="00952D56" w:rsidRPr="00FA5477">
        <w:t xml:space="preserve">de igual manera se establecen intervenciones para </w:t>
      </w:r>
      <w:r w:rsidR="009F54B0" w:rsidRPr="00FA5477">
        <w:t>la p</w:t>
      </w:r>
      <w:r w:rsidR="002B1DD2" w:rsidRPr="00FA5477">
        <w:t>revención</w:t>
      </w:r>
      <w:r w:rsidR="00952D56" w:rsidRPr="00FA5477">
        <w:t>,</w:t>
      </w:r>
      <w:r w:rsidR="002B1DD2" w:rsidRPr="00FA5477">
        <w:t xml:space="preserve"> manejo integral y oportuno de la coinfección VIH</w:t>
      </w:r>
      <w:r w:rsidR="009F54B0" w:rsidRPr="00FA5477">
        <w:t>/</w:t>
      </w:r>
      <w:r w:rsidR="002B1DD2" w:rsidRPr="00FA5477">
        <w:t>T</w:t>
      </w:r>
      <w:r w:rsidR="009F54B0" w:rsidRPr="00FA5477">
        <w:t>B</w:t>
      </w:r>
      <w:r w:rsidR="00952D56" w:rsidRPr="00FA5477">
        <w:t xml:space="preserve"> dándole énfasis con el tamizaje de TB en los nuevos diagnóstico de VIH y asegurando la terapia preventiva para infección latente de TB (ILTB).</w:t>
      </w:r>
      <w:r w:rsidR="009F54B0" w:rsidRPr="00FA5477">
        <w:t xml:space="preserve"> </w:t>
      </w:r>
      <w:r w:rsidR="00952D56" w:rsidRPr="00FA5477">
        <w:t>Todas estas acciones permitirán evaluar el impacto de las acciones que el país implementa para eliminar el VIH como problema de salud pública al 2030.</w:t>
      </w:r>
    </w:p>
    <w:p w14:paraId="1CA3ED65" w14:textId="23F7E213" w:rsidR="00BF4384" w:rsidRPr="00FA5477" w:rsidRDefault="000B0968" w:rsidP="00BF4384">
      <w:pPr>
        <w:spacing w:after="60"/>
        <w:ind w:left="1276" w:right="153"/>
        <w:jc w:val="both"/>
      </w:pPr>
      <w:r w:rsidRPr="00FA5477">
        <w:t xml:space="preserve">La priorización de las intervenciones </w:t>
      </w:r>
      <w:r w:rsidR="00952D56" w:rsidRPr="00FA5477">
        <w:t xml:space="preserve">contenidas </w:t>
      </w:r>
      <w:r w:rsidRPr="00FA5477">
        <w:t xml:space="preserve">en esta solicitud de financiamiento responde a la necesidad de cerrar las principales </w:t>
      </w:r>
      <w:r w:rsidR="00BF4384" w:rsidRPr="00FA5477">
        <w:t xml:space="preserve">brechas, primordialmente en el pilar de retención, fortaleciendo la integración de acciones programáticas TB/VIH, y así poder alcanzar </w:t>
      </w:r>
      <w:r w:rsidRPr="00FA5477">
        <w:t>las metas al 2030</w:t>
      </w:r>
      <w:r w:rsidR="00BF4384" w:rsidRPr="00FA5477">
        <w:t>. Las intervenciones colaborativas VIH/TB a cargo del componente VIH están incluidas en el PENM-VIH 2022-2027 y están siendo financiadas por fondos GOES, en tanto que las actividades colaborativas del componente de TB están incluidas en el PENM-TB 2022-2027 y están siendo financiadas por fondos GOES y el cofinanciamiento del Fondo Mundial.</w:t>
      </w:r>
    </w:p>
    <w:p w14:paraId="63208A37" w14:textId="52A50BFA" w:rsidR="00AD5929" w:rsidRPr="00FA5477" w:rsidRDefault="00AD5929" w:rsidP="000335E8">
      <w:pPr>
        <w:spacing w:before="120" w:after="60"/>
        <w:ind w:left="1276" w:right="153"/>
        <w:jc w:val="both"/>
        <w:rPr>
          <w:b/>
          <w:bCs/>
        </w:rPr>
      </w:pPr>
      <w:r w:rsidRPr="00FA5477">
        <w:rPr>
          <w:b/>
          <w:bCs/>
        </w:rPr>
        <w:t xml:space="preserve">Cambios en el panorama de financiamiento </w:t>
      </w:r>
    </w:p>
    <w:p w14:paraId="253F85A6" w14:textId="6DDB434D" w:rsidR="00793E88" w:rsidRPr="00FA5477" w:rsidRDefault="00793E88" w:rsidP="000335E8">
      <w:pPr>
        <w:spacing w:before="120" w:after="60"/>
        <w:ind w:left="1276" w:right="153"/>
        <w:jc w:val="both"/>
      </w:pPr>
      <w:r w:rsidRPr="00FA5477">
        <w:t xml:space="preserve">Como resultado de las lecciones aprendidas en el proyecto ejecutado entre 2019-2021 ‘SLV-H-MOH’, el pleno del MCP-ES </w:t>
      </w:r>
      <w:r w:rsidR="008240F8" w:rsidRPr="00FA5477">
        <w:t xml:space="preserve">en las sesiones del 13 y 20 de julio de 2023, </w:t>
      </w:r>
      <w:r w:rsidRPr="00FA5477">
        <w:t xml:space="preserve">decidió </w:t>
      </w:r>
      <w:r w:rsidR="008240F8" w:rsidRPr="00FA5477">
        <w:t xml:space="preserve">que </w:t>
      </w:r>
      <w:r w:rsidRPr="00FA5477">
        <w:t>para la subvención 2022-2024 los proyectos deben ser administrados en doble vía, con dos Receptores Principales, uno del sector gobierno y otro de sociedad civil</w:t>
      </w:r>
      <w:r w:rsidR="00817836" w:rsidRPr="00FA5477">
        <w:t xml:space="preserve"> (ver detalles en la sección 3).</w:t>
      </w:r>
    </w:p>
    <w:p w14:paraId="056BE787" w14:textId="658A29D5" w:rsidR="00793E88" w:rsidRPr="00FA5477" w:rsidRDefault="00793E88" w:rsidP="000335E8">
      <w:pPr>
        <w:spacing w:before="120" w:after="60"/>
        <w:ind w:left="1276" w:right="153"/>
        <w:jc w:val="both"/>
      </w:pPr>
      <w:r w:rsidRPr="00FA5477">
        <w:t xml:space="preserve">Como resultados del diálogo entre el </w:t>
      </w:r>
      <w:r w:rsidR="00B41D92" w:rsidRPr="00FA5477">
        <w:t xml:space="preserve">equipo país </w:t>
      </w:r>
      <w:r w:rsidRPr="00FA5477">
        <w:t>del Fondo Mundial y el país, en aras de una mejor gestión, se decidió implementar esta subvención a través de dos modalidades diferentes de pago (por insumos y por resultados), con el objetivo de cerrar brechas identificadas en el transcurso de la implementación de la subvención de VIH 2022-2024.</w:t>
      </w:r>
    </w:p>
    <w:p w14:paraId="2682B842" w14:textId="5D40B328" w:rsidR="000335E8" w:rsidRPr="00FA5477" w:rsidRDefault="000335E8" w:rsidP="000335E8">
      <w:pPr>
        <w:spacing w:after="60"/>
        <w:ind w:left="1276" w:right="153"/>
        <w:jc w:val="both"/>
        <w:rPr>
          <w:i/>
          <w:iCs/>
        </w:rPr>
      </w:pPr>
      <w:r w:rsidRPr="00FA5477">
        <w:rPr>
          <w:i/>
          <w:iCs/>
        </w:rPr>
        <w:t>Cambios en el contexto que influyen en la equidad del acceso a servicios de salud.</w:t>
      </w:r>
    </w:p>
    <w:p w14:paraId="7D291DFE" w14:textId="7F316F06" w:rsidR="00D803EF" w:rsidRPr="00FA5477" w:rsidRDefault="00C917A9" w:rsidP="0040122A">
      <w:pPr>
        <w:spacing w:after="60"/>
        <w:ind w:left="1276" w:right="153"/>
        <w:jc w:val="both"/>
      </w:pPr>
      <w:r w:rsidRPr="00FA5477">
        <w:t xml:space="preserve">A inicios de 2024 han acontecido cambios en </w:t>
      </w:r>
      <w:r w:rsidR="000A21AC" w:rsidRPr="00FA5477">
        <w:t>los términos</w:t>
      </w:r>
      <w:r w:rsidRPr="00FA5477">
        <w:t xml:space="preserve"> para llamar a las </w:t>
      </w:r>
      <w:r w:rsidR="00674E06" w:rsidRPr="00FA5477">
        <w:t>personas transgénero</w:t>
      </w:r>
      <w:r w:rsidRPr="00FA5477">
        <w:t xml:space="preserve">, -según consulta realizada por organizaciones de poblaciones clave- esto ha conllevado a que las </w:t>
      </w:r>
      <w:r w:rsidR="00674E06" w:rsidRPr="00FA5477">
        <w:t>personas transgénero</w:t>
      </w:r>
      <w:r w:rsidRPr="00FA5477">
        <w:t xml:space="preserve"> no quieran asistir a las clínicas VICITS y amigables para recibir atención diferenciada, lo que implica encontrar alternativas para contar con servicios comunitarios con énfasis en la prevención del VIH.</w:t>
      </w:r>
    </w:p>
    <w:p w14:paraId="3A103DB8" w14:textId="456A96A7" w:rsidR="000F3D1A" w:rsidRPr="00FA5477" w:rsidRDefault="008B2B26" w:rsidP="00D52C53">
      <w:pPr>
        <w:pStyle w:val="Prrafodelista"/>
        <w:numPr>
          <w:ilvl w:val="1"/>
          <w:numId w:val="3"/>
        </w:numPr>
        <w:tabs>
          <w:tab w:val="left" w:pos="853"/>
        </w:tabs>
        <w:spacing w:after="60" w:line="264" w:lineRule="auto"/>
        <w:ind w:left="850" w:right="147" w:hanging="720"/>
        <w:jc w:val="both"/>
        <w:rPr>
          <w:sz w:val="24"/>
        </w:rPr>
      </w:pPr>
      <w:r w:rsidRPr="00FA5477">
        <w:rPr>
          <w:rFonts w:ascii="Arial" w:hAnsi="Arial"/>
          <w:b/>
          <w:sz w:val="24"/>
        </w:rPr>
        <w:t>Requisitos del enfoque de la solicitud</w:t>
      </w:r>
      <w:r w:rsidRPr="00FA5477">
        <w:rPr>
          <w:sz w:val="24"/>
        </w:rPr>
        <w:t>: describa cómo la solicitud de financiamiento</w:t>
      </w:r>
      <w:r w:rsidRPr="00FA5477">
        <w:rPr>
          <w:spacing w:val="1"/>
          <w:sz w:val="24"/>
        </w:rPr>
        <w:t xml:space="preserve"> </w:t>
      </w:r>
      <w:r w:rsidRPr="00FA5477">
        <w:rPr>
          <w:sz w:val="24"/>
        </w:rPr>
        <w:t>cumple</w:t>
      </w:r>
      <w:r w:rsidRPr="00FA5477">
        <w:rPr>
          <w:spacing w:val="-2"/>
          <w:sz w:val="24"/>
        </w:rPr>
        <w:t xml:space="preserve"> </w:t>
      </w:r>
      <w:r w:rsidRPr="00FA5477">
        <w:rPr>
          <w:sz w:val="24"/>
        </w:rPr>
        <w:t>los</w:t>
      </w:r>
      <w:r w:rsidRPr="00FA5477">
        <w:rPr>
          <w:spacing w:val="-1"/>
          <w:sz w:val="24"/>
        </w:rPr>
        <w:t xml:space="preserve"> </w:t>
      </w:r>
      <w:r w:rsidRPr="00FA5477">
        <w:rPr>
          <w:sz w:val="24"/>
        </w:rPr>
        <w:t>requisitos</w:t>
      </w:r>
      <w:r w:rsidRPr="00FA5477">
        <w:rPr>
          <w:spacing w:val="-4"/>
          <w:sz w:val="24"/>
        </w:rPr>
        <w:t xml:space="preserve"> </w:t>
      </w:r>
      <w:r w:rsidRPr="00FA5477">
        <w:rPr>
          <w:sz w:val="24"/>
        </w:rPr>
        <w:t>del</w:t>
      </w:r>
      <w:r w:rsidRPr="00FA5477">
        <w:rPr>
          <w:spacing w:val="-2"/>
          <w:sz w:val="24"/>
        </w:rPr>
        <w:t xml:space="preserve"> </w:t>
      </w:r>
      <w:r w:rsidRPr="00FA5477">
        <w:rPr>
          <w:sz w:val="24"/>
        </w:rPr>
        <w:t>enfoque</w:t>
      </w:r>
      <w:r w:rsidRPr="00FA5477">
        <w:rPr>
          <w:spacing w:val="-2"/>
          <w:sz w:val="24"/>
        </w:rPr>
        <w:t xml:space="preserve"> </w:t>
      </w:r>
      <w:r w:rsidRPr="00FA5477">
        <w:rPr>
          <w:sz w:val="24"/>
        </w:rPr>
        <w:t>de</w:t>
      </w:r>
      <w:r w:rsidRPr="00FA5477">
        <w:rPr>
          <w:spacing w:val="-1"/>
          <w:sz w:val="24"/>
        </w:rPr>
        <w:t xml:space="preserve"> </w:t>
      </w:r>
      <w:r w:rsidRPr="00FA5477">
        <w:rPr>
          <w:sz w:val="24"/>
        </w:rPr>
        <w:t>la</w:t>
      </w:r>
      <w:r w:rsidRPr="00FA5477">
        <w:rPr>
          <w:spacing w:val="-2"/>
          <w:sz w:val="24"/>
        </w:rPr>
        <w:t xml:space="preserve"> </w:t>
      </w:r>
      <w:r w:rsidRPr="00FA5477">
        <w:rPr>
          <w:sz w:val="24"/>
        </w:rPr>
        <w:t>solicitud</w:t>
      </w:r>
      <w:r w:rsidRPr="00FA5477">
        <w:rPr>
          <w:spacing w:val="-1"/>
          <w:sz w:val="24"/>
        </w:rPr>
        <w:t xml:space="preserve"> </w:t>
      </w:r>
      <w:r w:rsidRPr="00FA5477">
        <w:rPr>
          <w:sz w:val="24"/>
        </w:rPr>
        <w:t>estipulados</w:t>
      </w:r>
      <w:r w:rsidRPr="00FA5477">
        <w:rPr>
          <w:spacing w:val="-4"/>
          <w:sz w:val="24"/>
        </w:rPr>
        <w:t xml:space="preserve"> </w:t>
      </w:r>
      <w:r w:rsidRPr="00FA5477">
        <w:rPr>
          <w:sz w:val="24"/>
        </w:rPr>
        <w:t>en</w:t>
      </w:r>
      <w:r w:rsidRPr="00FA5477">
        <w:rPr>
          <w:spacing w:val="-1"/>
          <w:sz w:val="24"/>
        </w:rPr>
        <w:t xml:space="preserve"> </w:t>
      </w:r>
      <w:r w:rsidRPr="00FA5477">
        <w:rPr>
          <w:sz w:val="24"/>
        </w:rPr>
        <w:t>la</w:t>
      </w:r>
      <w:r w:rsidRPr="00FA5477">
        <w:rPr>
          <w:spacing w:val="-4"/>
          <w:sz w:val="24"/>
        </w:rPr>
        <w:t xml:space="preserve"> </w:t>
      </w:r>
      <w:r w:rsidRPr="00FA5477">
        <w:rPr>
          <w:sz w:val="24"/>
        </w:rPr>
        <w:t>carta</w:t>
      </w:r>
      <w:r w:rsidRPr="00FA5477">
        <w:rPr>
          <w:spacing w:val="-1"/>
          <w:sz w:val="24"/>
        </w:rPr>
        <w:t xml:space="preserve"> </w:t>
      </w:r>
      <w:r w:rsidRPr="00FA5477">
        <w:rPr>
          <w:sz w:val="24"/>
        </w:rPr>
        <w:t>de</w:t>
      </w:r>
      <w:r w:rsidRPr="00FA5477">
        <w:rPr>
          <w:spacing w:val="-4"/>
          <w:sz w:val="24"/>
        </w:rPr>
        <w:t xml:space="preserve"> </w:t>
      </w:r>
      <w:r w:rsidRPr="00FA5477">
        <w:rPr>
          <w:sz w:val="24"/>
        </w:rPr>
        <w:t>asignación.</w:t>
      </w:r>
    </w:p>
    <w:p w14:paraId="2C09F1B9" w14:textId="29CAABAD" w:rsidR="00D52C53" w:rsidRPr="00FA5477" w:rsidRDefault="00D52C53" w:rsidP="005D2C81">
      <w:pPr>
        <w:pStyle w:val="Textoindependiente"/>
        <w:spacing w:after="120" w:line="264" w:lineRule="auto"/>
        <w:ind w:left="1134" w:hanging="414"/>
        <w:jc w:val="both"/>
        <w:rPr>
          <w:i/>
          <w:iCs/>
        </w:rPr>
      </w:pPr>
      <w:r w:rsidRPr="00FA5477">
        <w:t>Requisito 1:</w:t>
      </w:r>
      <w:r w:rsidRPr="00FA5477">
        <w:rPr>
          <w:i/>
          <w:iCs/>
        </w:rPr>
        <w:t xml:space="preserve"> ‘Destinar al menos el 50% de la asignación a intervenciones específicas para poblaciones clave y vulnerables o a las intervenciones con mayor impacto dentro de un contexto epidemiológico definido</w:t>
      </w:r>
      <w:r w:rsidR="000E2C84" w:rsidRPr="00FA5477">
        <w:rPr>
          <w:rStyle w:val="Refdenotaalpie"/>
          <w:i/>
          <w:iCs/>
        </w:rPr>
        <w:footnoteReference w:id="8"/>
      </w:r>
      <w:r w:rsidRPr="00FA5477">
        <w:rPr>
          <w:i/>
          <w:iCs/>
        </w:rPr>
        <w:t xml:space="preserve">’: </w:t>
      </w:r>
      <w:r w:rsidRPr="00FA5477">
        <w:t xml:space="preserve">Por </w:t>
      </w:r>
      <w:r w:rsidR="00470536" w:rsidRPr="00FA5477">
        <w:t>ten</w:t>
      </w:r>
      <w:r w:rsidRPr="00FA5477">
        <w:t xml:space="preserve">er El Salvador una </w:t>
      </w:r>
      <w:r w:rsidR="00470536" w:rsidRPr="00FA5477">
        <w:t xml:space="preserve">epidemia de tipo </w:t>
      </w:r>
      <w:r w:rsidRPr="00FA5477">
        <w:t>concentrada</w:t>
      </w:r>
      <w:r w:rsidR="00470536" w:rsidRPr="00FA5477">
        <w:t>,</w:t>
      </w:r>
      <w:r w:rsidRPr="00FA5477">
        <w:t xml:space="preserve"> el </w:t>
      </w:r>
      <w:r w:rsidR="008743E1" w:rsidRPr="00FA5477">
        <w:t>56.3</w:t>
      </w:r>
      <w:r w:rsidRPr="00FA5477">
        <w:t>%</w:t>
      </w:r>
      <w:r w:rsidR="00DB63FE" w:rsidRPr="00FA5477">
        <w:rPr>
          <w:rStyle w:val="Refdenotaalpie"/>
        </w:rPr>
        <w:footnoteReference w:id="9"/>
      </w:r>
      <w:r w:rsidRPr="00FA5477">
        <w:t xml:space="preserve"> del financiamiento está destinado a intervenciones dirigidas a poblaciones clave y vulnerables, en este caso hombres que tienen relaciones sexuales con hombres, mujeres Trans y trabajadoras </w:t>
      </w:r>
      <w:r w:rsidR="00303AF8" w:rsidRPr="00FA5477">
        <w:t>del sexo</w:t>
      </w:r>
      <w:r w:rsidRPr="00FA5477">
        <w:t xml:space="preserve">. </w:t>
      </w:r>
    </w:p>
    <w:p w14:paraId="148B0BE5" w14:textId="3AD05C62" w:rsidR="00D52C53" w:rsidRPr="00FA5477" w:rsidRDefault="00D52C53" w:rsidP="005D2C81">
      <w:pPr>
        <w:pStyle w:val="Textoindependiente"/>
        <w:spacing w:after="120" w:line="264" w:lineRule="auto"/>
        <w:ind w:left="1134" w:hanging="414"/>
        <w:jc w:val="both"/>
      </w:pPr>
      <w:r w:rsidRPr="00FA5477">
        <w:t>Requisito 2: ‘</w:t>
      </w:r>
      <w:r w:rsidRPr="00FA5477">
        <w:rPr>
          <w:i/>
          <w:iCs/>
        </w:rPr>
        <w:t>Las solicitudes de SSRS deben centrarse en mejorar los resultados generales de los programas destinados a las poblaciones clave y vulnerables con relación a dos o más enfermedades, y promover la ampliación, eficiencia y alineación de las intervenciones.</w:t>
      </w:r>
      <w:r w:rsidRPr="00FA5477">
        <w:t xml:space="preserve">’: Con esta subvención se pretende implementar la prueba dual (VIH-sífilis) para la búsqueda de estas dos enfermedades, ampliando los servicios a nivel comunitario con la entrega de autopruebas para así acercarnos a las poblaciones que fácilmente no acceden a los establecimientos de salud. También esta solicitud ha integrado intervenciones que ayuden al diagnóstico y tratamiento oportuno de la </w:t>
      </w:r>
      <w:r w:rsidR="0000051C" w:rsidRPr="00FA5477">
        <w:t>coinfección</w:t>
      </w:r>
      <w:r w:rsidRPr="00FA5477">
        <w:t xml:space="preserve"> VIH</w:t>
      </w:r>
      <w:r w:rsidR="00EB502D" w:rsidRPr="00FA5477">
        <w:t>/</w:t>
      </w:r>
      <w:r w:rsidRPr="00FA5477">
        <w:t xml:space="preserve">TB dándole seguimiento desde el diagnóstico y asegurando la profilaxis con isoniacida o la entrega del tratamiento. </w:t>
      </w:r>
    </w:p>
    <w:p w14:paraId="68711522" w14:textId="5746C1D1" w:rsidR="00470062" w:rsidRPr="00FA5477" w:rsidRDefault="00D52C53" w:rsidP="005D2C81">
      <w:pPr>
        <w:pStyle w:val="Textoindependiente"/>
        <w:spacing w:after="120" w:line="264" w:lineRule="auto"/>
        <w:ind w:left="1134" w:hanging="414"/>
        <w:jc w:val="both"/>
      </w:pPr>
      <w:r w:rsidRPr="00FA5477">
        <w:t>Requisito 3: ‘</w:t>
      </w:r>
      <w:r w:rsidRPr="00FA5477">
        <w:rPr>
          <w:i/>
          <w:iCs/>
        </w:rPr>
        <w:t>Las solicitudes deben incluir, según corresponda, intervenciones que respondan a los obstáculos relacionados con los derechos humanos y el género, las desigualdades y las vulnerabilidades en el acceso a los servicios.</w:t>
      </w:r>
      <w:r w:rsidRPr="00FA5477">
        <w:t>’:</w:t>
      </w:r>
      <w:r w:rsidR="0081691F" w:rsidRPr="00FA5477">
        <w:t xml:space="preserve"> </w:t>
      </w:r>
      <w:r w:rsidRPr="00FA5477">
        <w:t xml:space="preserve">Las </w:t>
      </w:r>
      <w:r w:rsidR="00674E06" w:rsidRPr="00FA5477">
        <w:t>personas transgénero</w:t>
      </w:r>
      <w:r w:rsidRPr="00FA5477">
        <w:t xml:space="preserve"> han venido ganando espacios para el ejercicio de sus derechos como integrantes de toda la población en el país, sin embargo aún persisten limitaciones que aseguren el pleno acceso a servicios de salud. Los recientes cambios que han acontecido en l</w:t>
      </w:r>
      <w:r w:rsidR="000A21AC" w:rsidRPr="00FA5477">
        <w:t>os</w:t>
      </w:r>
      <w:r w:rsidRPr="00FA5477">
        <w:t xml:space="preserve"> </w:t>
      </w:r>
      <w:r w:rsidR="000A21AC" w:rsidRPr="00FA5477">
        <w:t xml:space="preserve">términos </w:t>
      </w:r>
      <w:r w:rsidRPr="00FA5477">
        <w:t xml:space="preserve">para llamar a las </w:t>
      </w:r>
      <w:r w:rsidR="00674E06" w:rsidRPr="00FA5477">
        <w:t>personas transgénero</w:t>
      </w:r>
      <w:r w:rsidRPr="00FA5477">
        <w:t>, -según consulta realizada- ha conllevado a que no quieran asistir a las clínicas VICITS y amigables para recibir atención diferenciada. Para motivar el uso de los servicios ofertados en las clínicas VICITS y amigables, se propone construir y financiar, a través de la subvención del Fondo Mundial, un servicio comunitario con énfasis en la prevención del VIH a través de varios servicios y el procesamiento de toma de prueba dual (VIH/Sífilis)</w:t>
      </w:r>
      <w:r w:rsidR="00777440" w:rsidRPr="00FA5477">
        <w:t>, se realizará talleres con promotores pares y personal de salud cuyo objetivo es la reducción del estigma y la discriminación, reforzar la información sobre mecanismos de denuncia y el apoyo de la implementación y seguimiento a los planes de seguridad (monitoreo liderado por la comunidad).</w:t>
      </w:r>
    </w:p>
    <w:p w14:paraId="1C1C89EC" w14:textId="7C1694D9" w:rsidR="000F3D1A" w:rsidRPr="00FA5477" w:rsidRDefault="008B2B26">
      <w:pPr>
        <w:pStyle w:val="Prrafodelista"/>
        <w:numPr>
          <w:ilvl w:val="1"/>
          <w:numId w:val="3"/>
        </w:numPr>
        <w:tabs>
          <w:tab w:val="left" w:pos="853"/>
        </w:tabs>
        <w:spacing w:line="264" w:lineRule="auto"/>
        <w:ind w:left="852" w:right="152" w:hanging="721"/>
        <w:jc w:val="both"/>
        <w:rPr>
          <w:sz w:val="24"/>
        </w:rPr>
      </w:pPr>
      <w:r w:rsidRPr="00FA5477">
        <w:rPr>
          <w:rFonts w:ascii="Arial" w:hAnsi="Arial"/>
          <w:b/>
          <w:sz w:val="24"/>
        </w:rPr>
        <w:t>Fondos de contrapartida</w:t>
      </w:r>
      <w:r w:rsidRPr="00FA5477">
        <w:rPr>
          <w:sz w:val="24"/>
        </w:rPr>
        <w:t>: si se designaron fondos de contrapartida para el período de</w:t>
      </w:r>
      <w:r w:rsidRPr="00FA5477">
        <w:rPr>
          <w:spacing w:val="1"/>
          <w:sz w:val="24"/>
        </w:rPr>
        <w:t xml:space="preserve"> </w:t>
      </w:r>
      <w:r w:rsidRPr="00FA5477">
        <w:rPr>
          <w:sz w:val="24"/>
        </w:rPr>
        <w:t>asignación 2023-2025:</w:t>
      </w:r>
      <w:r w:rsidR="00D77B71" w:rsidRPr="00FA5477">
        <w:rPr>
          <w:sz w:val="24"/>
        </w:rPr>
        <w:t xml:space="preserve"> </w:t>
      </w:r>
      <w:r w:rsidR="00BD3287" w:rsidRPr="00FA5477">
        <w:rPr>
          <w:sz w:val="24"/>
        </w:rPr>
        <w:t>[</w:t>
      </w:r>
      <w:r w:rsidR="006E2C33" w:rsidRPr="00FA5477">
        <w:rPr>
          <w:sz w:val="24"/>
        </w:rPr>
        <w:t>No aplica</w:t>
      </w:r>
      <w:r w:rsidR="00BD3287" w:rsidRPr="00FA5477">
        <w:rPr>
          <w:sz w:val="24"/>
        </w:rPr>
        <w:t>]</w:t>
      </w:r>
    </w:p>
    <w:p w14:paraId="0DE3E08E" w14:textId="41C9018A" w:rsidR="000F3D1A" w:rsidRPr="00FA5477" w:rsidRDefault="008B2B26">
      <w:pPr>
        <w:pStyle w:val="Prrafodelista"/>
        <w:numPr>
          <w:ilvl w:val="2"/>
          <w:numId w:val="3"/>
        </w:numPr>
        <w:tabs>
          <w:tab w:val="left" w:pos="939"/>
        </w:tabs>
        <w:spacing w:line="264" w:lineRule="auto"/>
        <w:ind w:left="938" w:right="184" w:hanging="447"/>
        <w:rPr>
          <w:sz w:val="24"/>
        </w:rPr>
      </w:pPr>
      <w:r w:rsidRPr="00FA5477">
        <w:rPr>
          <w:color w:val="D9D9D9" w:themeColor="background1" w:themeShade="D9"/>
          <w:sz w:val="24"/>
        </w:rPr>
        <w:t>Describa cómo la integración de los fondos de contrapartida aumentará la repercusión y</w:t>
      </w:r>
      <w:r w:rsidRPr="00FA5477">
        <w:rPr>
          <w:color w:val="D9D9D9" w:themeColor="background1" w:themeShade="D9"/>
          <w:spacing w:val="-65"/>
          <w:sz w:val="24"/>
        </w:rPr>
        <w:t xml:space="preserve"> </w:t>
      </w:r>
      <w:r w:rsidRPr="00FA5477">
        <w:rPr>
          <w:color w:val="D9D9D9" w:themeColor="background1" w:themeShade="D9"/>
          <w:sz w:val="24"/>
        </w:rPr>
        <w:t>mejorará</w:t>
      </w:r>
      <w:r w:rsidRPr="00FA5477">
        <w:rPr>
          <w:color w:val="D9D9D9" w:themeColor="background1" w:themeShade="D9"/>
          <w:spacing w:val="-4"/>
          <w:sz w:val="24"/>
        </w:rPr>
        <w:t xml:space="preserve"> </w:t>
      </w:r>
      <w:r w:rsidRPr="00FA5477">
        <w:rPr>
          <w:color w:val="D9D9D9" w:themeColor="background1" w:themeShade="D9"/>
          <w:sz w:val="24"/>
        </w:rPr>
        <w:t>el</w:t>
      </w:r>
      <w:r w:rsidRPr="00FA5477">
        <w:rPr>
          <w:color w:val="D9D9D9" w:themeColor="background1" w:themeShade="D9"/>
          <w:spacing w:val="-2"/>
          <w:sz w:val="24"/>
        </w:rPr>
        <w:t xml:space="preserve"> </w:t>
      </w:r>
      <w:r w:rsidRPr="00FA5477">
        <w:rPr>
          <w:color w:val="D9D9D9" w:themeColor="background1" w:themeShade="D9"/>
          <w:sz w:val="24"/>
        </w:rPr>
        <w:t>resultado</w:t>
      </w:r>
      <w:r w:rsidRPr="00FA5477">
        <w:rPr>
          <w:color w:val="D9D9D9" w:themeColor="background1" w:themeShade="D9"/>
          <w:spacing w:val="-1"/>
          <w:sz w:val="24"/>
        </w:rPr>
        <w:t xml:space="preserve"> </w:t>
      </w:r>
      <w:r w:rsidRPr="00FA5477">
        <w:rPr>
          <w:color w:val="D9D9D9" w:themeColor="background1" w:themeShade="D9"/>
          <w:sz w:val="24"/>
        </w:rPr>
        <w:t>de la</w:t>
      </w:r>
      <w:r w:rsidRPr="00FA5477">
        <w:rPr>
          <w:color w:val="D9D9D9" w:themeColor="background1" w:themeShade="D9"/>
          <w:spacing w:val="-1"/>
          <w:sz w:val="24"/>
        </w:rPr>
        <w:t xml:space="preserve"> </w:t>
      </w:r>
      <w:r w:rsidRPr="00FA5477">
        <w:rPr>
          <w:color w:val="D9D9D9" w:themeColor="background1" w:themeShade="D9"/>
          <w:sz w:val="24"/>
        </w:rPr>
        <w:t>asignación</w:t>
      </w:r>
      <w:r w:rsidRPr="00FA5477">
        <w:rPr>
          <w:color w:val="D9D9D9" w:themeColor="background1" w:themeShade="D9"/>
          <w:spacing w:val="-1"/>
          <w:sz w:val="24"/>
        </w:rPr>
        <w:t xml:space="preserve"> </w:t>
      </w:r>
      <w:r w:rsidRPr="00FA5477">
        <w:rPr>
          <w:color w:val="D9D9D9" w:themeColor="background1" w:themeShade="D9"/>
          <w:sz w:val="24"/>
        </w:rPr>
        <w:t>para</w:t>
      </w:r>
      <w:r w:rsidRPr="00FA5477">
        <w:rPr>
          <w:color w:val="D9D9D9" w:themeColor="background1" w:themeShade="D9"/>
          <w:spacing w:val="-1"/>
          <w:sz w:val="24"/>
        </w:rPr>
        <w:t xml:space="preserve"> </w:t>
      </w:r>
      <w:r w:rsidRPr="00FA5477">
        <w:rPr>
          <w:color w:val="D9D9D9" w:themeColor="background1" w:themeShade="D9"/>
          <w:sz w:val="24"/>
        </w:rPr>
        <w:t>el</w:t>
      </w:r>
      <w:r w:rsidRPr="00FA5477">
        <w:rPr>
          <w:color w:val="D9D9D9" w:themeColor="background1" w:themeShade="D9"/>
          <w:spacing w:val="-4"/>
          <w:sz w:val="24"/>
        </w:rPr>
        <w:t xml:space="preserve"> </w:t>
      </w:r>
      <w:r w:rsidRPr="00FA5477">
        <w:rPr>
          <w:color w:val="D9D9D9" w:themeColor="background1" w:themeShade="D9"/>
          <w:sz w:val="24"/>
        </w:rPr>
        <w:t>área</w:t>
      </w:r>
      <w:r w:rsidRPr="00FA5477">
        <w:rPr>
          <w:color w:val="D9D9D9" w:themeColor="background1" w:themeShade="D9"/>
          <w:spacing w:val="-1"/>
          <w:sz w:val="24"/>
        </w:rPr>
        <w:t xml:space="preserve"> </w:t>
      </w:r>
      <w:r w:rsidRPr="00FA5477">
        <w:rPr>
          <w:color w:val="D9D9D9" w:themeColor="background1" w:themeShade="D9"/>
          <w:sz w:val="24"/>
        </w:rPr>
        <w:t>de</w:t>
      </w:r>
      <w:r w:rsidRPr="00FA5477">
        <w:rPr>
          <w:color w:val="D9D9D9" w:themeColor="background1" w:themeShade="D9"/>
          <w:spacing w:val="-1"/>
          <w:sz w:val="24"/>
        </w:rPr>
        <w:t xml:space="preserve"> </w:t>
      </w:r>
      <w:r w:rsidRPr="00FA5477">
        <w:rPr>
          <w:color w:val="D9D9D9" w:themeColor="background1" w:themeShade="D9"/>
          <w:sz w:val="24"/>
        </w:rPr>
        <w:t>los</w:t>
      </w:r>
      <w:r w:rsidRPr="00FA5477">
        <w:rPr>
          <w:color w:val="D9D9D9" w:themeColor="background1" w:themeShade="D9"/>
          <w:spacing w:val="-4"/>
          <w:sz w:val="24"/>
        </w:rPr>
        <w:t xml:space="preserve"> </w:t>
      </w:r>
      <w:r w:rsidRPr="00FA5477">
        <w:rPr>
          <w:color w:val="D9D9D9" w:themeColor="background1" w:themeShade="D9"/>
          <w:sz w:val="24"/>
        </w:rPr>
        <w:t>fondos</w:t>
      </w:r>
      <w:r w:rsidRPr="00FA5477">
        <w:rPr>
          <w:color w:val="D9D9D9" w:themeColor="background1" w:themeShade="D9"/>
          <w:spacing w:val="-3"/>
          <w:sz w:val="24"/>
        </w:rPr>
        <w:t xml:space="preserve"> </w:t>
      </w:r>
      <w:r w:rsidRPr="00FA5477">
        <w:rPr>
          <w:color w:val="D9D9D9" w:themeColor="background1" w:themeShade="D9"/>
          <w:sz w:val="24"/>
        </w:rPr>
        <w:t>de</w:t>
      </w:r>
      <w:r w:rsidRPr="00FA5477">
        <w:rPr>
          <w:color w:val="D9D9D9" w:themeColor="background1" w:themeShade="D9"/>
          <w:spacing w:val="-5"/>
          <w:sz w:val="24"/>
        </w:rPr>
        <w:t xml:space="preserve"> </w:t>
      </w:r>
      <w:r w:rsidRPr="00FA5477">
        <w:rPr>
          <w:color w:val="D9D9D9" w:themeColor="background1" w:themeShade="D9"/>
          <w:sz w:val="24"/>
        </w:rPr>
        <w:t>contrapartida.</w:t>
      </w:r>
      <w:r w:rsidR="00D52C53" w:rsidRPr="00FA5477">
        <w:rPr>
          <w:color w:val="D9D9D9" w:themeColor="background1" w:themeShade="D9"/>
          <w:sz w:val="24"/>
        </w:rPr>
        <w:t xml:space="preserve"> </w:t>
      </w:r>
      <w:r w:rsidR="00D52C53" w:rsidRPr="00FA5477">
        <w:rPr>
          <w:sz w:val="24"/>
        </w:rPr>
        <w:t>[</w:t>
      </w:r>
      <w:r w:rsidR="006E2C33" w:rsidRPr="00FA5477">
        <w:rPr>
          <w:sz w:val="24"/>
        </w:rPr>
        <w:t>No aplica</w:t>
      </w:r>
      <w:r w:rsidR="00D52C53" w:rsidRPr="00FA5477">
        <w:rPr>
          <w:sz w:val="24"/>
        </w:rPr>
        <w:t>]</w:t>
      </w:r>
    </w:p>
    <w:p w14:paraId="4083D68E" w14:textId="77777777" w:rsidR="00DB63FE" w:rsidRPr="00FA5477" w:rsidRDefault="008B2B26" w:rsidP="00DB63FE">
      <w:pPr>
        <w:pStyle w:val="Prrafodelista"/>
        <w:numPr>
          <w:ilvl w:val="2"/>
          <w:numId w:val="3"/>
        </w:numPr>
        <w:tabs>
          <w:tab w:val="left" w:pos="939"/>
        </w:tabs>
        <w:spacing w:after="120" w:line="264" w:lineRule="auto"/>
        <w:ind w:left="993" w:hanging="447"/>
      </w:pPr>
      <w:r w:rsidRPr="00FA5477">
        <w:rPr>
          <w:sz w:val="24"/>
        </w:rPr>
        <w:t>Describa</w:t>
      </w:r>
      <w:r w:rsidRPr="00FA5477">
        <w:rPr>
          <w:spacing w:val="-3"/>
          <w:sz w:val="24"/>
        </w:rPr>
        <w:t xml:space="preserve"> </w:t>
      </w:r>
      <w:r w:rsidRPr="00FA5477">
        <w:rPr>
          <w:sz w:val="24"/>
        </w:rPr>
        <w:t>cómo</w:t>
      </w:r>
      <w:r w:rsidRPr="00FA5477">
        <w:rPr>
          <w:spacing w:val="-2"/>
          <w:sz w:val="24"/>
        </w:rPr>
        <w:t xml:space="preserve"> </w:t>
      </w:r>
      <w:r w:rsidRPr="00FA5477">
        <w:rPr>
          <w:sz w:val="24"/>
        </w:rPr>
        <w:t>se</w:t>
      </w:r>
      <w:r w:rsidRPr="00FA5477">
        <w:rPr>
          <w:spacing w:val="-3"/>
          <w:sz w:val="24"/>
        </w:rPr>
        <w:t xml:space="preserve"> </w:t>
      </w:r>
      <w:r w:rsidRPr="00FA5477">
        <w:rPr>
          <w:sz w:val="24"/>
        </w:rPr>
        <w:t>han</w:t>
      </w:r>
      <w:r w:rsidRPr="00FA5477">
        <w:rPr>
          <w:spacing w:val="-4"/>
          <w:sz w:val="24"/>
        </w:rPr>
        <w:t xml:space="preserve"> </w:t>
      </w:r>
      <w:r w:rsidRPr="00FA5477">
        <w:rPr>
          <w:sz w:val="24"/>
        </w:rPr>
        <w:t>cumplido</w:t>
      </w:r>
      <w:r w:rsidRPr="00FA5477">
        <w:rPr>
          <w:spacing w:val="-3"/>
          <w:sz w:val="24"/>
        </w:rPr>
        <w:t xml:space="preserve"> </w:t>
      </w:r>
      <w:r w:rsidRPr="00FA5477">
        <w:rPr>
          <w:sz w:val="24"/>
        </w:rPr>
        <w:t>las</w:t>
      </w:r>
      <w:r w:rsidRPr="00FA5477">
        <w:rPr>
          <w:spacing w:val="-2"/>
          <w:sz w:val="24"/>
        </w:rPr>
        <w:t xml:space="preserve"> </w:t>
      </w:r>
      <w:r w:rsidRPr="00FA5477">
        <w:rPr>
          <w:sz w:val="24"/>
        </w:rPr>
        <w:t>condiciones</w:t>
      </w:r>
      <w:r w:rsidRPr="00FA5477">
        <w:rPr>
          <w:spacing w:val="-2"/>
          <w:sz w:val="24"/>
        </w:rPr>
        <w:t xml:space="preserve"> </w:t>
      </w:r>
      <w:r w:rsidRPr="00FA5477">
        <w:rPr>
          <w:sz w:val="24"/>
        </w:rPr>
        <w:t>programáticas</w:t>
      </w:r>
      <w:r w:rsidRPr="00FA5477">
        <w:rPr>
          <w:spacing w:val="-3"/>
          <w:sz w:val="24"/>
        </w:rPr>
        <w:t xml:space="preserve"> </w:t>
      </w:r>
      <w:r w:rsidRPr="00FA5477">
        <w:rPr>
          <w:sz w:val="24"/>
        </w:rPr>
        <w:t>y</w:t>
      </w:r>
      <w:r w:rsidRPr="00FA5477">
        <w:rPr>
          <w:spacing w:val="-4"/>
          <w:sz w:val="24"/>
        </w:rPr>
        <w:t xml:space="preserve"> </w:t>
      </w:r>
      <w:r w:rsidRPr="00FA5477">
        <w:rPr>
          <w:sz w:val="24"/>
        </w:rPr>
        <w:t>de</w:t>
      </w:r>
      <w:r w:rsidRPr="00FA5477">
        <w:rPr>
          <w:spacing w:val="-5"/>
          <w:sz w:val="24"/>
        </w:rPr>
        <w:t xml:space="preserve"> </w:t>
      </w:r>
      <w:r w:rsidRPr="00FA5477">
        <w:rPr>
          <w:sz w:val="24"/>
        </w:rPr>
        <w:t>acceso.</w:t>
      </w:r>
    </w:p>
    <w:p w14:paraId="0E92503B" w14:textId="5425F956" w:rsidR="00E7776D" w:rsidRPr="00FA5477" w:rsidRDefault="00D52C53" w:rsidP="00DB63FE">
      <w:pPr>
        <w:tabs>
          <w:tab w:val="left" w:pos="939"/>
        </w:tabs>
        <w:spacing w:after="120" w:line="264" w:lineRule="auto"/>
        <w:ind w:left="273"/>
        <w:rPr>
          <w:sz w:val="24"/>
          <w:szCs w:val="24"/>
        </w:rPr>
      </w:pPr>
      <w:r w:rsidRPr="00FA5477">
        <w:t>Hasta el informe PUDR 2023 el RP ha cumplido con todas las condiciones programáticas y de acceso, a excepción del informe final del DQR realizado recientemente cuyo informe de resultados se encuentra en elaboración (a la fecha de esta versión de la solicitud).</w:t>
      </w:r>
    </w:p>
    <w:p w14:paraId="26FCE394" w14:textId="77777777" w:rsidR="000F3D1A" w:rsidRPr="00FA5477" w:rsidRDefault="008B2B26">
      <w:pPr>
        <w:ind w:left="132"/>
        <w:rPr>
          <w:rFonts w:ascii="Arial Black" w:hAnsi="Arial Black"/>
          <w:b/>
          <w:bCs/>
          <w:sz w:val="32"/>
        </w:rPr>
      </w:pPr>
      <w:r w:rsidRPr="00FA5477">
        <w:rPr>
          <w:rFonts w:ascii="Arial Black" w:hAnsi="Arial Black"/>
          <w:b/>
          <w:bCs/>
          <w:sz w:val="32"/>
        </w:rPr>
        <w:t>Sección</w:t>
      </w:r>
      <w:r w:rsidRPr="00FA5477">
        <w:rPr>
          <w:rFonts w:ascii="Arial Black" w:hAnsi="Arial Black"/>
          <w:b/>
          <w:bCs/>
          <w:spacing w:val="-3"/>
          <w:sz w:val="32"/>
        </w:rPr>
        <w:t xml:space="preserve"> </w:t>
      </w:r>
      <w:r w:rsidRPr="00FA5477">
        <w:rPr>
          <w:rFonts w:ascii="Arial Black" w:hAnsi="Arial Black"/>
          <w:b/>
          <w:bCs/>
          <w:sz w:val="32"/>
        </w:rPr>
        <w:t>2.</w:t>
      </w:r>
      <w:r w:rsidRPr="00FA5477">
        <w:rPr>
          <w:rFonts w:ascii="Arial Black" w:hAnsi="Arial Black"/>
          <w:b/>
          <w:bCs/>
          <w:spacing w:val="-2"/>
          <w:sz w:val="32"/>
        </w:rPr>
        <w:t xml:space="preserve"> </w:t>
      </w:r>
      <w:r w:rsidRPr="00FA5477">
        <w:rPr>
          <w:rFonts w:ascii="Arial Black" w:hAnsi="Arial Black"/>
          <w:b/>
          <w:bCs/>
          <w:sz w:val="32"/>
        </w:rPr>
        <w:t>Maximizar</w:t>
      </w:r>
      <w:r w:rsidRPr="00FA5477">
        <w:rPr>
          <w:rFonts w:ascii="Arial Black" w:hAnsi="Arial Black"/>
          <w:b/>
          <w:bCs/>
          <w:spacing w:val="-2"/>
          <w:sz w:val="32"/>
        </w:rPr>
        <w:t xml:space="preserve"> </w:t>
      </w:r>
      <w:r w:rsidRPr="00FA5477">
        <w:rPr>
          <w:rFonts w:ascii="Arial Black" w:hAnsi="Arial Black"/>
          <w:b/>
          <w:bCs/>
          <w:sz w:val="32"/>
        </w:rPr>
        <w:t>la</w:t>
      </w:r>
      <w:r w:rsidRPr="00FA5477">
        <w:rPr>
          <w:rFonts w:ascii="Arial Black" w:hAnsi="Arial Black"/>
          <w:b/>
          <w:bCs/>
          <w:spacing w:val="-1"/>
          <w:sz w:val="32"/>
        </w:rPr>
        <w:t xml:space="preserve"> </w:t>
      </w:r>
      <w:r w:rsidRPr="00FA5477">
        <w:rPr>
          <w:rFonts w:ascii="Arial Black" w:hAnsi="Arial Black"/>
          <w:b/>
          <w:bCs/>
          <w:sz w:val="32"/>
        </w:rPr>
        <w:t>repercusión</w:t>
      </w:r>
    </w:p>
    <w:p w14:paraId="53AE78C7" w14:textId="61C5CC26" w:rsidR="000F3D1A" w:rsidRPr="00FA5477" w:rsidRDefault="008B2B26">
      <w:pPr>
        <w:pStyle w:val="Prrafodelista"/>
        <w:numPr>
          <w:ilvl w:val="1"/>
          <w:numId w:val="2"/>
        </w:numPr>
        <w:tabs>
          <w:tab w:val="left" w:pos="944"/>
        </w:tabs>
        <w:spacing w:before="0" w:line="264" w:lineRule="auto"/>
        <w:ind w:right="146"/>
        <w:rPr>
          <w:sz w:val="24"/>
          <w:szCs w:val="24"/>
        </w:rPr>
      </w:pPr>
      <w:r w:rsidRPr="00FA5477">
        <w:rPr>
          <w:rFonts w:ascii="Arial" w:hAnsi="Arial"/>
          <w:b/>
          <w:bCs/>
          <w:spacing w:val="-1"/>
          <w:sz w:val="24"/>
        </w:rPr>
        <w:t>Para</w:t>
      </w:r>
      <w:r w:rsidRPr="00FA5477">
        <w:rPr>
          <w:rFonts w:ascii="Arial" w:hAnsi="Arial"/>
          <w:b/>
          <w:bCs/>
          <w:spacing w:val="-16"/>
          <w:sz w:val="24"/>
        </w:rPr>
        <w:t xml:space="preserve"> </w:t>
      </w:r>
      <w:r w:rsidRPr="00FA5477">
        <w:rPr>
          <w:rFonts w:ascii="Arial" w:hAnsi="Arial"/>
          <w:b/>
          <w:spacing w:val="-1"/>
          <w:sz w:val="24"/>
        </w:rPr>
        <w:t>cumplir</w:t>
      </w:r>
      <w:r w:rsidRPr="00FA5477">
        <w:rPr>
          <w:rFonts w:ascii="Arial" w:hAnsi="Arial"/>
          <w:b/>
          <w:spacing w:val="-14"/>
          <w:sz w:val="24"/>
        </w:rPr>
        <w:t xml:space="preserve"> </w:t>
      </w:r>
      <w:r w:rsidRPr="00FA5477">
        <w:rPr>
          <w:rFonts w:ascii="Arial" w:hAnsi="Arial"/>
          <w:b/>
          <w:spacing w:val="-1"/>
          <w:sz w:val="24"/>
        </w:rPr>
        <w:t>las</w:t>
      </w:r>
      <w:r w:rsidRPr="00FA5477">
        <w:rPr>
          <w:rFonts w:ascii="Arial" w:hAnsi="Arial"/>
          <w:b/>
          <w:spacing w:val="-16"/>
          <w:sz w:val="24"/>
        </w:rPr>
        <w:t xml:space="preserve"> </w:t>
      </w:r>
      <w:r w:rsidRPr="00FA5477">
        <w:rPr>
          <w:rFonts w:ascii="Arial" w:hAnsi="Arial"/>
          <w:b/>
          <w:spacing w:val="-1"/>
          <w:sz w:val="24"/>
        </w:rPr>
        <w:t>metas</w:t>
      </w:r>
      <w:r w:rsidRPr="00FA5477">
        <w:rPr>
          <w:rFonts w:ascii="Arial" w:hAnsi="Arial"/>
          <w:b/>
          <w:spacing w:val="-13"/>
          <w:sz w:val="24"/>
        </w:rPr>
        <w:t xml:space="preserve"> </w:t>
      </w:r>
      <w:r w:rsidRPr="00FA5477">
        <w:rPr>
          <w:rFonts w:ascii="Arial" w:hAnsi="Arial"/>
          <w:b/>
          <w:spacing w:val="-1"/>
          <w:sz w:val="24"/>
        </w:rPr>
        <w:t>y</w:t>
      </w:r>
      <w:r w:rsidRPr="00FA5477">
        <w:rPr>
          <w:rFonts w:ascii="Arial" w:hAnsi="Arial"/>
          <w:b/>
          <w:spacing w:val="-16"/>
          <w:sz w:val="24"/>
        </w:rPr>
        <w:t xml:space="preserve"> </w:t>
      </w:r>
      <w:r w:rsidRPr="00FA5477">
        <w:rPr>
          <w:rFonts w:ascii="Arial" w:hAnsi="Arial"/>
          <w:b/>
          <w:spacing w:val="-1"/>
          <w:sz w:val="24"/>
        </w:rPr>
        <w:t>objetivos</w:t>
      </w:r>
      <w:r w:rsidRPr="00FA5477">
        <w:rPr>
          <w:rFonts w:ascii="Arial" w:hAnsi="Arial"/>
          <w:b/>
          <w:spacing w:val="-16"/>
          <w:sz w:val="24"/>
        </w:rPr>
        <w:t xml:space="preserve"> </w:t>
      </w:r>
      <w:r w:rsidRPr="00FA5477">
        <w:rPr>
          <w:rFonts w:ascii="Arial" w:hAnsi="Arial"/>
          <w:b/>
          <w:spacing w:val="-1"/>
          <w:sz w:val="24"/>
        </w:rPr>
        <w:t>nacionales</w:t>
      </w:r>
      <w:r w:rsidRPr="00FA5477">
        <w:rPr>
          <w:rFonts w:ascii="Arial" w:hAnsi="Arial"/>
          <w:b/>
          <w:spacing w:val="-15"/>
          <w:sz w:val="24"/>
        </w:rPr>
        <w:t xml:space="preserve"> </w:t>
      </w:r>
      <w:r w:rsidRPr="00FA5477">
        <w:rPr>
          <w:rFonts w:ascii="Arial" w:hAnsi="Arial"/>
          <w:b/>
          <w:sz w:val="24"/>
        </w:rPr>
        <w:t>y</w:t>
      </w:r>
      <w:r w:rsidRPr="00FA5477">
        <w:rPr>
          <w:rFonts w:ascii="Arial" w:hAnsi="Arial"/>
          <w:b/>
          <w:spacing w:val="-14"/>
          <w:sz w:val="24"/>
        </w:rPr>
        <w:t xml:space="preserve"> </w:t>
      </w:r>
      <w:r w:rsidRPr="00FA5477">
        <w:rPr>
          <w:rFonts w:ascii="Arial" w:hAnsi="Arial"/>
          <w:b/>
          <w:sz w:val="24"/>
        </w:rPr>
        <w:t>mundiales</w:t>
      </w:r>
      <w:r w:rsidRPr="00FA5477">
        <w:rPr>
          <w:sz w:val="24"/>
        </w:rPr>
        <w:t>:</w:t>
      </w:r>
      <w:r w:rsidRPr="00FA5477">
        <w:rPr>
          <w:spacing w:val="-16"/>
          <w:sz w:val="24"/>
        </w:rPr>
        <w:t xml:space="preserve"> </w:t>
      </w:r>
      <w:r w:rsidRPr="00FA5477">
        <w:rPr>
          <w:sz w:val="20"/>
          <w:szCs w:val="18"/>
        </w:rPr>
        <w:t>describa</w:t>
      </w:r>
      <w:r w:rsidRPr="00FA5477">
        <w:rPr>
          <w:spacing w:val="-13"/>
          <w:sz w:val="20"/>
          <w:szCs w:val="18"/>
        </w:rPr>
        <w:t xml:space="preserve"> </w:t>
      </w:r>
      <w:r w:rsidRPr="00FA5477">
        <w:rPr>
          <w:sz w:val="20"/>
          <w:szCs w:val="18"/>
        </w:rPr>
        <w:t>cómo</w:t>
      </w:r>
      <w:r w:rsidRPr="00FA5477">
        <w:rPr>
          <w:spacing w:val="-14"/>
          <w:sz w:val="20"/>
          <w:szCs w:val="18"/>
        </w:rPr>
        <w:t xml:space="preserve"> </w:t>
      </w:r>
      <w:r w:rsidRPr="00FA5477">
        <w:rPr>
          <w:sz w:val="20"/>
          <w:szCs w:val="18"/>
        </w:rPr>
        <w:t>la</w:t>
      </w:r>
      <w:r w:rsidRPr="00FA5477">
        <w:rPr>
          <w:spacing w:val="-14"/>
          <w:sz w:val="20"/>
          <w:szCs w:val="18"/>
        </w:rPr>
        <w:t xml:space="preserve"> </w:t>
      </w:r>
      <w:r w:rsidRPr="00FA5477">
        <w:rPr>
          <w:sz w:val="20"/>
          <w:szCs w:val="18"/>
        </w:rPr>
        <w:t>solicitud</w:t>
      </w:r>
      <w:r w:rsidRPr="00FA5477">
        <w:rPr>
          <w:spacing w:val="-64"/>
          <w:sz w:val="20"/>
          <w:szCs w:val="18"/>
        </w:rPr>
        <w:t xml:space="preserve"> </w:t>
      </w:r>
      <w:r w:rsidRPr="00FA5477">
        <w:rPr>
          <w:sz w:val="20"/>
          <w:szCs w:val="18"/>
        </w:rPr>
        <w:t>de financiamiento priorizada contribuye a las siguientes áreas: 1) acabar con el sida, la</w:t>
      </w:r>
      <w:r w:rsidRPr="00FA5477">
        <w:rPr>
          <w:spacing w:val="1"/>
          <w:sz w:val="20"/>
          <w:szCs w:val="18"/>
        </w:rPr>
        <w:t xml:space="preserve"> </w:t>
      </w:r>
      <w:r w:rsidRPr="00FA5477">
        <w:rPr>
          <w:sz w:val="20"/>
          <w:szCs w:val="18"/>
        </w:rPr>
        <w:t>tuberculosis y la malaria; y/o 2) fortalecer la integración de los sistemas de salud o</w:t>
      </w:r>
      <w:r w:rsidRPr="00FA5477">
        <w:rPr>
          <w:spacing w:val="1"/>
          <w:sz w:val="20"/>
          <w:szCs w:val="18"/>
        </w:rPr>
        <w:t xml:space="preserve"> </w:t>
      </w:r>
      <w:r w:rsidRPr="00FA5477">
        <w:rPr>
          <w:sz w:val="20"/>
          <w:szCs w:val="18"/>
        </w:rPr>
        <w:t>comunitarios; y/o 3) avanzar en la equidad en materia de salud, la igualdad de género y</w:t>
      </w:r>
      <w:r w:rsidRPr="00FA5477">
        <w:rPr>
          <w:spacing w:val="1"/>
          <w:sz w:val="20"/>
          <w:szCs w:val="18"/>
        </w:rPr>
        <w:t xml:space="preserve"> </w:t>
      </w:r>
      <w:r w:rsidRPr="00FA5477">
        <w:rPr>
          <w:sz w:val="20"/>
          <w:szCs w:val="18"/>
        </w:rPr>
        <w:t>los derechos humanos; y/o 4) la preparación frente a pandemias. Limite esta respuesta</w:t>
      </w:r>
      <w:r w:rsidRPr="00FA5477">
        <w:rPr>
          <w:spacing w:val="1"/>
          <w:sz w:val="20"/>
          <w:szCs w:val="18"/>
        </w:rPr>
        <w:t xml:space="preserve"> </w:t>
      </w:r>
      <w:r w:rsidRPr="00FA5477">
        <w:rPr>
          <w:sz w:val="20"/>
          <w:szCs w:val="18"/>
        </w:rPr>
        <w:t>a las áreas de atención que figuran en la carta de asignación o que se han acordado de</w:t>
      </w:r>
      <w:r w:rsidRPr="00FA5477">
        <w:rPr>
          <w:spacing w:val="-64"/>
          <w:sz w:val="20"/>
          <w:szCs w:val="18"/>
        </w:rPr>
        <w:t xml:space="preserve"> </w:t>
      </w:r>
      <w:r w:rsidRPr="00FA5477">
        <w:rPr>
          <w:sz w:val="20"/>
          <w:szCs w:val="18"/>
        </w:rPr>
        <w:t>otro</w:t>
      </w:r>
      <w:r w:rsidRPr="00FA5477">
        <w:rPr>
          <w:spacing w:val="-3"/>
          <w:sz w:val="20"/>
          <w:szCs w:val="18"/>
        </w:rPr>
        <w:t xml:space="preserve"> </w:t>
      </w:r>
      <w:r w:rsidRPr="00FA5477">
        <w:rPr>
          <w:sz w:val="20"/>
          <w:szCs w:val="18"/>
        </w:rPr>
        <w:t>modo con el</w:t>
      </w:r>
      <w:r w:rsidRPr="00FA5477">
        <w:rPr>
          <w:spacing w:val="-1"/>
          <w:sz w:val="20"/>
          <w:szCs w:val="18"/>
        </w:rPr>
        <w:t xml:space="preserve"> </w:t>
      </w:r>
      <w:r w:rsidRPr="00FA5477">
        <w:rPr>
          <w:sz w:val="20"/>
          <w:szCs w:val="18"/>
        </w:rPr>
        <w:t>Fondo Mundial.</w:t>
      </w:r>
      <w:r w:rsidR="00D77B71" w:rsidRPr="00FA5477">
        <w:rPr>
          <w:sz w:val="20"/>
          <w:szCs w:val="18"/>
        </w:rPr>
        <w:t xml:space="preserve"> </w:t>
      </w:r>
    </w:p>
    <w:p w14:paraId="4592C9E6" w14:textId="05936FD7" w:rsidR="00D52C53" w:rsidRPr="00FA5477" w:rsidRDefault="00577383" w:rsidP="00577383">
      <w:pPr>
        <w:pStyle w:val="Textoindependiente"/>
        <w:spacing w:after="120" w:line="264" w:lineRule="auto"/>
        <w:ind w:left="720"/>
        <w:jc w:val="both"/>
      </w:pPr>
      <w:r w:rsidRPr="00FA5477">
        <w:rPr>
          <w:b/>
          <w:bCs/>
          <w:i/>
          <w:iCs/>
        </w:rPr>
        <w:t xml:space="preserve">2.1.1 </w:t>
      </w:r>
      <w:r w:rsidR="0000051C" w:rsidRPr="00FA5477">
        <w:rPr>
          <w:b/>
          <w:bCs/>
          <w:i/>
          <w:iCs/>
        </w:rPr>
        <w:t>Acabar con el sida.-</w:t>
      </w:r>
      <w:r w:rsidR="0000051C" w:rsidRPr="00FA5477">
        <w:t xml:space="preserve"> </w:t>
      </w:r>
      <w:r w:rsidRPr="00FA5477">
        <w:t>El PENM</w:t>
      </w:r>
      <w:r w:rsidR="0071603F" w:rsidRPr="00FA5477">
        <w:t>-VIH</w:t>
      </w:r>
      <w:r w:rsidRPr="00FA5477">
        <w:t xml:space="preserve"> refleja el compromiso del país para la consecución de las metas nacionales que contribuyen a las objetivos mundiales al 2025, </w:t>
      </w:r>
      <w:r w:rsidR="00E2460C" w:rsidRPr="00FA5477">
        <w:t>así</w:t>
      </w:r>
      <w:r w:rsidRPr="00FA5477">
        <w:t xml:space="preserve"> como la estrategia mundial mantiene a las personas en el centro y tiene como objetivo unir</w:t>
      </w:r>
      <w:r w:rsidR="0081691F" w:rsidRPr="00FA5477">
        <w:t xml:space="preserve"> </w:t>
      </w:r>
      <w:r w:rsidRPr="00FA5477">
        <w:t>comunidades y socios en y más allá de la respuesta contra al VIH para emprender acciones priorizadas que aceleren el progreso hacia la visión de cero nuevas infecciones por VIH, cero discriminación y cero muertes relacionadas con el sida, la estrategia tiene como objetivo el empoderamiento de las personas con los programas y recursos que necesitan para ejercer sus derechos, protegerse y prosperar frente al VIH, para ello</w:t>
      </w:r>
      <w:r w:rsidR="0081691F" w:rsidRPr="00FA5477">
        <w:t xml:space="preserve"> </w:t>
      </w:r>
      <w:r w:rsidRPr="00FA5477">
        <w:t>las personas con VIH y las poblaciones con mayor riesgo están en el centro de las acciones a implementar, el trabajo del sistema nacional integrado de salud junto al trabajo comunitario generarán un impacto positivo en la respuesta nacional al VIH, relacionada con las nuevas infecciones, la reducción de la mortalidad y la eliminación de la transmisión materno infantil al VIH; paralelamente se abordará a los profesionales de salud para el logro de las metas 10 10 10 relacionadas a la reducción del estigma y discriminación, además, se realizarán abordajes para influir en aquellas condiciones que pudieran interferir en el acceso a los servicios por parte de las personas viviendo con VIH y poblaciones clave, de forma que se pueda alcanzar una de las tres metas 10 relaciona</w:t>
      </w:r>
      <w:r w:rsidR="00D07D9C" w:rsidRPr="00FA5477">
        <w:t>da</w:t>
      </w:r>
      <w:r w:rsidRPr="00FA5477">
        <w:t xml:space="preserve"> a </w:t>
      </w:r>
      <w:r w:rsidR="00D07D9C" w:rsidRPr="00FA5477">
        <w:t xml:space="preserve">la </w:t>
      </w:r>
      <w:r w:rsidRPr="00FA5477">
        <w:t>reducción de la desigualdad de género y violencia.</w:t>
      </w:r>
      <w:r w:rsidR="00B84B99" w:rsidRPr="00FA5477">
        <w:t xml:space="preserve"> [Anexo </w:t>
      </w:r>
      <w:r w:rsidR="008E074E" w:rsidRPr="00FA5477">
        <w:t>11</w:t>
      </w:r>
      <w:r w:rsidR="00B84B99" w:rsidRPr="00FA5477">
        <w:t>]</w:t>
      </w:r>
    </w:p>
    <w:p w14:paraId="1E69BC80" w14:textId="20E33715" w:rsidR="00577383" w:rsidRPr="00FA5477" w:rsidRDefault="00577383" w:rsidP="00577383">
      <w:pPr>
        <w:pStyle w:val="Textoindependiente"/>
        <w:spacing w:after="120" w:line="264" w:lineRule="auto"/>
        <w:ind w:left="720"/>
        <w:jc w:val="both"/>
      </w:pPr>
      <w:r w:rsidRPr="00FA5477">
        <w:rPr>
          <w:b/>
          <w:bCs/>
          <w:i/>
          <w:iCs/>
        </w:rPr>
        <w:t xml:space="preserve">2.1.2 </w:t>
      </w:r>
      <w:r w:rsidR="0000051C" w:rsidRPr="00FA5477">
        <w:rPr>
          <w:b/>
          <w:bCs/>
          <w:i/>
          <w:iCs/>
        </w:rPr>
        <w:t>Fortalecer la integración de los sistemas de salud o comunitarios.-</w:t>
      </w:r>
      <w:r w:rsidR="0000051C" w:rsidRPr="00FA5477">
        <w:t xml:space="preserve"> </w:t>
      </w:r>
      <w:r w:rsidRPr="00FA5477">
        <w:t xml:space="preserve">El fortalecimiento de los sistemas de salud y comunitarios está enfocado en maximizar los esfuerzos para lograr los objetivos 2025 desde los centros de atención junto con el trabajo comunitario </w:t>
      </w:r>
      <w:r w:rsidR="00777440" w:rsidRPr="00FA5477">
        <w:t xml:space="preserve">-que incluye no solamente a SR sino también a otras organizaciones que realizan trabajo de campo con las poblaciones clave- </w:t>
      </w:r>
      <w:r w:rsidRPr="00FA5477">
        <w:t>con un enfoque desde la cascada del continuo de la atención de manera que pueda hacerse una sinergia para la lograr intervenciones efectivas desde la prevención combinada (Objetivo 2025:</w:t>
      </w:r>
      <w:r w:rsidR="00777440" w:rsidRPr="00FA5477">
        <w:t xml:space="preserve"> </w:t>
      </w:r>
      <w:r w:rsidRPr="00FA5477">
        <w:t xml:space="preserve">95% usan prevención </w:t>
      </w:r>
      <w:r w:rsidR="00735FF7" w:rsidRPr="00FA5477">
        <w:t>c</w:t>
      </w:r>
      <w:r w:rsidRPr="00FA5477">
        <w:t>ombinada),</w:t>
      </w:r>
      <w:r w:rsidR="00777440" w:rsidRPr="00FA5477">
        <w:t xml:space="preserve"> </w:t>
      </w:r>
      <w:r w:rsidRPr="00FA5477">
        <w:t>el diagnóstico temprano</w:t>
      </w:r>
      <w:r w:rsidR="00E2460C" w:rsidRPr="00FA5477">
        <w:t xml:space="preserve"> </w:t>
      </w:r>
      <w:r w:rsidRPr="00FA5477">
        <w:t>(Objetivo 2025:</w:t>
      </w:r>
      <w:r w:rsidR="00777440" w:rsidRPr="00FA5477">
        <w:t xml:space="preserve"> </w:t>
      </w:r>
      <w:r w:rsidRPr="00FA5477">
        <w:t>95% conoce su estado serológico), vinculación, tratamiento</w:t>
      </w:r>
      <w:r w:rsidR="004B4DCA" w:rsidRPr="00FA5477">
        <w:t xml:space="preserve"> </w:t>
      </w:r>
      <w:r w:rsidRPr="00FA5477">
        <w:t>(Objetivo 2025:</w:t>
      </w:r>
      <w:r w:rsidR="00777440" w:rsidRPr="00FA5477">
        <w:t xml:space="preserve"> </w:t>
      </w:r>
      <w:r w:rsidRPr="00FA5477">
        <w:t>95% inician tratamiento) y supresión viral (Objetivo 2025:</w:t>
      </w:r>
      <w:r w:rsidR="00777440" w:rsidRPr="00FA5477">
        <w:t xml:space="preserve"> </w:t>
      </w:r>
      <w:r w:rsidRPr="00FA5477">
        <w:t>95% supresión viral)</w:t>
      </w:r>
      <w:r w:rsidR="00823DD4" w:rsidRPr="00FA5477">
        <w:t xml:space="preserve"> </w:t>
      </w:r>
      <w:r w:rsidRPr="00FA5477">
        <w:t>de forma que se abone al cumplimiento de las metas nacionales como se han plasmado en el PENM</w:t>
      </w:r>
      <w:r w:rsidR="00A65BD7" w:rsidRPr="00FA5477">
        <w:t>-VIH</w:t>
      </w:r>
      <w:r w:rsidRPr="00FA5477">
        <w:t xml:space="preserve"> 2022-202</w:t>
      </w:r>
      <w:r w:rsidR="002E559B" w:rsidRPr="00FA5477">
        <w:t>7</w:t>
      </w:r>
      <w:r w:rsidRPr="00FA5477">
        <w:t xml:space="preserve"> y por ende estas a las metas globales.</w:t>
      </w:r>
      <w:r w:rsidR="008E074E" w:rsidRPr="00FA5477">
        <w:t xml:space="preserve"> </w:t>
      </w:r>
      <w:r w:rsidR="00735FF7" w:rsidRPr="00FA5477">
        <w:t xml:space="preserve">[Anexo </w:t>
      </w:r>
      <w:r w:rsidR="00F00444" w:rsidRPr="00FA5477">
        <w:t>5</w:t>
      </w:r>
      <w:r w:rsidR="00735FF7" w:rsidRPr="00FA5477">
        <w:t>]</w:t>
      </w:r>
    </w:p>
    <w:p w14:paraId="09F23754" w14:textId="29384CBD" w:rsidR="00D77B71" w:rsidRPr="00FA5477" w:rsidRDefault="00D77B71" w:rsidP="00D77B71">
      <w:pPr>
        <w:pStyle w:val="Textoindependiente"/>
        <w:spacing w:after="120" w:line="264" w:lineRule="auto"/>
        <w:ind w:left="720"/>
        <w:jc w:val="both"/>
      </w:pPr>
      <w:r w:rsidRPr="00FA5477">
        <w:rPr>
          <w:b/>
          <w:bCs/>
          <w:i/>
          <w:iCs/>
        </w:rPr>
        <w:t xml:space="preserve">2.1.3 </w:t>
      </w:r>
      <w:r w:rsidR="0000051C" w:rsidRPr="00FA5477">
        <w:rPr>
          <w:b/>
          <w:bCs/>
          <w:i/>
          <w:iCs/>
        </w:rPr>
        <w:t>Avanzar en la equidad en materia de salud, la igualdad de género y los derechos humanos.-</w:t>
      </w:r>
      <w:r w:rsidR="0000051C" w:rsidRPr="00FA5477">
        <w:t xml:space="preserve"> </w:t>
      </w:r>
      <w:r w:rsidRPr="00FA5477">
        <w:t>A pesar de varios logros nacionales en materia de</w:t>
      </w:r>
      <w:r w:rsidR="0081691F" w:rsidRPr="00FA5477">
        <w:t xml:space="preserve"> </w:t>
      </w:r>
      <w:r w:rsidRPr="00FA5477">
        <w:t>respuesta al VIH</w:t>
      </w:r>
      <w:r w:rsidR="0081691F" w:rsidRPr="00FA5477">
        <w:t xml:space="preserve"> </w:t>
      </w:r>
      <w:r w:rsidRPr="00FA5477">
        <w:t>que cubren varios aspectos</w:t>
      </w:r>
      <w:r w:rsidR="0081691F" w:rsidRPr="00FA5477">
        <w:t xml:space="preserve"> </w:t>
      </w:r>
      <w:r w:rsidRPr="00FA5477">
        <w:t>como el uso de la prevención combinada</w:t>
      </w:r>
      <w:r w:rsidR="0081691F" w:rsidRPr="00FA5477">
        <w:t>,</w:t>
      </w:r>
      <w:r w:rsidRPr="00FA5477">
        <w:t xml:space="preserve"> el conocimiento del</w:t>
      </w:r>
      <w:r w:rsidR="0081691F" w:rsidRPr="00FA5477">
        <w:t xml:space="preserve"> </w:t>
      </w:r>
      <w:r w:rsidRPr="00FA5477">
        <w:t>estado serológico</w:t>
      </w:r>
      <w:r w:rsidR="0081691F" w:rsidRPr="00FA5477">
        <w:t xml:space="preserve">, </w:t>
      </w:r>
      <w:r w:rsidRPr="00FA5477">
        <w:t>el inicio de</w:t>
      </w:r>
      <w:r w:rsidR="0081691F" w:rsidRPr="00FA5477">
        <w:t xml:space="preserve"> </w:t>
      </w:r>
      <w:r w:rsidRPr="00FA5477">
        <w:t>tratamiento temprano</w:t>
      </w:r>
      <w:r w:rsidR="0081691F" w:rsidRPr="00FA5477">
        <w:t>,</w:t>
      </w:r>
      <w:r w:rsidRPr="00FA5477">
        <w:t xml:space="preserve"> la supresión viral</w:t>
      </w:r>
      <w:r w:rsidR="0081691F" w:rsidRPr="00FA5477">
        <w:t>,</w:t>
      </w:r>
      <w:r w:rsidRPr="00FA5477">
        <w:t xml:space="preserve"> la eliminación de la transmisión materno infantil</w:t>
      </w:r>
      <w:r w:rsidR="0081691F" w:rsidRPr="00FA5477">
        <w:t>,</w:t>
      </w:r>
      <w:r w:rsidRPr="00FA5477">
        <w:t xml:space="preserve"> la vinculación los servicios de tratamiento</w:t>
      </w:r>
      <w:r w:rsidR="0081691F" w:rsidRPr="00FA5477">
        <w:t>,</w:t>
      </w:r>
      <w:r w:rsidRPr="00FA5477">
        <w:t xml:space="preserve"> el acceso a las mujeres</w:t>
      </w:r>
      <w:r w:rsidR="0081691F" w:rsidRPr="00FA5477">
        <w:t xml:space="preserve"> </w:t>
      </w:r>
      <w:r w:rsidRPr="00FA5477">
        <w:t>a los servicios de</w:t>
      </w:r>
      <w:r w:rsidR="0081691F" w:rsidRPr="00FA5477">
        <w:t xml:space="preserve"> </w:t>
      </w:r>
      <w:r w:rsidRPr="00FA5477">
        <w:t>VIH y salud sexual y reproductiva</w:t>
      </w:r>
      <w:r w:rsidR="0081691F" w:rsidRPr="00FA5477">
        <w:t>,</w:t>
      </w:r>
      <w:r w:rsidRPr="00FA5477">
        <w:t xml:space="preserve"> aún existen</w:t>
      </w:r>
      <w:r w:rsidR="0081691F" w:rsidRPr="00FA5477">
        <w:t xml:space="preserve"> </w:t>
      </w:r>
      <w:r w:rsidRPr="00FA5477">
        <w:t>acciones punitivas</w:t>
      </w:r>
      <w:r w:rsidR="0081691F" w:rsidRPr="00FA5477">
        <w:t xml:space="preserve"> </w:t>
      </w:r>
      <w:r w:rsidRPr="00FA5477">
        <w:t>que aumentan</w:t>
      </w:r>
      <w:r w:rsidR="0081691F" w:rsidRPr="00FA5477">
        <w:t xml:space="preserve"> </w:t>
      </w:r>
      <w:r w:rsidRPr="00FA5477">
        <w:t>la estigmatización</w:t>
      </w:r>
      <w:r w:rsidR="0081691F" w:rsidRPr="00FA5477">
        <w:t>,</w:t>
      </w:r>
      <w:r w:rsidRPr="00FA5477">
        <w:t xml:space="preserve"> la discriminación</w:t>
      </w:r>
      <w:r w:rsidR="0081691F" w:rsidRPr="00FA5477">
        <w:t>,</w:t>
      </w:r>
      <w:r w:rsidRPr="00FA5477">
        <w:t xml:space="preserve"> las desigualdades</w:t>
      </w:r>
      <w:r w:rsidR="0081691F" w:rsidRPr="00FA5477">
        <w:t xml:space="preserve"> </w:t>
      </w:r>
      <w:r w:rsidRPr="00FA5477">
        <w:t>de</w:t>
      </w:r>
      <w:r w:rsidR="0081691F" w:rsidRPr="00FA5477">
        <w:t xml:space="preserve"> </w:t>
      </w:r>
      <w:r w:rsidRPr="00FA5477">
        <w:t>género</w:t>
      </w:r>
      <w:r w:rsidR="0081691F" w:rsidRPr="00FA5477">
        <w:t>,</w:t>
      </w:r>
      <w:r w:rsidRPr="00FA5477">
        <w:t xml:space="preserve"> la violencia</w:t>
      </w:r>
      <w:r w:rsidR="0081691F" w:rsidRPr="00FA5477">
        <w:t xml:space="preserve"> </w:t>
      </w:r>
      <w:r w:rsidRPr="00FA5477">
        <w:t>sexual y</w:t>
      </w:r>
      <w:r w:rsidR="0081691F" w:rsidRPr="00FA5477">
        <w:t xml:space="preserve"> </w:t>
      </w:r>
      <w:r w:rsidRPr="00FA5477">
        <w:t>violencia basada en género,</w:t>
      </w:r>
      <w:r w:rsidR="0081691F" w:rsidRPr="00FA5477">
        <w:t xml:space="preserve"> </w:t>
      </w:r>
      <w:r w:rsidRPr="00FA5477">
        <w:t>por lo que</w:t>
      </w:r>
      <w:r w:rsidR="0081691F" w:rsidRPr="00FA5477">
        <w:t xml:space="preserve"> </w:t>
      </w:r>
      <w:r w:rsidRPr="00FA5477">
        <w:t>las respuesta dirigidas</w:t>
      </w:r>
      <w:r w:rsidR="0081691F" w:rsidRPr="00FA5477">
        <w:t xml:space="preserve"> </w:t>
      </w:r>
      <w:r w:rsidRPr="00FA5477">
        <w:t>por la comunidad son importantes</w:t>
      </w:r>
      <w:r w:rsidR="0081691F" w:rsidRPr="00FA5477">
        <w:t xml:space="preserve"> </w:t>
      </w:r>
      <w:r w:rsidRPr="00FA5477">
        <w:t>para</w:t>
      </w:r>
      <w:r w:rsidR="0081691F" w:rsidRPr="00FA5477">
        <w:t xml:space="preserve"> </w:t>
      </w:r>
      <w:r w:rsidRPr="00FA5477">
        <w:t>la identificación y el manejo de estas situaciones. En el contexto nacional existe una desigualdad de género relacionado con el acceso igualitario y equitativo de los servicios</w:t>
      </w:r>
      <w:r w:rsidR="0081691F" w:rsidRPr="00FA5477">
        <w:t xml:space="preserve"> </w:t>
      </w:r>
      <w:r w:rsidRPr="00FA5477">
        <w:t>para las poblaciones claves</w:t>
      </w:r>
      <w:r w:rsidR="0081691F" w:rsidRPr="00FA5477">
        <w:t xml:space="preserve">, </w:t>
      </w:r>
      <w:r w:rsidRPr="00FA5477">
        <w:t>hay una adecuada oferta de servicios</w:t>
      </w:r>
      <w:r w:rsidR="0081691F" w:rsidRPr="00FA5477">
        <w:t xml:space="preserve"> </w:t>
      </w:r>
      <w:r w:rsidRPr="00FA5477">
        <w:t>través de</w:t>
      </w:r>
      <w:r w:rsidR="0081691F" w:rsidRPr="00FA5477">
        <w:t xml:space="preserve"> </w:t>
      </w:r>
      <w:r w:rsidRPr="00FA5477">
        <w:t>las clínicas VICITS y amigables, sin embargo las poblaciones perciben</w:t>
      </w:r>
      <w:r w:rsidR="0081691F" w:rsidRPr="00FA5477">
        <w:t xml:space="preserve"> </w:t>
      </w:r>
      <w:r w:rsidRPr="00FA5477">
        <w:t>que son discriminad</w:t>
      </w:r>
      <w:r w:rsidR="005973ED" w:rsidRPr="00FA5477">
        <w:t>a</w:t>
      </w:r>
      <w:r w:rsidRPr="00FA5477">
        <w:t>s, en particular, el Índice de Estigma y Discriminación (2023) destaca que más del 30% de las personas trans</w:t>
      </w:r>
      <w:r w:rsidR="00674E06" w:rsidRPr="00FA5477">
        <w:t>género</w:t>
      </w:r>
      <w:r w:rsidRPr="00FA5477">
        <w:t xml:space="preserve"> que viven con el VIH informan haber sufrido discriminación en el último año, principalmente en forma de acoso verbal y discriminación</w:t>
      </w:r>
      <w:r w:rsidR="00407BD6" w:rsidRPr="00FA5477">
        <w:rPr>
          <w:rStyle w:val="Refdenotaalpie"/>
        </w:rPr>
        <w:footnoteReference w:id="10"/>
      </w:r>
      <w:r w:rsidR="00407BD6" w:rsidRPr="00FA5477">
        <w:t>.</w:t>
      </w:r>
      <w:r w:rsidRPr="00FA5477">
        <w:t xml:space="preserve"> En consecuencia, existe el temor que se puedan exacerbar el hostigamiento y la discriminación, lo que podría poner en peligro los progresos logrados por el país en la respuesta al VIH, sin embargo esta propuesta</w:t>
      </w:r>
      <w:r w:rsidR="0081691F" w:rsidRPr="00FA5477">
        <w:t xml:space="preserve"> </w:t>
      </w:r>
      <w:r w:rsidRPr="00FA5477">
        <w:t>tiene contemplado</w:t>
      </w:r>
      <w:r w:rsidR="0081691F" w:rsidRPr="00FA5477">
        <w:t xml:space="preserve"> </w:t>
      </w:r>
      <w:r w:rsidRPr="00FA5477">
        <w:t>trabajar ambientes</w:t>
      </w:r>
      <w:r w:rsidR="0081691F" w:rsidRPr="00FA5477">
        <w:t xml:space="preserve"> </w:t>
      </w:r>
      <w:r w:rsidRPr="00FA5477">
        <w:t>libres de estigma y discriminación donde se permita el acceso</w:t>
      </w:r>
      <w:r w:rsidR="0081691F" w:rsidRPr="00FA5477">
        <w:t xml:space="preserve"> </w:t>
      </w:r>
      <w:r w:rsidRPr="00FA5477">
        <w:t>prioritario a mujeres</w:t>
      </w:r>
      <w:r w:rsidR="0081691F" w:rsidRPr="00FA5477">
        <w:t>,</w:t>
      </w:r>
      <w:r w:rsidRPr="00FA5477">
        <w:t xml:space="preserve"> principalmente</w:t>
      </w:r>
      <w:r w:rsidR="0081691F" w:rsidRPr="00FA5477">
        <w:t xml:space="preserve"> </w:t>
      </w:r>
      <w:r w:rsidRPr="00FA5477">
        <w:t>trabajadoras</w:t>
      </w:r>
      <w:r w:rsidR="0081691F" w:rsidRPr="00FA5477">
        <w:t xml:space="preserve"> </w:t>
      </w:r>
      <w:r w:rsidR="00303AF8" w:rsidRPr="00FA5477">
        <w:t xml:space="preserve">del sexo </w:t>
      </w:r>
      <w:r w:rsidRPr="00FA5477">
        <w:t xml:space="preserve">con énfasis en </w:t>
      </w:r>
      <w:r w:rsidR="00674E06" w:rsidRPr="00FA5477">
        <w:t>personas transgénero</w:t>
      </w:r>
      <w:r w:rsidRPr="00FA5477">
        <w:t>. El personal de salud est</w:t>
      </w:r>
      <w:r w:rsidR="004D6F94" w:rsidRPr="00FA5477">
        <w:t>á</w:t>
      </w:r>
      <w:r w:rsidR="0081691F" w:rsidRPr="00FA5477">
        <w:t xml:space="preserve"> </w:t>
      </w:r>
      <w:r w:rsidRPr="00FA5477">
        <w:t>sensibilizado</w:t>
      </w:r>
      <w:r w:rsidR="004D6F94" w:rsidRPr="00FA5477">
        <w:t>,</w:t>
      </w:r>
      <w:r w:rsidRPr="00FA5477">
        <w:t xml:space="preserve"> pero hay una rotación</w:t>
      </w:r>
      <w:r w:rsidR="0081691F" w:rsidRPr="00FA5477">
        <w:t xml:space="preserve"> </w:t>
      </w:r>
      <w:r w:rsidRPr="00FA5477">
        <w:t>muy amplia de personal en áreas</w:t>
      </w:r>
      <w:r w:rsidR="0081691F" w:rsidRPr="00FA5477">
        <w:t xml:space="preserve"> </w:t>
      </w:r>
      <w:r w:rsidRPr="00FA5477">
        <w:t>administrativas</w:t>
      </w:r>
      <w:r w:rsidR="0081691F" w:rsidRPr="00FA5477">
        <w:t xml:space="preserve"> </w:t>
      </w:r>
      <w:r w:rsidRPr="00FA5477">
        <w:t>y vigilancia</w:t>
      </w:r>
      <w:r w:rsidR="0081691F" w:rsidRPr="00FA5477">
        <w:t xml:space="preserve"> </w:t>
      </w:r>
      <w:r w:rsidR="005973ED" w:rsidRPr="00FA5477">
        <w:t xml:space="preserve">planteándose la necesidad de </w:t>
      </w:r>
      <w:r w:rsidRPr="00FA5477">
        <w:t>sensibilizar y formar</w:t>
      </w:r>
      <w:r w:rsidR="005973ED" w:rsidRPr="00FA5477">
        <w:t xml:space="preserve"> a los que van entrando en su reemplazo</w:t>
      </w:r>
      <w:r w:rsidRPr="00FA5477">
        <w:t xml:space="preserve">. </w:t>
      </w:r>
    </w:p>
    <w:p w14:paraId="2C414AC3" w14:textId="2555C866" w:rsidR="00D77B71" w:rsidRPr="00FA5477" w:rsidRDefault="00D77B71" w:rsidP="00D77B71">
      <w:pPr>
        <w:pStyle w:val="Textoindependiente"/>
        <w:spacing w:after="120" w:line="264" w:lineRule="auto"/>
        <w:ind w:left="720"/>
        <w:jc w:val="both"/>
      </w:pPr>
      <w:r w:rsidRPr="00FA5477">
        <w:t>Se ha considerado</w:t>
      </w:r>
      <w:r w:rsidR="0081691F" w:rsidRPr="00FA5477">
        <w:t xml:space="preserve"> </w:t>
      </w:r>
      <w:r w:rsidRPr="00FA5477">
        <w:t>los obstáculos relacionados con los derechos humanos, incluidas la estigmatización, la discriminación y la violencia ejercida contra poblaciones clave y vulnerables, principalmente</w:t>
      </w:r>
      <w:r w:rsidR="0081691F" w:rsidRPr="00FA5477">
        <w:t xml:space="preserve"> </w:t>
      </w:r>
      <w:r w:rsidRPr="00FA5477">
        <w:t xml:space="preserve">contra </w:t>
      </w:r>
      <w:r w:rsidR="00674E06" w:rsidRPr="00FA5477">
        <w:t>personas transgénero</w:t>
      </w:r>
      <w:r w:rsidR="0081691F" w:rsidRPr="00FA5477">
        <w:t>,</w:t>
      </w:r>
      <w:r w:rsidRPr="00FA5477">
        <w:t xml:space="preserve"> </w:t>
      </w:r>
      <w:r w:rsidR="005647EB" w:rsidRPr="00FA5477">
        <w:t>como los efectos posibles de la decisión de retirar la mención a las comunidades LGBTI en los términos utilizados internacionalmente y en el país hasta antes de marzo de</w:t>
      </w:r>
      <w:r w:rsidR="00995F08" w:rsidRPr="00FA5477">
        <w:t xml:space="preserve"> </w:t>
      </w:r>
      <w:r w:rsidR="005647EB" w:rsidRPr="00FA5477">
        <w:t xml:space="preserve">2024, </w:t>
      </w:r>
      <w:r w:rsidRPr="00FA5477">
        <w:t>por lo que la propuesta considera un observatorio de las violaciones de Derechos Humanos a población clave,</w:t>
      </w:r>
      <w:r w:rsidR="0081691F" w:rsidRPr="00FA5477">
        <w:t xml:space="preserve"> </w:t>
      </w:r>
      <w:r w:rsidRPr="00FA5477">
        <w:t>además de</w:t>
      </w:r>
      <w:r w:rsidR="0081691F" w:rsidRPr="00FA5477">
        <w:t xml:space="preserve"> </w:t>
      </w:r>
      <w:r w:rsidRPr="00FA5477">
        <w:t>programas</w:t>
      </w:r>
      <w:r w:rsidR="0081691F" w:rsidRPr="00FA5477">
        <w:t xml:space="preserve"> </w:t>
      </w:r>
      <w:r w:rsidRPr="00FA5477">
        <w:t>o intervenciones para</w:t>
      </w:r>
      <w:r w:rsidR="0081691F" w:rsidRPr="00FA5477">
        <w:t xml:space="preserve"> </w:t>
      </w:r>
      <w:r w:rsidRPr="00FA5477">
        <w:t>accesar</w:t>
      </w:r>
      <w:r w:rsidR="0081691F" w:rsidRPr="00FA5477">
        <w:t xml:space="preserve"> </w:t>
      </w:r>
      <w:r w:rsidRPr="00FA5477">
        <w:t>los servicios de</w:t>
      </w:r>
      <w:r w:rsidR="0081691F" w:rsidRPr="00FA5477">
        <w:t xml:space="preserve"> </w:t>
      </w:r>
      <w:r w:rsidRPr="00FA5477">
        <w:t>salud</w:t>
      </w:r>
      <w:r w:rsidR="000537CC" w:rsidRPr="00FA5477">
        <w:t xml:space="preserve"> a través de navegadores pares</w:t>
      </w:r>
      <w:r w:rsidRPr="00FA5477">
        <w:t>,</w:t>
      </w:r>
      <w:r w:rsidR="0081691F" w:rsidRPr="00FA5477">
        <w:t xml:space="preserve"> </w:t>
      </w:r>
      <w:r w:rsidRPr="00FA5477">
        <w:t>igualmente se ha considerado la apertura de una clínica</w:t>
      </w:r>
      <w:r w:rsidR="0081691F" w:rsidRPr="00FA5477">
        <w:t xml:space="preserve"> </w:t>
      </w:r>
      <w:r w:rsidRPr="00FA5477">
        <w:t>comunitaria</w:t>
      </w:r>
      <w:r w:rsidR="0081691F" w:rsidRPr="00FA5477">
        <w:t xml:space="preserve"> </w:t>
      </w:r>
      <w:r w:rsidRPr="00FA5477">
        <w:t xml:space="preserve">con asistencia técnica de </w:t>
      </w:r>
      <w:r w:rsidR="005973ED" w:rsidRPr="00FA5477">
        <w:t>PLAN</w:t>
      </w:r>
      <w:r w:rsidR="0081691F" w:rsidRPr="00FA5477">
        <w:t xml:space="preserve"> </w:t>
      </w:r>
      <w:r w:rsidRPr="00FA5477">
        <w:t>y</w:t>
      </w:r>
      <w:r w:rsidR="0081691F" w:rsidRPr="00FA5477">
        <w:t xml:space="preserve"> </w:t>
      </w:r>
      <w:r w:rsidRPr="00FA5477">
        <w:t>coordinada por</w:t>
      </w:r>
      <w:r w:rsidR="0081691F" w:rsidRPr="00FA5477">
        <w:t xml:space="preserve"> </w:t>
      </w:r>
      <w:r w:rsidRPr="00FA5477">
        <w:t>un colectivo de</w:t>
      </w:r>
      <w:r w:rsidR="0081691F" w:rsidRPr="00FA5477">
        <w:t xml:space="preserve"> </w:t>
      </w:r>
      <w:r w:rsidR="00674E06" w:rsidRPr="00FA5477">
        <w:t xml:space="preserve">personas transgénero </w:t>
      </w:r>
      <w:r w:rsidRPr="00FA5477">
        <w:t>que permitirá el acceso a</w:t>
      </w:r>
      <w:r w:rsidR="0081691F" w:rsidRPr="00FA5477">
        <w:t xml:space="preserve"> </w:t>
      </w:r>
      <w:r w:rsidRPr="00FA5477">
        <w:t>los servicios de diagnóstico a través de prueba dual</w:t>
      </w:r>
      <w:r w:rsidR="0081691F" w:rsidRPr="00FA5477">
        <w:t xml:space="preserve">, </w:t>
      </w:r>
      <w:r w:rsidRPr="00FA5477">
        <w:t>notificación de contactos y parejas,</w:t>
      </w:r>
      <w:r w:rsidR="0081691F" w:rsidRPr="00FA5477">
        <w:t xml:space="preserve"> </w:t>
      </w:r>
      <w:r w:rsidRPr="00FA5477">
        <w:t xml:space="preserve">auto pruebas y </w:t>
      </w:r>
      <w:r w:rsidR="00DB22E8" w:rsidRPr="00FA5477">
        <w:t>acompañamiento</w:t>
      </w:r>
      <w:r w:rsidRPr="00FA5477">
        <w:t xml:space="preserve"> basad</w:t>
      </w:r>
      <w:r w:rsidR="005973ED" w:rsidRPr="00FA5477">
        <w:t>o</w:t>
      </w:r>
      <w:r w:rsidRPr="00FA5477">
        <w:t xml:space="preserve"> en riesgo</w:t>
      </w:r>
      <w:r w:rsidR="0081691F" w:rsidRPr="00FA5477">
        <w:t>,</w:t>
      </w:r>
      <w:r w:rsidRPr="00FA5477">
        <w:t xml:space="preserve"> servicios de </w:t>
      </w:r>
      <w:r w:rsidR="0081691F" w:rsidRPr="00FA5477">
        <w:t>prevención</w:t>
      </w:r>
      <w:r w:rsidRPr="00FA5477">
        <w:t xml:space="preserve"> de violencia basada en género</w:t>
      </w:r>
      <w:r w:rsidR="0081691F" w:rsidRPr="00FA5477">
        <w:t>,</w:t>
      </w:r>
      <w:r w:rsidRPr="00FA5477">
        <w:t xml:space="preserve"> etc.</w:t>
      </w:r>
    </w:p>
    <w:p w14:paraId="5FDDEBFC" w14:textId="4AC174B9" w:rsidR="00D77B71" w:rsidRPr="00FA5477" w:rsidRDefault="00D77B71" w:rsidP="00D77B71">
      <w:pPr>
        <w:pStyle w:val="Textoindependiente"/>
        <w:spacing w:after="120" w:line="264" w:lineRule="auto"/>
        <w:ind w:left="720"/>
        <w:jc w:val="both"/>
      </w:pPr>
      <w:r w:rsidRPr="00FA5477">
        <w:t>En los marcos y contextos jurídicos y políticos existentes, un gran vacío tiene que ver con</w:t>
      </w:r>
      <w:r w:rsidR="0081691F" w:rsidRPr="00FA5477">
        <w:t xml:space="preserve"> </w:t>
      </w:r>
      <w:r w:rsidRPr="00FA5477">
        <w:t xml:space="preserve">que no existe una ley de identidad, la falta de reconocimiento de la identidad de género hace que las poblaciones </w:t>
      </w:r>
      <w:r w:rsidR="005973ED" w:rsidRPr="00FA5477">
        <w:t>carezcan</w:t>
      </w:r>
      <w:r w:rsidRPr="00FA5477">
        <w:t xml:space="preserve"> de documentos legales con su verdadera identificación, lo que dificulta el acceso a los servicios integrales principalmente los servicios relacionados al VIH.</w:t>
      </w:r>
    </w:p>
    <w:p w14:paraId="71809B7A" w14:textId="74105977" w:rsidR="00D77B71" w:rsidRPr="00FA5477" w:rsidRDefault="00D77B71" w:rsidP="00D77B71">
      <w:pPr>
        <w:pStyle w:val="Textoindependiente"/>
        <w:spacing w:after="120" w:line="264" w:lineRule="auto"/>
        <w:ind w:left="720"/>
        <w:jc w:val="both"/>
      </w:pPr>
      <w:r w:rsidRPr="00FA5477">
        <w:t xml:space="preserve">Desde esta </w:t>
      </w:r>
      <w:r w:rsidR="00EB4F74" w:rsidRPr="00FA5477">
        <w:t>s</w:t>
      </w:r>
      <w:r w:rsidRPr="00FA5477">
        <w:t>olicitud de financiamiento</w:t>
      </w:r>
      <w:r w:rsidR="0081691F" w:rsidRPr="00FA5477">
        <w:t xml:space="preserve"> </w:t>
      </w:r>
      <w:r w:rsidRPr="00FA5477">
        <w:t>se ha priorizado el acceso a los servicios de salud de manera igualitaria y equitativa, es un llamado a la acción para invertir en habilitadores sociales para cumplir las metas 10-10-10 (</w:t>
      </w:r>
      <w:r w:rsidR="00EB4F74" w:rsidRPr="00FA5477">
        <w:t>e</w:t>
      </w:r>
      <w:r w:rsidRPr="00FA5477">
        <w:t>liminar las barreras sociales y jurídicos para crear un entorno propicio y una respuesta eficaz al VIH) que establecen programas centrados en las personas es decir, en defensa del derecho</w:t>
      </w:r>
      <w:r w:rsidR="0081691F" w:rsidRPr="00FA5477">
        <w:t xml:space="preserve"> </w:t>
      </w:r>
      <w:r w:rsidRPr="00FA5477">
        <w:t>a acceder a servicios con énfasis en el trabajo con los sistemas de salud con enfoque de derechos humanos e igualdad de género (Objetivo 2025:</w:t>
      </w:r>
      <w:r w:rsidR="00DB63FE" w:rsidRPr="00FA5477">
        <w:t xml:space="preserve"> </w:t>
      </w:r>
      <w:r w:rsidRPr="00FA5477">
        <w:t xml:space="preserve">95% de las mujeres acceden a servicios de VIH y Salud sexual y reproductiva), se ha planteado una propuesta específica para el acceso a salud de </w:t>
      </w:r>
      <w:r w:rsidR="00674E06" w:rsidRPr="00FA5477">
        <w:t>personas transgénero</w:t>
      </w:r>
      <w:r w:rsidRPr="00FA5477">
        <w:t>, prevención de violencia basada en genero ya que las mujeres que viven con el VIH y que han sufrido violencia de genero tienen menos probabilidades de lograr la supresión viral que otras mujeres que viven con el VIH</w:t>
      </w:r>
      <w:r w:rsidR="0081691F" w:rsidRPr="00FA5477">
        <w:t xml:space="preserve"> </w:t>
      </w:r>
      <w:r w:rsidRPr="00FA5477">
        <w:t>y una estrategia comunitaria robusta para poblaciones clave.</w:t>
      </w:r>
      <w:r w:rsidR="00735FF7" w:rsidRPr="00FA5477">
        <w:t xml:space="preserve"> [Anexo </w:t>
      </w:r>
      <w:r w:rsidR="008E074E" w:rsidRPr="00FA5477">
        <w:t>11</w:t>
      </w:r>
      <w:r w:rsidR="00735FF7" w:rsidRPr="00FA5477">
        <w:t>]</w:t>
      </w:r>
    </w:p>
    <w:p w14:paraId="6DD97BF2" w14:textId="703C003E" w:rsidR="00D77B71" w:rsidRPr="00FA5477" w:rsidRDefault="00D77B71" w:rsidP="00D77B71">
      <w:pPr>
        <w:pStyle w:val="Textoindependiente"/>
        <w:spacing w:after="120" w:line="264" w:lineRule="auto"/>
        <w:ind w:left="720"/>
        <w:jc w:val="both"/>
      </w:pPr>
      <w:r w:rsidRPr="00FA5477">
        <w:t>Se identifican en esta solicitud de financiamiento algunas acciones</w:t>
      </w:r>
      <w:r w:rsidR="0081691F" w:rsidRPr="00FA5477">
        <w:t xml:space="preserve"> </w:t>
      </w:r>
      <w:r w:rsidRPr="00FA5477">
        <w:t>clave que presentan oportunidades para sinergias en múltiples contextos: protección social, a través de la existencia y funcionamiento de la clínica comunitaria</w:t>
      </w:r>
      <w:r w:rsidR="0081691F" w:rsidRPr="00FA5477">
        <w:t xml:space="preserve"> </w:t>
      </w:r>
      <w:r w:rsidRPr="00FA5477">
        <w:t xml:space="preserve">de </w:t>
      </w:r>
      <w:r w:rsidR="00674E06" w:rsidRPr="00FA5477">
        <w:t>personas transgénero</w:t>
      </w:r>
      <w:r w:rsidRPr="00FA5477">
        <w:t>,</w:t>
      </w:r>
      <w:r w:rsidR="0081691F" w:rsidRPr="00FA5477">
        <w:t xml:space="preserve"> </w:t>
      </w:r>
      <w:r w:rsidRPr="00FA5477">
        <w:t>sistemas de</w:t>
      </w:r>
      <w:r w:rsidR="0081691F" w:rsidRPr="00FA5477">
        <w:t xml:space="preserve"> </w:t>
      </w:r>
      <w:r w:rsidRPr="00FA5477">
        <w:t>apoyo psicosocial</w:t>
      </w:r>
      <w:r w:rsidR="0081691F" w:rsidRPr="00FA5477">
        <w:t xml:space="preserve"> </w:t>
      </w:r>
      <w:r w:rsidRPr="00FA5477">
        <w:t>para mujeres</w:t>
      </w:r>
      <w:r w:rsidR="0081691F" w:rsidRPr="00FA5477">
        <w:t xml:space="preserve"> </w:t>
      </w:r>
      <w:r w:rsidRPr="00FA5477">
        <w:t>con VIH sobrevivientes de violencia de género, sistemas de salud (que incluyen el tratamiento de las infecciones de transmisión sexual</w:t>
      </w:r>
      <w:r w:rsidR="0081691F" w:rsidRPr="00FA5477">
        <w:t xml:space="preserve"> </w:t>
      </w:r>
      <w:r w:rsidRPr="00FA5477">
        <w:t>desde las clínicas VICITS y Amigables), sistemas comunitarios.</w:t>
      </w:r>
    </w:p>
    <w:p w14:paraId="48C494B2" w14:textId="671F9B68" w:rsidR="00D77B71" w:rsidRPr="00FA5477" w:rsidRDefault="00D77B71" w:rsidP="00D77B71">
      <w:pPr>
        <w:pStyle w:val="Textoindependiente"/>
        <w:spacing w:after="120" w:line="264" w:lineRule="auto"/>
        <w:ind w:left="720"/>
        <w:jc w:val="both"/>
      </w:pPr>
      <w:r w:rsidRPr="00FA5477">
        <w:t>En contraposición a estas acciones, el trabajo a nivel nacional para fortalecer las respuestas ante hechos de violencia de género puede considerarse como una sinergia del desarrollo</w:t>
      </w:r>
      <w:r w:rsidR="004B4DCA" w:rsidRPr="00FA5477">
        <w:t xml:space="preserve"> </w:t>
      </w:r>
      <w:r w:rsidRPr="00FA5477">
        <w:t>1: porque es muy importante para las respuestas al VIH, pero principalmente importante en sí misma ya que se enfoca en una cuestión de derechos humanos y salud pública</w:t>
      </w:r>
    </w:p>
    <w:p w14:paraId="1EE6C7C0" w14:textId="61557265" w:rsidR="00E2460C" w:rsidRPr="00FA5477" w:rsidRDefault="00E2460C" w:rsidP="00D77B71">
      <w:pPr>
        <w:pStyle w:val="Textoindependiente"/>
        <w:spacing w:after="120" w:line="264" w:lineRule="auto"/>
        <w:ind w:left="720"/>
        <w:jc w:val="both"/>
      </w:pPr>
      <w:r w:rsidRPr="00FA5477">
        <w:rPr>
          <w:b/>
          <w:bCs/>
          <w:i/>
          <w:iCs/>
        </w:rPr>
        <w:t xml:space="preserve">2.1.4 </w:t>
      </w:r>
      <w:r w:rsidR="0000051C" w:rsidRPr="00FA5477">
        <w:rPr>
          <w:b/>
          <w:bCs/>
          <w:i/>
          <w:iCs/>
        </w:rPr>
        <w:t>Preparación frente a pandemias.-</w:t>
      </w:r>
      <w:r w:rsidR="0000051C" w:rsidRPr="00FA5477">
        <w:t xml:space="preserve"> </w:t>
      </w:r>
      <w:r w:rsidRPr="00FA5477">
        <w:t>Esta subvención incluye</w:t>
      </w:r>
      <w:r w:rsidR="00263A5E" w:rsidRPr="00FA5477">
        <w:t xml:space="preserve"> </w:t>
      </w:r>
      <w:r w:rsidRPr="00FA5477">
        <w:t>medidas de</w:t>
      </w:r>
      <w:r w:rsidR="00263A5E" w:rsidRPr="00FA5477">
        <w:t xml:space="preserve"> </w:t>
      </w:r>
      <w:r w:rsidRPr="00FA5477">
        <w:t>preparación a ser implementados como respuesta humanitarias en concordancia con el Plan Humanitario de país, dentro de estas medidas se refleja la adecuación de los lineamientos de atención a personas con VIH y afectados por coinfección TB/VIH para asegurar la dispensación de medicamento ARV que</w:t>
      </w:r>
      <w:r w:rsidR="00263A5E" w:rsidRPr="00FA5477">
        <w:t xml:space="preserve"> </w:t>
      </w:r>
      <w:r w:rsidRPr="00FA5477">
        <w:t xml:space="preserve">evite la interrupción o el abandono al tratamiento, cuando están alojados en centros de captación o albergues, independientemente del tipo de emergencia a la que se enfrente el país; basándose en la disponibilidad de recursos financieros de acuerdo a la estrategia nacional para el abordaje de la emergencia. </w:t>
      </w:r>
      <w:r w:rsidR="006B3AB0" w:rsidRPr="00FA5477">
        <w:t>[Anexo 13]</w:t>
      </w:r>
    </w:p>
    <w:p w14:paraId="7E719A1C" w14:textId="77777777" w:rsidR="00D73ADC" w:rsidRPr="00FA5477" w:rsidRDefault="00D73ADC" w:rsidP="00D73ADC">
      <w:pPr>
        <w:spacing w:before="120" w:after="60"/>
        <w:ind w:left="720" w:right="153"/>
        <w:jc w:val="both"/>
        <w:rPr>
          <w:i/>
          <w:iCs/>
          <w:sz w:val="24"/>
          <w:szCs w:val="24"/>
        </w:rPr>
      </w:pPr>
      <w:r w:rsidRPr="00FA5477">
        <w:rPr>
          <w:i/>
          <w:iCs/>
          <w:sz w:val="24"/>
          <w:szCs w:val="24"/>
        </w:rPr>
        <w:t>Acciones post pandemia COVID-19</w:t>
      </w:r>
    </w:p>
    <w:p w14:paraId="673212D7" w14:textId="2DABE1C8" w:rsidR="00D73ADC" w:rsidRPr="00FA5477" w:rsidRDefault="00D73ADC" w:rsidP="00D73ADC">
      <w:pPr>
        <w:spacing w:after="60"/>
        <w:ind w:left="720" w:right="153"/>
        <w:jc w:val="both"/>
        <w:rPr>
          <w:sz w:val="24"/>
          <w:szCs w:val="24"/>
        </w:rPr>
      </w:pPr>
      <w:r w:rsidRPr="00FA5477">
        <w:rPr>
          <w:sz w:val="24"/>
          <w:szCs w:val="24"/>
        </w:rPr>
        <w:t xml:space="preserve">En 2021 y 2022 se dio continuidad a acciones para la atención postpandemia COVID-19 se elaboraron y actualizaron diferentes Lineamientos técnicos para la atención de enfermos por COVID-19: Lineamientos técnicos para la atención integral de personas con COVID-19 (segunda edición); Lineamientos técnicos para la rehabilitación pulmonar en pacientes post COVID-19; Lineamientos técnicos para la atención de personas con tuberculosis presuntiva y seguimiento de casos diagnosticados en el marco de la pandemia por COVID-19; Lineamientos técnicos para el manejo y disposición final de cadáveres de casos COVID-19; Reforma a Lineamientos técnicos para la atención integral a personas con COVID-19 (segunda edición); Reforma a Lineamientos técnicos para el seguimiento del aislamiento de casos COVID-19 (segunda edición); Lineamientos técnicos para el uso apropiado de equipos de protección personal por la pandemia de COVID-19. </w:t>
      </w:r>
      <w:r w:rsidR="00C417EB" w:rsidRPr="00FA5477">
        <w:rPr>
          <w:sz w:val="24"/>
          <w:szCs w:val="24"/>
        </w:rPr>
        <w:t xml:space="preserve">[Anexo </w:t>
      </w:r>
      <w:r w:rsidR="00CB0741" w:rsidRPr="00FA5477">
        <w:rPr>
          <w:sz w:val="24"/>
          <w:szCs w:val="24"/>
        </w:rPr>
        <w:t>1</w:t>
      </w:r>
      <w:r w:rsidR="006B3AB0" w:rsidRPr="00FA5477">
        <w:rPr>
          <w:sz w:val="24"/>
          <w:szCs w:val="24"/>
        </w:rPr>
        <w:t>4</w:t>
      </w:r>
      <w:r w:rsidR="00C417EB" w:rsidRPr="00FA5477">
        <w:rPr>
          <w:sz w:val="24"/>
          <w:szCs w:val="24"/>
        </w:rPr>
        <w:t>]</w:t>
      </w:r>
    </w:p>
    <w:p w14:paraId="0709A6E3" w14:textId="48CC0058" w:rsidR="00D73ADC" w:rsidRPr="00FA5477" w:rsidRDefault="00D73ADC" w:rsidP="00D73ADC">
      <w:pPr>
        <w:spacing w:after="60"/>
        <w:ind w:left="720" w:right="153"/>
        <w:jc w:val="both"/>
        <w:rPr>
          <w:sz w:val="24"/>
          <w:szCs w:val="24"/>
        </w:rPr>
      </w:pPr>
      <w:r w:rsidRPr="00FA5477">
        <w:rPr>
          <w:sz w:val="24"/>
          <w:szCs w:val="24"/>
        </w:rPr>
        <w:t>Se implementaron acciones para reforzar la atención de enfermos: inversión en oxigenoterapia con sistema de alto flujo en la unidad de cuidados respiratorios asociados a COVID-19 en el Hospital Nacional San Juan de Dios del departamento de San Miguel, diseño e implementación de flujograma de intervención ante pacientes con síndrome de distrés respiratorio agudo que necesitan intubación mecánica invasiva para la integración de la nueva terapia adquirida, creación de protocolo de atención a pacientes que reciben terapia por sistemas de alto flujo, capacitación al personal sobre terapia nueva no utilizada antes en el servicio público, mejorando la atención de los usuarios, se fortaleció la red de bancos de sangre con capacidad técnica y tecnológica para realizar todos los procesos de captación y atención de donantes de sangre motivando la donación de plasma convaleciente para continuar disminuyendo las complicaciones y días de ingreso hospitalario en pacientes con COVID-19 entre otras.</w:t>
      </w:r>
      <w:r w:rsidR="00C417EB" w:rsidRPr="00FA5477">
        <w:rPr>
          <w:sz w:val="24"/>
          <w:szCs w:val="24"/>
        </w:rPr>
        <w:t xml:space="preserve"> </w:t>
      </w:r>
      <w:r w:rsidR="00D81182" w:rsidRPr="00FA5477">
        <w:rPr>
          <w:sz w:val="24"/>
          <w:szCs w:val="24"/>
        </w:rPr>
        <w:t>[Anexo 1</w:t>
      </w:r>
      <w:r w:rsidR="006B3AB0" w:rsidRPr="00FA5477">
        <w:rPr>
          <w:sz w:val="24"/>
          <w:szCs w:val="24"/>
        </w:rPr>
        <w:t>4</w:t>
      </w:r>
      <w:r w:rsidR="00D81182" w:rsidRPr="00FA5477">
        <w:rPr>
          <w:sz w:val="24"/>
          <w:szCs w:val="24"/>
        </w:rPr>
        <w:t>]</w:t>
      </w:r>
    </w:p>
    <w:p w14:paraId="185411B5" w14:textId="162E6FD9" w:rsidR="00D73ADC" w:rsidRPr="00FA5477" w:rsidRDefault="00D73ADC" w:rsidP="00D73ADC">
      <w:pPr>
        <w:spacing w:after="60"/>
        <w:ind w:left="720" w:right="153"/>
        <w:jc w:val="both"/>
        <w:rPr>
          <w:sz w:val="24"/>
          <w:szCs w:val="24"/>
        </w:rPr>
      </w:pPr>
      <w:r w:rsidRPr="00FA5477">
        <w:rPr>
          <w:sz w:val="24"/>
          <w:szCs w:val="24"/>
        </w:rPr>
        <w:t xml:space="preserve">Otras acciones implementadas está el reconocimiento que se hizo a las capacidades comunitarias para la atención de la pandemia por COVID-19 y la Teleasistencia COVID-19 dotándose de habilidades al personal para la atención y seguimiento de casos COVID-19, se entregaron 90 mil kits de medicamentos a pacientes sospechosos y confirmados por COVID-19. </w:t>
      </w:r>
      <w:r w:rsidR="006F2C95" w:rsidRPr="00FA5477">
        <w:rPr>
          <w:sz w:val="24"/>
          <w:szCs w:val="24"/>
        </w:rPr>
        <w:t>[Anexo 1</w:t>
      </w:r>
      <w:r w:rsidR="006B3AB0" w:rsidRPr="00FA5477">
        <w:rPr>
          <w:sz w:val="24"/>
          <w:szCs w:val="24"/>
        </w:rPr>
        <w:t>4</w:t>
      </w:r>
      <w:r w:rsidR="006F2C95" w:rsidRPr="00FA5477">
        <w:rPr>
          <w:sz w:val="24"/>
          <w:szCs w:val="24"/>
        </w:rPr>
        <w:t>]</w:t>
      </w:r>
    </w:p>
    <w:p w14:paraId="1D73CC4E" w14:textId="343B4780" w:rsidR="00D73ADC" w:rsidRPr="00FA5477" w:rsidRDefault="00D73ADC" w:rsidP="005647EB">
      <w:pPr>
        <w:spacing w:after="60"/>
        <w:ind w:left="720" w:right="153"/>
        <w:jc w:val="both"/>
        <w:rPr>
          <w:sz w:val="24"/>
          <w:szCs w:val="24"/>
        </w:rPr>
      </w:pPr>
      <w:r w:rsidRPr="00FA5477">
        <w:rPr>
          <w:sz w:val="24"/>
          <w:szCs w:val="24"/>
        </w:rPr>
        <w:t xml:space="preserve">Además, se reforzó la estrategia comunicacional para promover la aplicación de la tercera dosis de vacuna contra la COVID-19. Para pacientes con enfermedades crónicas que ameritan receta repetitiva se implementaron lineamiento para la entrega domiciliar. En la segunda mitad del 2021 se aplicó 2000 dosis de vacunas contra neumococo y 5000 contra la influenza. </w:t>
      </w:r>
      <w:r w:rsidR="006F2C95" w:rsidRPr="00FA5477">
        <w:rPr>
          <w:sz w:val="24"/>
          <w:szCs w:val="24"/>
        </w:rPr>
        <w:t>[Anexo 1</w:t>
      </w:r>
      <w:r w:rsidR="006B3AB0" w:rsidRPr="00FA5477">
        <w:rPr>
          <w:sz w:val="24"/>
          <w:szCs w:val="24"/>
        </w:rPr>
        <w:t>4</w:t>
      </w:r>
      <w:r w:rsidR="006F2C95" w:rsidRPr="00FA5477">
        <w:rPr>
          <w:sz w:val="24"/>
          <w:szCs w:val="24"/>
        </w:rPr>
        <w:t>]</w:t>
      </w:r>
    </w:p>
    <w:p w14:paraId="675C4C5F" w14:textId="77777777" w:rsidR="000F3D1A" w:rsidRPr="00FA5477" w:rsidRDefault="008B2B26">
      <w:pPr>
        <w:pStyle w:val="Ttulo3"/>
        <w:numPr>
          <w:ilvl w:val="1"/>
          <w:numId w:val="2"/>
        </w:numPr>
        <w:tabs>
          <w:tab w:val="left" w:pos="943"/>
          <w:tab w:val="left" w:pos="944"/>
        </w:tabs>
        <w:spacing w:before="122"/>
      </w:pPr>
      <w:r w:rsidRPr="00FA5477">
        <w:t>Sostenibilidad,</w:t>
      </w:r>
      <w:r w:rsidRPr="00FA5477">
        <w:rPr>
          <w:spacing w:val="-3"/>
        </w:rPr>
        <w:t xml:space="preserve"> </w:t>
      </w:r>
      <w:r w:rsidRPr="00FA5477">
        <w:t>financiamiento</w:t>
      </w:r>
      <w:r w:rsidRPr="00FA5477">
        <w:rPr>
          <w:spacing w:val="-2"/>
        </w:rPr>
        <w:t xml:space="preserve"> </w:t>
      </w:r>
      <w:r w:rsidRPr="00FA5477">
        <w:t>nacional</w:t>
      </w:r>
      <w:r w:rsidRPr="00FA5477">
        <w:rPr>
          <w:spacing w:val="-3"/>
        </w:rPr>
        <w:t xml:space="preserve"> </w:t>
      </w:r>
      <w:r w:rsidRPr="00FA5477">
        <w:t>y</w:t>
      </w:r>
      <w:r w:rsidRPr="00FA5477">
        <w:rPr>
          <w:spacing w:val="-4"/>
        </w:rPr>
        <w:t xml:space="preserve"> </w:t>
      </w:r>
      <w:r w:rsidRPr="00FA5477">
        <w:t>movilización</w:t>
      </w:r>
      <w:r w:rsidRPr="00FA5477">
        <w:rPr>
          <w:spacing w:val="-2"/>
        </w:rPr>
        <w:t xml:space="preserve"> </w:t>
      </w:r>
      <w:r w:rsidRPr="00FA5477">
        <w:t>de</w:t>
      </w:r>
      <w:r w:rsidRPr="00FA5477">
        <w:rPr>
          <w:spacing w:val="-5"/>
        </w:rPr>
        <w:t xml:space="preserve"> </w:t>
      </w:r>
      <w:r w:rsidRPr="00FA5477">
        <w:t>recursos:</w:t>
      </w:r>
    </w:p>
    <w:p w14:paraId="5AEACFCC" w14:textId="12A78FD9" w:rsidR="000F3D1A" w:rsidRPr="00FA5477" w:rsidRDefault="008B2B26">
      <w:pPr>
        <w:pStyle w:val="Prrafodelista"/>
        <w:numPr>
          <w:ilvl w:val="2"/>
          <w:numId w:val="2"/>
        </w:numPr>
        <w:tabs>
          <w:tab w:val="left" w:pos="1033"/>
        </w:tabs>
        <w:spacing w:before="146" w:line="264" w:lineRule="auto"/>
        <w:ind w:right="152"/>
        <w:rPr>
          <w:sz w:val="24"/>
        </w:rPr>
      </w:pPr>
      <w:r w:rsidRPr="00FA5477">
        <w:rPr>
          <w:sz w:val="24"/>
        </w:rPr>
        <w:t>Destaque brevemente los principales logros y desafíos para la sostenibilidad de la</w:t>
      </w:r>
      <w:r w:rsidRPr="00FA5477">
        <w:rPr>
          <w:spacing w:val="1"/>
          <w:sz w:val="24"/>
        </w:rPr>
        <w:t xml:space="preserve"> </w:t>
      </w:r>
      <w:r w:rsidRPr="00FA5477">
        <w:rPr>
          <w:sz w:val="24"/>
        </w:rPr>
        <w:t>respuesta nacional. Describa los esfuerzos para abordar los desafíos a través de esta</w:t>
      </w:r>
      <w:r w:rsidRPr="00FA5477">
        <w:rPr>
          <w:spacing w:val="1"/>
          <w:sz w:val="24"/>
        </w:rPr>
        <w:t xml:space="preserve"> </w:t>
      </w:r>
      <w:r w:rsidRPr="00FA5477">
        <w:rPr>
          <w:sz w:val="24"/>
        </w:rPr>
        <w:t>solicitud de financiamiento, los esfuerzos para fortalecer el financiamiento de la salud u</w:t>
      </w:r>
      <w:r w:rsidRPr="00FA5477">
        <w:rPr>
          <w:spacing w:val="-64"/>
          <w:sz w:val="24"/>
        </w:rPr>
        <w:t xml:space="preserve"> </w:t>
      </w:r>
      <w:r w:rsidRPr="00FA5477">
        <w:rPr>
          <w:sz w:val="24"/>
        </w:rPr>
        <w:t>otras</w:t>
      </w:r>
      <w:r w:rsidRPr="00FA5477">
        <w:rPr>
          <w:spacing w:val="-1"/>
          <w:sz w:val="24"/>
        </w:rPr>
        <w:t xml:space="preserve"> </w:t>
      </w:r>
      <w:r w:rsidRPr="00FA5477">
        <w:rPr>
          <w:sz w:val="24"/>
        </w:rPr>
        <w:t>iniciativas</w:t>
      </w:r>
      <w:r w:rsidRPr="00FA5477">
        <w:rPr>
          <w:spacing w:val="-3"/>
          <w:sz w:val="24"/>
        </w:rPr>
        <w:t xml:space="preserve"> </w:t>
      </w:r>
      <w:r w:rsidRPr="00FA5477">
        <w:rPr>
          <w:sz w:val="24"/>
        </w:rPr>
        <w:t>planificadas</w:t>
      </w:r>
      <w:r w:rsidRPr="00FA5477">
        <w:rPr>
          <w:spacing w:val="-2"/>
          <w:sz w:val="24"/>
        </w:rPr>
        <w:t xml:space="preserve"> </w:t>
      </w:r>
      <w:r w:rsidRPr="00FA5477">
        <w:rPr>
          <w:sz w:val="24"/>
        </w:rPr>
        <w:t>por el</w:t>
      </w:r>
      <w:r w:rsidRPr="00FA5477">
        <w:rPr>
          <w:spacing w:val="-3"/>
          <w:sz w:val="24"/>
        </w:rPr>
        <w:t xml:space="preserve"> </w:t>
      </w:r>
      <w:r w:rsidRPr="00FA5477">
        <w:rPr>
          <w:sz w:val="24"/>
        </w:rPr>
        <w:t>país.</w:t>
      </w:r>
    </w:p>
    <w:p w14:paraId="61FF9B63" w14:textId="146FF15F" w:rsidR="005A74E6" w:rsidRPr="00FA5477" w:rsidRDefault="005A74E6" w:rsidP="008748D2">
      <w:pPr>
        <w:pStyle w:val="Textoindependiente"/>
        <w:spacing w:after="60" w:line="264" w:lineRule="auto"/>
        <w:ind w:left="720"/>
        <w:jc w:val="both"/>
      </w:pPr>
      <w:r w:rsidRPr="00FA5477">
        <w:t>El Salvador, a través de la respuesta nacional al VIH ha alcanzado logros importantes en el contexto epidemiológico de esta infección crónica que se concentra principalmente en poblaciones clave. El Ministerio de Salud con fondos del Estado cubre todas las actividades de población general, estrategia de sangre segura y de eliminación de la transmisión materno infantil del VIH y la sífilis congénita</w:t>
      </w:r>
      <w:r w:rsidR="00656DE8" w:rsidRPr="00FA5477">
        <w:t>,</w:t>
      </w:r>
      <w:r w:rsidRPr="00FA5477">
        <w:t xml:space="preserve"> lo que ha permitido cero casos de transmisión por transfusiones sanguíneas desde hace más de 15 años y cero casos de transmisión vertical de VIH en 2023</w:t>
      </w:r>
      <w:r w:rsidR="00D62550" w:rsidRPr="00FA5477">
        <w:t xml:space="preserve"> </w:t>
      </w:r>
      <w:r w:rsidR="003313FA" w:rsidRPr="00FA5477">
        <w:t xml:space="preserve">[Anexo </w:t>
      </w:r>
      <w:r w:rsidR="001665CA" w:rsidRPr="00FA5477">
        <w:t>1</w:t>
      </w:r>
      <w:r w:rsidR="006B3AB0" w:rsidRPr="00FA5477">
        <w:t>5</w:t>
      </w:r>
      <w:r w:rsidR="003313FA" w:rsidRPr="00FA5477">
        <w:t>]</w:t>
      </w:r>
      <w:r w:rsidRPr="00FA5477">
        <w:t xml:space="preserve">, teniendo además una notable reducción en la prevalencia de VIH en poblaciones clave, en MTS entre 2016  y 2023  se redujo casi tres veces pasando de 8.1% a 2.8%, en HSH se ha reducido casi a la mitad en ese mismo período, pasando de 10.5% a 5.7% y en </w:t>
      </w:r>
      <w:r w:rsidR="00674E06" w:rsidRPr="00FA5477">
        <w:t>P</w:t>
      </w:r>
      <w:r w:rsidRPr="00FA5477">
        <w:t>Trans en tres puntos porcentuales pasando de 16.2% en 2014 a 13.1% en 2023, esto como producto de la intensidad y efectividad de las acciones que se han implementado en el país con estas poblaciones</w:t>
      </w:r>
      <w:r w:rsidR="003313FA" w:rsidRPr="00FA5477">
        <w:t xml:space="preserve"> [</w:t>
      </w:r>
      <w:r w:rsidR="00C93FE4" w:rsidRPr="00FA5477">
        <w:t>ver Tabla 1, página 2</w:t>
      </w:r>
      <w:r w:rsidR="0028491D" w:rsidRPr="00FA5477">
        <w:t>3</w:t>
      </w:r>
      <w:r w:rsidR="003313FA" w:rsidRPr="00FA5477">
        <w:t>].</w:t>
      </w:r>
      <w:r w:rsidRPr="00FA5477">
        <w:t xml:space="preserve"> </w:t>
      </w:r>
      <w:r w:rsidR="00432FA6" w:rsidRPr="00FA5477">
        <w:t>El contar con un sistema de información sólido y robusto para el monitoreo, evaluación y vigilancia epidemiológica (SUMEVE) permite tener información actualizada en línea y se tienen módulos para el registro de la información de pruebas de laboratorio, estadísticas, tableros de información, farmacia, PrEP, carga viral, CD4, con la información registrada en el SUMEVE se pueden tener inmediatamente las cascadas del continuo de la atención tanto nacional como por hospital y además se pueden obtener las cascadas de prevención de poblaciones clave e identificar las personas con riesgo sustancial de adquirir a VIH, lo que facilita la toma de decisiones, el análisis de información estratégica y se valida la calidad de los datos.</w:t>
      </w:r>
    </w:p>
    <w:p w14:paraId="5D50EB20" w14:textId="5797AE62" w:rsidR="005A74E6" w:rsidRPr="00FA5477" w:rsidRDefault="005A74E6" w:rsidP="008748D2">
      <w:pPr>
        <w:pStyle w:val="Textoindependiente"/>
        <w:spacing w:after="60" w:line="264" w:lineRule="auto"/>
        <w:ind w:left="720"/>
        <w:jc w:val="both"/>
      </w:pPr>
      <w:r w:rsidRPr="00FA5477">
        <w:t>En el año 2022 la proporción del gasto en VIH asumido por entidades públicas fue de 72%, un incremento de 10 puntos porcentuales respecto al año 2021 y del 52% respecto al 2020. El gasto total en VIH en 2022 fue de 62.1 millones de dólares, el 72% fue financiado con fondos del Estado por entidades públicas. El país está cerca de alcanzar -proporcionalmente - el nivel que tenía previo a la pandemia por COVID-19, en el año 2019 en lo relacionado al gasto asumido por entidades públicas (73%). En términos absolutos, en 2022 -respecto al 2019- el incremento del gasto en VIH ha sido de 16.3 millones de dólares, el 70.0% de este incremento ha sido a expensas de entidades públicas.</w:t>
      </w:r>
      <w:r w:rsidR="000A723C" w:rsidRPr="00FA5477">
        <w:t xml:space="preserve"> [Anexo </w:t>
      </w:r>
      <w:r w:rsidR="00656DE8" w:rsidRPr="00FA5477">
        <w:t>1</w:t>
      </w:r>
      <w:r w:rsidR="006B3AB0" w:rsidRPr="00FA5477">
        <w:t>6</w:t>
      </w:r>
      <w:r w:rsidR="000A723C" w:rsidRPr="00FA5477">
        <w:t>]</w:t>
      </w:r>
    </w:p>
    <w:p w14:paraId="04591900" w14:textId="531156A8" w:rsidR="005A74E6" w:rsidRPr="00FA5477" w:rsidRDefault="005A74E6" w:rsidP="005A74E6">
      <w:pPr>
        <w:pStyle w:val="Textoindependiente"/>
        <w:spacing w:after="120" w:line="264" w:lineRule="auto"/>
        <w:ind w:left="720"/>
        <w:jc w:val="both"/>
      </w:pPr>
      <w:r w:rsidRPr="00FA5477">
        <w:t xml:space="preserve">Un logro alcanzado por el país en 2023 ha sido el no haber tenido ningún caso de transmisión materno infantil, todas las intervenciones para la eliminación de la transmisión madre-hijo del VIH son financiadas con fondos GOES. La adquisición de medicamentos antirretrovirales con fondos del Estado ha sido oportuna sin tener desabastecimientos y el 95% de las personas con VIH está siendo tratada con TLD, </w:t>
      </w:r>
      <w:r w:rsidR="00432FA6" w:rsidRPr="00FA5477">
        <w:t xml:space="preserve">por otro lado, en 2023 se incorporó en el esquema de tratamiento el Dolutegravir pediátrico siguiendo las recomendaciones de la OMS y se incorporó el Tenofovir Alafenamida para utilizar en personas con VIH que tienen insuficiencia renal.  </w:t>
      </w:r>
      <w:r w:rsidR="00680AE0" w:rsidRPr="00FA5477">
        <w:t>E</w:t>
      </w:r>
      <w:r w:rsidR="00432FA6" w:rsidRPr="00FA5477">
        <w:t xml:space="preserve">stos cambios </w:t>
      </w:r>
      <w:r w:rsidR="00680AE0" w:rsidRPr="00FA5477">
        <w:t>están</w:t>
      </w:r>
      <w:r w:rsidR="00432FA6" w:rsidRPr="00FA5477">
        <w:t xml:space="preserve"> contemplados en la Estrategia Nacional de Sostenibilidad</w:t>
      </w:r>
      <w:r w:rsidR="00680AE0" w:rsidRPr="00FA5477">
        <w:rPr>
          <w:rStyle w:val="Refdenotaalpie"/>
        </w:rPr>
        <w:footnoteReference w:id="11"/>
      </w:r>
      <w:r w:rsidR="00432FA6" w:rsidRPr="00FA5477">
        <w:t xml:space="preserve"> lo que optimiza el uso de la TAR y también está contemplado en el Objetivo Estratégico 1 del PENM</w:t>
      </w:r>
      <w:r w:rsidR="004C1681" w:rsidRPr="00FA5477">
        <w:t>-VIH</w:t>
      </w:r>
      <w:r w:rsidR="00B40EEE" w:rsidRPr="00FA5477">
        <w:rPr>
          <w:rStyle w:val="Refdenotaalpie"/>
        </w:rPr>
        <w:footnoteReference w:id="12"/>
      </w:r>
      <w:r w:rsidRPr="00FA5477">
        <w:t>. El MINSAL ha conservado en funcionamiento 20 clínicas VICITS y 18 clínicas amigables brindando acciones de prevención y asegurando la atención de poblaciones clave en todas las Regiones de Salud del país.</w:t>
      </w:r>
      <w:r w:rsidR="00B40EEE" w:rsidRPr="00FA5477">
        <w:rPr>
          <w:rStyle w:val="Refdenotaalpie"/>
        </w:rPr>
        <w:footnoteReference w:id="13"/>
      </w:r>
    </w:p>
    <w:p w14:paraId="6920B777" w14:textId="35559543" w:rsidR="005A74E6" w:rsidRPr="00FA5477" w:rsidRDefault="005A74E6" w:rsidP="005A74E6">
      <w:pPr>
        <w:pStyle w:val="Textoindependiente"/>
        <w:spacing w:after="120" w:line="264" w:lineRule="auto"/>
        <w:ind w:left="720"/>
        <w:jc w:val="both"/>
      </w:pPr>
      <w:r w:rsidRPr="00FA5477">
        <w:t>Otro logro que el país ha alcanzado es la notable reducción en la prevalencia de VIH en poblaciones clave, en MTS entre 2016 y 2023  se ha reducido casi en tres veces pasando de 8.1% a 2.8%, en HSH se ha reducido casi a la mitad en ese mismo período, pasando de 10.5% a 5.7% y en MTrans se ha reducido en tres puntos porcentuales pasando de 16.2% en 2014 a 13.1% en 2023, esto como producto de la intensidad y efectividad de las acciones que en el país se han implementado con esta población (ver Tabla1</w:t>
      </w:r>
      <w:r w:rsidR="00432FA6" w:rsidRPr="00FA5477">
        <w:t>, página 23</w:t>
      </w:r>
      <w:r w:rsidRPr="00FA5477">
        <w:t>).</w:t>
      </w:r>
    </w:p>
    <w:p w14:paraId="0062178B" w14:textId="20DF22BF" w:rsidR="005A74E6" w:rsidRPr="00FA5477" w:rsidRDefault="005A74E6" w:rsidP="005A74E6">
      <w:pPr>
        <w:pStyle w:val="Textoindependiente"/>
        <w:spacing w:after="120" w:line="264" w:lineRule="auto"/>
        <w:ind w:left="720"/>
        <w:jc w:val="both"/>
      </w:pPr>
      <w:r w:rsidRPr="00FA5477">
        <w:t>Para la complementariedad de la inversión en la respuesta nacional se ha armonizado la cooperación a fin de optimizar los recursos para las estrategias priorizadas en poblaciones clave, principalmente en el campo de la prevención y cuidado y tratamiento</w:t>
      </w:r>
      <w:r w:rsidR="009E603A" w:rsidRPr="00FA5477">
        <w:t>.</w:t>
      </w:r>
      <w:r w:rsidRPr="00FA5477">
        <w:t xml:space="preserve"> El aporte de Fondo Mundial en el año 2022 representa el 6% de la inversión total del país y la contribución de PEPFAR representa el 12% de la inversión, el resto de cooperantes aporta el 3% y los gastos privados el 6%.</w:t>
      </w:r>
      <w:r w:rsidR="00797AF9" w:rsidRPr="00FA5477">
        <w:t xml:space="preserve"> [Anexo </w:t>
      </w:r>
      <w:r w:rsidR="00656DE8" w:rsidRPr="00FA5477">
        <w:t>1</w:t>
      </w:r>
      <w:r w:rsidR="006B3AB0" w:rsidRPr="00FA5477">
        <w:t>6</w:t>
      </w:r>
      <w:r w:rsidR="00AA2A85" w:rsidRPr="00FA5477">
        <w:t>]</w:t>
      </w:r>
    </w:p>
    <w:p w14:paraId="4E2DD230" w14:textId="175AF340" w:rsidR="005A74E6" w:rsidRPr="00FA5477" w:rsidRDefault="005A74E6" w:rsidP="005A74E6">
      <w:pPr>
        <w:pStyle w:val="Textoindependiente"/>
        <w:spacing w:after="120" w:line="264" w:lineRule="auto"/>
        <w:ind w:left="720"/>
        <w:jc w:val="both"/>
      </w:pPr>
      <w:r w:rsidRPr="00FA5477">
        <w:t xml:space="preserve">Uno de los principales desafíos -desde el financiamiento público- es la priorización del VIH desde la Secretaría para Asuntos estratégicos de la Presidencia de la República en la agenda nacional y regional (SICA) así como incrementar el monto del presupuesto asignado al Programa de VIH a fin de cubrir la implementación de estrategias comunitarias de prevención combinada y adherencia a la TAR que por ahora se realizan principalmente con el apoyo de la cooperación. Una de las oportunidades que se ha planteado aprovechar es que el MINSAL asigna anualmente recursos financieros al Programa de VIH y la posibilidad de que se apliquen subsidios cruzados en el ISSS, estableciéndose como meta el que se pueda incrementar este presupuesto en 1% anual teniendo como justificación el incremento que el país ha venido observando en el PIB, que </w:t>
      </w:r>
      <w:r w:rsidR="00303CAB" w:rsidRPr="00FA5477">
        <w:t xml:space="preserve">en </w:t>
      </w:r>
      <w:r w:rsidRPr="00FA5477">
        <w:t>2023 ha sido del 3.</w:t>
      </w:r>
      <w:r w:rsidR="00303CAB" w:rsidRPr="00FA5477">
        <w:t>5</w:t>
      </w:r>
      <w:r w:rsidRPr="00FA5477">
        <w:t xml:space="preserve">%. </w:t>
      </w:r>
      <w:r w:rsidR="00E12DE5" w:rsidRPr="00FA5477">
        <w:t xml:space="preserve">[Anexo </w:t>
      </w:r>
      <w:r w:rsidR="00656DE8" w:rsidRPr="00FA5477">
        <w:t>1</w:t>
      </w:r>
      <w:r w:rsidR="008F5EA6" w:rsidRPr="00FA5477">
        <w:t>8</w:t>
      </w:r>
      <w:r w:rsidR="00E12DE5" w:rsidRPr="00FA5477">
        <w:t>]</w:t>
      </w:r>
    </w:p>
    <w:p w14:paraId="1FAD1B40" w14:textId="77D1F3C5" w:rsidR="00D52C53" w:rsidRPr="00FA5477" w:rsidRDefault="005A74E6" w:rsidP="005A74E6">
      <w:pPr>
        <w:pStyle w:val="Textoindependiente"/>
        <w:spacing w:after="120" w:line="264" w:lineRule="auto"/>
        <w:ind w:left="720"/>
        <w:jc w:val="both"/>
      </w:pPr>
      <w:r w:rsidRPr="00FA5477">
        <w:t xml:space="preserve">Recientes cambios en instituciones públicas sobre el uso de la terminología para llamar a las personas LGBTI (principalmente los hombres que tienen sexo con otros hombres y </w:t>
      </w:r>
      <w:r w:rsidR="00674E06" w:rsidRPr="00FA5477">
        <w:t>personas transgénero</w:t>
      </w:r>
      <w:r w:rsidRPr="00FA5477">
        <w:t xml:space="preserve">), -según consulta realizada por organizaciones de poblaciones clave- esto ha generado temor a la discriminación entre las poblaciones clave,  sin embargo, la prestación de servicios diferenciados en las Clínicas VICITS y Amigables, así como en las CAI continúa brindándose con todas las atenciones que se ofrecen en ellas, notando una leve disminución de la demanda de atención principalmente de las </w:t>
      </w:r>
      <w:r w:rsidR="00674E06" w:rsidRPr="00FA5477">
        <w:t>personas transgénero</w:t>
      </w:r>
      <w:r w:rsidRPr="00FA5477">
        <w:t xml:space="preserve">.  Por lo que el mayor desafío es generar confianza en las poblaciones clave a fin de que acudan a las Clínicas VICITS y Amigables, y las personas de </w:t>
      </w:r>
      <w:r w:rsidR="00D94604" w:rsidRPr="00FA5477">
        <w:t xml:space="preserve">estas </w:t>
      </w:r>
      <w:r w:rsidRPr="00FA5477">
        <w:t>poblaciones que viven con VIH sean adherentes a su tratamiento a fin de mantener suprimida la carga viral</w:t>
      </w:r>
      <w:r w:rsidR="00D94604" w:rsidRPr="00FA5477">
        <w:t>.</w:t>
      </w:r>
    </w:p>
    <w:p w14:paraId="7D32A58A" w14:textId="6EECE429" w:rsidR="000F3D1A" w:rsidRPr="00FA5477" w:rsidRDefault="008B2B26" w:rsidP="00D9691F">
      <w:pPr>
        <w:pStyle w:val="Prrafodelista"/>
        <w:numPr>
          <w:ilvl w:val="2"/>
          <w:numId w:val="2"/>
        </w:numPr>
        <w:tabs>
          <w:tab w:val="left" w:pos="1033"/>
        </w:tabs>
        <w:spacing w:after="120" w:line="264" w:lineRule="auto"/>
        <w:ind w:right="147" w:hanging="448"/>
        <w:rPr>
          <w:sz w:val="24"/>
        </w:rPr>
      </w:pPr>
      <w:r w:rsidRPr="00FA5477">
        <w:rPr>
          <w:sz w:val="24"/>
        </w:rPr>
        <w:t>Describa cómo se han cumplido los compromisos de cofinanciamiento del período de</w:t>
      </w:r>
      <w:r w:rsidRPr="00FA5477">
        <w:rPr>
          <w:spacing w:val="1"/>
          <w:sz w:val="24"/>
        </w:rPr>
        <w:t xml:space="preserve"> </w:t>
      </w:r>
      <w:r w:rsidRPr="00FA5477">
        <w:rPr>
          <w:sz w:val="24"/>
        </w:rPr>
        <w:t>asignación 2020-2022.</w:t>
      </w:r>
      <w:r w:rsidRPr="00FA5477">
        <w:rPr>
          <w:spacing w:val="1"/>
          <w:sz w:val="24"/>
        </w:rPr>
        <w:t xml:space="preserve"> </w:t>
      </w:r>
      <w:r w:rsidRPr="00FA5477">
        <w:rPr>
          <w:sz w:val="24"/>
        </w:rPr>
        <w:t>Destaque</w:t>
      </w:r>
      <w:r w:rsidRPr="00FA5477">
        <w:rPr>
          <w:spacing w:val="1"/>
          <w:sz w:val="24"/>
        </w:rPr>
        <w:t xml:space="preserve"> </w:t>
      </w:r>
      <w:r w:rsidRPr="00FA5477">
        <w:rPr>
          <w:sz w:val="24"/>
        </w:rPr>
        <w:t>las</w:t>
      </w:r>
      <w:r w:rsidRPr="00FA5477">
        <w:rPr>
          <w:spacing w:val="1"/>
          <w:sz w:val="24"/>
        </w:rPr>
        <w:t xml:space="preserve"> </w:t>
      </w:r>
      <w:r w:rsidRPr="00FA5477">
        <w:rPr>
          <w:sz w:val="24"/>
        </w:rPr>
        <w:t>inversiones</w:t>
      </w:r>
      <w:r w:rsidRPr="00FA5477">
        <w:rPr>
          <w:spacing w:val="1"/>
          <w:sz w:val="24"/>
        </w:rPr>
        <w:t xml:space="preserve"> </w:t>
      </w:r>
      <w:r w:rsidRPr="00FA5477">
        <w:rPr>
          <w:sz w:val="24"/>
        </w:rPr>
        <w:t>nacionales</w:t>
      </w:r>
      <w:r w:rsidRPr="00FA5477">
        <w:rPr>
          <w:spacing w:val="1"/>
          <w:sz w:val="24"/>
        </w:rPr>
        <w:t xml:space="preserve"> </w:t>
      </w:r>
      <w:r w:rsidRPr="00FA5477">
        <w:rPr>
          <w:sz w:val="24"/>
        </w:rPr>
        <w:t>adicionales</w:t>
      </w:r>
      <w:r w:rsidRPr="00FA5477">
        <w:rPr>
          <w:spacing w:val="1"/>
          <w:sz w:val="24"/>
        </w:rPr>
        <w:t xml:space="preserve"> </w:t>
      </w:r>
      <w:r w:rsidRPr="00FA5477">
        <w:rPr>
          <w:sz w:val="24"/>
        </w:rPr>
        <w:t>en</w:t>
      </w:r>
      <w:r w:rsidRPr="00FA5477">
        <w:rPr>
          <w:spacing w:val="1"/>
          <w:sz w:val="24"/>
        </w:rPr>
        <w:t xml:space="preserve"> </w:t>
      </w:r>
      <w:r w:rsidRPr="00FA5477">
        <w:rPr>
          <w:sz w:val="24"/>
        </w:rPr>
        <w:t>las</w:t>
      </w:r>
      <w:r w:rsidRPr="00FA5477">
        <w:rPr>
          <w:spacing w:val="1"/>
          <w:sz w:val="24"/>
        </w:rPr>
        <w:t xml:space="preserve"> </w:t>
      </w:r>
      <w:r w:rsidRPr="00FA5477">
        <w:rPr>
          <w:sz w:val="24"/>
        </w:rPr>
        <w:t>respuestas</w:t>
      </w:r>
      <w:r w:rsidRPr="00FA5477">
        <w:rPr>
          <w:spacing w:val="1"/>
          <w:sz w:val="24"/>
        </w:rPr>
        <w:t xml:space="preserve"> </w:t>
      </w:r>
      <w:r w:rsidRPr="00FA5477">
        <w:rPr>
          <w:sz w:val="24"/>
        </w:rPr>
        <w:t>nacionales</w:t>
      </w:r>
      <w:r w:rsidRPr="00FA5477">
        <w:rPr>
          <w:spacing w:val="1"/>
          <w:sz w:val="24"/>
        </w:rPr>
        <w:t xml:space="preserve"> </w:t>
      </w:r>
      <w:r w:rsidRPr="00FA5477">
        <w:rPr>
          <w:sz w:val="24"/>
        </w:rPr>
        <w:t>y</w:t>
      </w:r>
      <w:r w:rsidRPr="00FA5477">
        <w:rPr>
          <w:spacing w:val="1"/>
          <w:sz w:val="24"/>
        </w:rPr>
        <w:t xml:space="preserve"> </w:t>
      </w:r>
      <w:r w:rsidRPr="00FA5477">
        <w:rPr>
          <w:sz w:val="24"/>
        </w:rPr>
        <w:t>las</w:t>
      </w:r>
      <w:r w:rsidRPr="00FA5477">
        <w:rPr>
          <w:spacing w:val="1"/>
          <w:sz w:val="24"/>
        </w:rPr>
        <w:t xml:space="preserve"> </w:t>
      </w:r>
      <w:r w:rsidRPr="00FA5477">
        <w:rPr>
          <w:sz w:val="24"/>
        </w:rPr>
        <w:t>áreas</w:t>
      </w:r>
      <w:r w:rsidRPr="00FA5477">
        <w:rPr>
          <w:spacing w:val="1"/>
          <w:sz w:val="24"/>
        </w:rPr>
        <w:t xml:space="preserve"> </w:t>
      </w:r>
      <w:r w:rsidRPr="00FA5477">
        <w:rPr>
          <w:sz w:val="24"/>
        </w:rPr>
        <w:t>programáticas</w:t>
      </w:r>
      <w:r w:rsidRPr="00FA5477">
        <w:rPr>
          <w:spacing w:val="1"/>
          <w:sz w:val="24"/>
        </w:rPr>
        <w:t xml:space="preserve"> </w:t>
      </w:r>
      <w:r w:rsidRPr="00FA5477">
        <w:rPr>
          <w:sz w:val="24"/>
        </w:rPr>
        <w:t>específicas</w:t>
      </w:r>
      <w:r w:rsidRPr="00FA5477">
        <w:rPr>
          <w:spacing w:val="1"/>
          <w:sz w:val="24"/>
        </w:rPr>
        <w:t xml:space="preserve"> </w:t>
      </w:r>
      <w:r w:rsidRPr="00FA5477">
        <w:rPr>
          <w:sz w:val="24"/>
        </w:rPr>
        <w:t>apoyadas</w:t>
      </w:r>
      <w:r w:rsidRPr="00FA5477">
        <w:rPr>
          <w:spacing w:val="1"/>
          <w:sz w:val="24"/>
        </w:rPr>
        <w:t xml:space="preserve"> </w:t>
      </w:r>
      <w:r w:rsidRPr="00FA5477">
        <w:rPr>
          <w:sz w:val="24"/>
        </w:rPr>
        <w:t>por</w:t>
      </w:r>
      <w:r w:rsidRPr="00FA5477">
        <w:rPr>
          <w:spacing w:val="1"/>
          <w:sz w:val="24"/>
        </w:rPr>
        <w:t xml:space="preserve"> </w:t>
      </w:r>
      <w:r w:rsidRPr="00FA5477">
        <w:rPr>
          <w:sz w:val="24"/>
        </w:rPr>
        <w:t>el</w:t>
      </w:r>
      <w:r w:rsidRPr="00FA5477">
        <w:rPr>
          <w:spacing w:val="1"/>
          <w:sz w:val="24"/>
        </w:rPr>
        <w:t xml:space="preserve"> </w:t>
      </w:r>
      <w:r w:rsidRPr="00FA5477">
        <w:rPr>
          <w:sz w:val="24"/>
        </w:rPr>
        <w:t>cofinanciamiento</w:t>
      </w:r>
      <w:r w:rsidRPr="00FA5477">
        <w:rPr>
          <w:spacing w:val="-5"/>
          <w:sz w:val="24"/>
        </w:rPr>
        <w:t xml:space="preserve"> </w:t>
      </w:r>
      <w:r w:rsidRPr="00FA5477">
        <w:rPr>
          <w:sz w:val="24"/>
        </w:rPr>
        <w:t>nacional.</w:t>
      </w:r>
      <w:r w:rsidRPr="00FA5477">
        <w:rPr>
          <w:spacing w:val="-5"/>
          <w:sz w:val="24"/>
        </w:rPr>
        <w:t xml:space="preserve"> </w:t>
      </w:r>
      <w:r w:rsidRPr="00FA5477">
        <w:rPr>
          <w:sz w:val="24"/>
        </w:rPr>
        <w:t>Si</w:t>
      </w:r>
      <w:r w:rsidRPr="00FA5477">
        <w:rPr>
          <w:spacing w:val="-5"/>
          <w:sz w:val="24"/>
        </w:rPr>
        <w:t xml:space="preserve"> </w:t>
      </w:r>
      <w:r w:rsidRPr="00FA5477">
        <w:rPr>
          <w:sz w:val="24"/>
        </w:rPr>
        <w:t>los</w:t>
      </w:r>
      <w:r w:rsidRPr="00FA5477">
        <w:rPr>
          <w:spacing w:val="-5"/>
          <w:sz w:val="24"/>
        </w:rPr>
        <w:t xml:space="preserve"> </w:t>
      </w:r>
      <w:r w:rsidRPr="00FA5477">
        <w:rPr>
          <w:sz w:val="24"/>
        </w:rPr>
        <w:t>compromisos</w:t>
      </w:r>
      <w:r w:rsidRPr="00FA5477">
        <w:rPr>
          <w:spacing w:val="-5"/>
          <w:sz w:val="24"/>
        </w:rPr>
        <w:t xml:space="preserve"> </w:t>
      </w:r>
      <w:r w:rsidRPr="00FA5477">
        <w:rPr>
          <w:sz w:val="24"/>
        </w:rPr>
        <w:t>de</w:t>
      </w:r>
      <w:r w:rsidRPr="00FA5477">
        <w:rPr>
          <w:spacing w:val="-4"/>
          <w:sz w:val="24"/>
        </w:rPr>
        <w:t xml:space="preserve"> </w:t>
      </w:r>
      <w:r w:rsidRPr="00FA5477">
        <w:rPr>
          <w:sz w:val="24"/>
        </w:rPr>
        <w:t>cofinanciamiento</w:t>
      </w:r>
      <w:r w:rsidRPr="00FA5477">
        <w:rPr>
          <w:spacing w:val="-9"/>
          <w:sz w:val="24"/>
        </w:rPr>
        <w:t xml:space="preserve"> </w:t>
      </w:r>
      <w:r w:rsidRPr="00FA5477">
        <w:rPr>
          <w:sz w:val="24"/>
        </w:rPr>
        <w:t>no</w:t>
      </w:r>
      <w:r w:rsidRPr="00FA5477">
        <w:rPr>
          <w:spacing w:val="-5"/>
          <w:sz w:val="24"/>
        </w:rPr>
        <w:t xml:space="preserve"> </w:t>
      </w:r>
      <w:r w:rsidRPr="00FA5477">
        <w:rPr>
          <w:sz w:val="24"/>
        </w:rPr>
        <w:t>se</w:t>
      </w:r>
      <w:r w:rsidRPr="00FA5477">
        <w:rPr>
          <w:spacing w:val="-6"/>
          <w:sz w:val="24"/>
        </w:rPr>
        <w:t xml:space="preserve"> </w:t>
      </w:r>
      <w:r w:rsidRPr="00FA5477">
        <w:rPr>
          <w:sz w:val="24"/>
        </w:rPr>
        <w:t>han</w:t>
      </w:r>
      <w:r w:rsidRPr="00FA5477">
        <w:rPr>
          <w:spacing w:val="-7"/>
          <w:sz w:val="24"/>
        </w:rPr>
        <w:t xml:space="preserve"> </w:t>
      </w:r>
      <w:r w:rsidRPr="00FA5477">
        <w:rPr>
          <w:sz w:val="24"/>
        </w:rPr>
        <w:t>cumplido</w:t>
      </w:r>
      <w:r w:rsidRPr="00FA5477">
        <w:rPr>
          <w:spacing w:val="-64"/>
          <w:sz w:val="24"/>
        </w:rPr>
        <w:t xml:space="preserve"> </w:t>
      </w:r>
      <w:r w:rsidRPr="00FA5477">
        <w:rPr>
          <w:sz w:val="24"/>
        </w:rPr>
        <w:t>en</w:t>
      </w:r>
      <w:r w:rsidRPr="00FA5477">
        <w:rPr>
          <w:spacing w:val="-1"/>
          <w:sz w:val="24"/>
        </w:rPr>
        <w:t xml:space="preserve"> </w:t>
      </w:r>
      <w:r w:rsidRPr="00FA5477">
        <w:rPr>
          <w:sz w:val="24"/>
        </w:rPr>
        <w:t>su</w:t>
      </w:r>
      <w:r w:rsidRPr="00FA5477">
        <w:rPr>
          <w:spacing w:val="-1"/>
          <w:sz w:val="24"/>
        </w:rPr>
        <w:t xml:space="preserve"> </w:t>
      </w:r>
      <w:r w:rsidRPr="00FA5477">
        <w:rPr>
          <w:sz w:val="24"/>
        </w:rPr>
        <w:t>totalidad, justifique el</w:t>
      </w:r>
      <w:r w:rsidRPr="00FA5477">
        <w:rPr>
          <w:spacing w:val="-3"/>
          <w:sz w:val="24"/>
        </w:rPr>
        <w:t xml:space="preserve"> </w:t>
      </w:r>
      <w:r w:rsidRPr="00FA5477">
        <w:rPr>
          <w:sz w:val="24"/>
        </w:rPr>
        <w:t>motivo</w:t>
      </w:r>
    </w:p>
    <w:p w14:paraId="3AF3C97E" w14:textId="2CF6B5E3" w:rsidR="00D9691F" w:rsidRPr="00FA5477" w:rsidRDefault="009F1516" w:rsidP="005A74E6">
      <w:pPr>
        <w:pStyle w:val="Textoindependiente"/>
        <w:spacing w:after="120" w:line="264" w:lineRule="auto"/>
        <w:ind w:left="720"/>
        <w:jc w:val="both"/>
      </w:pPr>
      <w:r w:rsidRPr="00FA5477">
        <w:t>A través de la carta de cofinanciamiento, el RP MINSAL se comprometió a cumplir con una inversión con fondos GOES para los años 2022-2024 de $68,761,087.00 en los tres años, y según medición de</w:t>
      </w:r>
      <w:r w:rsidR="00D03017" w:rsidRPr="00FA5477">
        <w:t>l</w:t>
      </w:r>
      <w:r w:rsidRPr="00FA5477">
        <w:t xml:space="preserve"> gasto en </w:t>
      </w:r>
      <w:r w:rsidR="00D03017" w:rsidRPr="00FA5477">
        <w:t xml:space="preserve">sida en 2022 </w:t>
      </w:r>
      <w:r w:rsidRPr="00FA5477">
        <w:t>(MEGA</w:t>
      </w:r>
      <w:r w:rsidR="00D03017" w:rsidRPr="00FA5477">
        <w:t>S</w:t>
      </w:r>
      <w:r w:rsidRPr="00FA5477">
        <w:t>)</w:t>
      </w:r>
      <w:r w:rsidR="00D03017" w:rsidRPr="00FA5477">
        <w:t>,</w:t>
      </w:r>
      <w:r w:rsidRPr="00FA5477">
        <w:t xml:space="preserve"> </w:t>
      </w:r>
      <w:r w:rsidR="00D03017" w:rsidRPr="00FA5477">
        <w:t>e</w:t>
      </w:r>
      <w:r w:rsidRPr="00FA5477">
        <w:t>l MINSAL gastó con fondos de gobierno (GOES) un total de $69,753,660.00, un 9% arriba del compromiso adquirido ver anexo informe MEGA</w:t>
      </w:r>
      <w:r w:rsidR="004C1681" w:rsidRPr="00FA5477">
        <w:t>S</w:t>
      </w:r>
      <w:r w:rsidRPr="00FA5477">
        <w:t xml:space="preserve"> VIH 2022 </w:t>
      </w:r>
      <w:r w:rsidR="00245564" w:rsidRPr="00FA5477">
        <w:t>[a</w:t>
      </w:r>
      <w:r w:rsidRPr="00FA5477">
        <w:t>nexo</w:t>
      </w:r>
      <w:r w:rsidR="00D03017" w:rsidRPr="00FA5477">
        <w:t xml:space="preserve"> </w:t>
      </w:r>
      <w:r w:rsidR="00245564" w:rsidRPr="00FA5477">
        <w:t>1</w:t>
      </w:r>
      <w:r w:rsidR="006B3AB0" w:rsidRPr="00FA5477">
        <w:t>6</w:t>
      </w:r>
      <w:r w:rsidR="00245564" w:rsidRPr="00FA5477">
        <w:t>]</w:t>
      </w:r>
      <w:r w:rsidRPr="00FA5477">
        <w:t>. Así también se ha realizado el fortalecimiento de las intervenciones en el continuo de la atención del VIH, esto incluye el incremento de servicios diferenciados para las poblaciones clave, pasando de 18 clínicas VICITS y 5 Clínicas Amigables a 20 VICITS y 18 Amigables, así como el incremento de 3 C</w:t>
      </w:r>
      <w:r w:rsidR="004C1681" w:rsidRPr="00FA5477">
        <w:t>AI</w:t>
      </w:r>
      <w:r w:rsidRPr="00FA5477">
        <w:t>. Según tabla siguiente:</w:t>
      </w:r>
    </w:p>
    <w:p w14:paraId="10682FC2" w14:textId="77777777" w:rsidR="00BD6C09" w:rsidRPr="00FA5477" w:rsidRDefault="00236EA1" w:rsidP="00BD6C09">
      <w:pPr>
        <w:spacing w:after="60"/>
        <w:ind w:left="1276"/>
        <w:jc w:val="center"/>
        <w:rPr>
          <w:b/>
          <w:bCs/>
          <w:sz w:val="20"/>
          <w:szCs w:val="20"/>
          <w:lang w:bidi="es-ES"/>
        </w:rPr>
      </w:pPr>
      <w:r w:rsidRPr="00FA5477">
        <w:rPr>
          <w:b/>
          <w:bCs/>
          <w:sz w:val="20"/>
          <w:szCs w:val="20"/>
          <w:lang w:bidi="es-ES"/>
        </w:rPr>
        <w:t xml:space="preserve">Tabla </w:t>
      </w:r>
      <w:r w:rsidR="00BD6C09" w:rsidRPr="00FA5477">
        <w:rPr>
          <w:b/>
          <w:bCs/>
          <w:sz w:val="20"/>
          <w:szCs w:val="20"/>
          <w:lang w:bidi="es-ES"/>
        </w:rPr>
        <w:t>2</w:t>
      </w:r>
      <w:r w:rsidRPr="00FA5477">
        <w:rPr>
          <w:b/>
          <w:bCs/>
          <w:sz w:val="20"/>
          <w:szCs w:val="20"/>
          <w:lang w:bidi="es-ES"/>
        </w:rPr>
        <w:t>. C</w:t>
      </w:r>
      <w:r w:rsidR="00BD6C09" w:rsidRPr="00FA5477">
        <w:rPr>
          <w:b/>
          <w:bCs/>
          <w:sz w:val="20"/>
          <w:szCs w:val="20"/>
          <w:lang w:bidi="es-ES"/>
        </w:rPr>
        <w:t>umplimiento de c</w:t>
      </w:r>
      <w:r w:rsidRPr="00FA5477">
        <w:rPr>
          <w:b/>
          <w:bCs/>
          <w:sz w:val="20"/>
          <w:szCs w:val="20"/>
          <w:lang w:bidi="es-ES"/>
        </w:rPr>
        <w:t>ompromisos de financiamiento con fondos GOES.</w:t>
      </w:r>
    </w:p>
    <w:p w14:paraId="63683F2A" w14:textId="52C5FC2D" w:rsidR="005A74E6" w:rsidRPr="00FA5477" w:rsidRDefault="00236EA1" w:rsidP="00BD6C09">
      <w:pPr>
        <w:spacing w:after="60"/>
        <w:ind w:left="1276"/>
        <w:jc w:val="center"/>
        <w:rPr>
          <w:b/>
          <w:bCs/>
          <w:sz w:val="20"/>
          <w:szCs w:val="20"/>
          <w:lang w:bidi="es-ES"/>
        </w:rPr>
      </w:pPr>
      <w:r w:rsidRPr="00FA5477">
        <w:rPr>
          <w:b/>
          <w:bCs/>
          <w:sz w:val="20"/>
          <w:szCs w:val="20"/>
          <w:lang w:bidi="es-ES"/>
        </w:rPr>
        <w:t>El Salvador 2022-2024</w:t>
      </w:r>
    </w:p>
    <w:tbl>
      <w:tblPr>
        <w:tblW w:w="7856" w:type="dxa"/>
        <w:tblInd w:w="1363" w:type="dxa"/>
        <w:tblCellMar>
          <w:left w:w="70" w:type="dxa"/>
          <w:right w:w="70" w:type="dxa"/>
        </w:tblCellMar>
        <w:tblLook w:val="04A0" w:firstRow="1" w:lastRow="0" w:firstColumn="1" w:lastColumn="0" w:noHBand="0" w:noVBand="1"/>
      </w:tblPr>
      <w:tblGrid>
        <w:gridCol w:w="2738"/>
        <w:gridCol w:w="2693"/>
        <w:gridCol w:w="2425"/>
      </w:tblGrid>
      <w:tr w:rsidR="005A74E6" w:rsidRPr="00FA5477" w14:paraId="6C69E21F" w14:textId="77777777" w:rsidTr="00236EA1">
        <w:trPr>
          <w:trHeight w:val="448"/>
        </w:trPr>
        <w:tc>
          <w:tcPr>
            <w:tcW w:w="7856" w:type="dxa"/>
            <w:gridSpan w:val="3"/>
            <w:tcBorders>
              <w:top w:val="single" w:sz="8" w:space="0" w:color="auto"/>
              <w:bottom w:val="single" w:sz="8" w:space="0" w:color="auto"/>
            </w:tcBorders>
            <w:shd w:val="clear" w:color="auto" w:fill="auto"/>
            <w:vAlign w:val="center"/>
            <w:hideMark/>
          </w:tcPr>
          <w:p w14:paraId="4212F5BB" w14:textId="2CBD1EAF" w:rsidR="005A74E6" w:rsidRPr="00FA5477" w:rsidRDefault="005A74E6" w:rsidP="00236EA1">
            <w:pPr>
              <w:widowControl/>
              <w:autoSpaceDE/>
              <w:autoSpaceDN/>
              <w:jc w:val="center"/>
              <w:rPr>
                <w:rFonts w:ascii="Calibri" w:eastAsia="Times New Roman" w:hAnsi="Calibri" w:cs="Calibri"/>
                <w:b/>
                <w:bCs/>
                <w:color w:val="000000"/>
                <w:lang w:eastAsia="es-SV"/>
              </w:rPr>
            </w:pPr>
            <w:r w:rsidRPr="00FA5477">
              <w:rPr>
                <w:rFonts w:ascii="Calibri" w:eastAsia="Times New Roman" w:hAnsi="Calibri" w:cs="Calibri"/>
                <w:b/>
                <w:bCs/>
                <w:color w:val="000000"/>
                <w:lang w:eastAsia="es-SV"/>
              </w:rPr>
              <w:t>Compromiso de cofinanciamiento MINSAL con fondos GOES nivel nacional</w:t>
            </w:r>
            <w:r w:rsidR="00236EA1" w:rsidRPr="00FA5477">
              <w:rPr>
                <w:rFonts w:ascii="Calibri" w:eastAsia="Times New Roman" w:hAnsi="Calibri" w:cs="Calibri"/>
                <w:b/>
                <w:bCs/>
                <w:color w:val="000000"/>
                <w:lang w:eastAsia="es-SV"/>
              </w:rPr>
              <w:t xml:space="preserve"> </w:t>
            </w:r>
            <w:r w:rsidRPr="00FA5477">
              <w:rPr>
                <w:rFonts w:ascii="Calibri" w:eastAsia="Times New Roman" w:hAnsi="Calibri" w:cs="Calibri"/>
                <w:b/>
                <w:bCs/>
                <w:color w:val="000000"/>
                <w:lang w:eastAsia="es-SV"/>
              </w:rPr>
              <w:t>(en US$)</w:t>
            </w:r>
          </w:p>
        </w:tc>
      </w:tr>
      <w:tr w:rsidR="00EE2BB5" w:rsidRPr="00FA5477" w14:paraId="387FC612" w14:textId="77777777" w:rsidTr="00236EA1">
        <w:trPr>
          <w:trHeight w:val="315"/>
        </w:trPr>
        <w:tc>
          <w:tcPr>
            <w:tcW w:w="2738" w:type="dxa"/>
            <w:tcBorders>
              <w:top w:val="nil"/>
              <w:bottom w:val="single" w:sz="8" w:space="0" w:color="auto"/>
              <w:right w:val="single" w:sz="8" w:space="0" w:color="auto"/>
            </w:tcBorders>
            <w:shd w:val="clear" w:color="auto" w:fill="F2F2F2" w:themeFill="background1" w:themeFillShade="F2"/>
            <w:vAlign w:val="center"/>
            <w:hideMark/>
          </w:tcPr>
          <w:p w14:paraId="3514A9A9" w14:textId="77777777" w:rsidR="005A74E6" w:rsidRPr="00FA5477" w:rsidRDefault="005A74E6" w:rsidP="00977CCD">
            <w:pPr>
              <w:widowControl/>
              <w:autoSpaceDE/>
              <w:autoSpaceDN/>
              <w:jc w:val="center"/>
              <w:rPr>
                <w:rFonts w:ascii="Calibri" w:eastAsia="Times New Roman" w:hAnsi="Calibri" w:cs="Calibri"/>
                <w:b/>
                <w:bCs/>
                <w:color w:val="000000"/>
                <w:lang w:eastAsia="es-SV"/>
              </w:rPr>
            </w:pPr>
            <w:r w:rsidRPr="00FA5477">
              <w:rPr>
                <w:rFonts w:ascii="Calibri" w:eastAsia="Times New Roman" w:hAnsi="Calibri" w:cs="Calibri"/>
                <w:b/>
                <w:bCs/>
                <w:color w:val="000000"/>
                <w:lang w:eastAsia="es-SV"/>
              </w:rPr>
              <w:t>2022</w:t>
            </w:r>
          </w:p>
        </w:tc>
        <w:tc>
          <w:tcPr>
            <w:tcW w:w="2693" w:type="dxa"/>
            <w:tcBorders>
              <w:top w:val="nil"/>
              <w:left w:val="nil"/>
              <w:bottom w:val="single" w:sz="8" w:space="0" w:color="auto"/>
              <w:right w:val="single" w:sz="8" w:space="0" w:color="auto"/>
            </w:tcBorders>
            <w:shd w:val="clear" w:color="auto" w:fill="F2F2F2" w:themeFill="background1" w:themeFillShade="F2"/>
            <w:vAlign w:val="center"/>
            <w:hideMark/>
          </w:tcPr>
          <w:p w14:paraId="74BD8F89" w14:textId="77777777" w:rsidR="005A74E6" w:rsidRPr="00FA5477" w:rsidRDefault="005A74E6" w:rsidP="00977CCD">
            <w:pPr>
              <w:widowControl/>
              <w:autoSpaceDE/>
              <w:autoSpaceDN/>
              <w:jc w:val="center"/>
              <w:rPr>
                <w:rFonts w:ascii="Calibri" w:eastAsia="Times New Roman" w:hAnsi="Calibri" w:cs="Calibri"/>
                <w:b/>
                <w:bCs/>
                <w:color w:val="000000"/>
                <w:lang w:eastAsia="es-SV"/>
              </w:rPr>
            </w:pPr>
            <w:r w:rsidRPr="00FA5477">
              <w:rPr>
                <w:rFonts w:ascii="Calibri" w:eastAsia="Times New Roman" w:hAnsi="Calibri" w:cs="Calibri"/>
                <w:b/>
                <w:bCs/>
                <w:color w:val="000000"/>
                <w:lang w:eastAsia="es-SV"/>
              </w:rPr>
              <w:t>2023</w:t>
            </w:r>
          </w:p>
        </w:tc>
        <w:tc>
          <w:tcPr>
            <w:tcW w:w="2425" w:type="dxa"/>
            <w:tcBorders>
              <w:top w:val="nil"/>
              <w:left w:val="nil"/>
              <w:bottom w:val="single" w:sz="8" w:space="0" w:color="auto"/>
            </w:tcBorders>
            <w:shd w:val="clear" w:color="auto" w:fill="F2F2F2" w:themeFill="background1" w:themeFillShade="F2"/>
            <w:vAlign w:val="center"/>
            <w:hideMark/>
          </w:tcPr>
          <w:p w14:paraId="27385E20" w14:textId="77777777" w:rsidR="005A74E6" w:rsidRPr="00FA5477" w:rsidRDefault="005A74E6" w:rsidP="00977CCD">
            <w:pPr>
              <w:widowControl/>
              <w:autoSpaceDE/>
              <w:autoSpaceDN/>
              <w:jc w:val="center"/>
              <w:rPr>
                <w:rFonts w:ascii="Calibri" w:eastAsia="Times New Roman" w:hAnsi="Calibri" w:cs="Calibri"/>
                <w:b/>
                <w:bCs/>
                <w:color w:val="000000"/>
                <w:lang w:eastAsia="es-SV"/>
              </w:rPr>
            </w:pPr>
            <w:r w:rsidRPr="00FA5477">
              <w:rPr>
                <w:rFonts w:ascii="Calibri" w:eastAsia="Times New Roman" w:hAnsi="Calibri" w:cs="Calibri"/>
                <w:b/>
                <w:bCs/>
                <w:color w:val="000000"/>
                <w:lang w:eastAsia="es-SV"/>
              </w:rPr>
              <w:t>2024</w:t>
            </w:r>
          </w:p>
        </w:tc>
      </w:tr>
      <w:tr w:rsidR="005A74E6" w:rsidRPr="00FA5477" w14:paraId="20A9B949" w14:textId="77777777" w:rsidTr="00236EA1">
        <w:trPr>
          <w:trHeight w:val="315"/>
        </w:trPr>
        <w:tc>
          <w:tcPr>
            <w:tcW w:w="2738" w:type="dxa"/>
            <w:tcBorders>
              <w:top w:val="nil"/>
              <w:bottom w:val="nil"/>
              <w:right w:val="single" w:sz="8" w:space="0" w:color="auto"/>
            </w:tcBorders>
            <w:shd w:val="clear" w:color="auto" w:fill="auto"/>
            <w:vAlign w:val="center"/>
            <w:hideMark/>
          </w:tcPr>
          <w:p w14:paraId="18DE6F37" w14:textId="77777777" w:rsidR="005A74E6" w:rsidRPr="00FA5477" w:rsidRDefault="005A74E6" w:rsidP="00977CCD">
            <w:pPr>
              <w:widowControl/>
              <w:autoSpaceDE/>
              <w:autoSpaceDN/>
              <w:jc w:val="center"/>
              <w:rPr>
                <w:rFonts w:ascii="Calibri" w:eastAsia="Times New Roman" w:hAnsi="Calibri" w:cs="Calibri"/>
                <w:color w:val="000000"/>
                <w:lang w:eastAsia="es-SV"/>
              </w:rPr>
            </w:pPr>
            <w:r w:rsidRPr="00FA5477">
              <w:rPr>
                <w:rFonts w:ascii="Calibri" w:eastAsia="Times New Roman" w:hAnsi="Calibri" w:cs="Calibri"/>
                <w:color w:val="000000"/>
                <w:lang w:eastAsia="es-SV"/>
              </w:rPr>
              <w:t>$22,658,834.00 **</w:t>
            </w:r>
          </w:p>
        </w:tc>
        <w:tc>
          <w:tcPr>
            <w:tcW w:w="2693" w:type="dxa"/>
            <w:tcBorders>
              <w:top w:val="nil"/>
              <w:left w:val="nil"/>
              <w:bottom w:val="nil"/>
              <w:right w:val="single" w:sz="8" w:space="0" w:color="auto"/>
            </w:tcBorders>
            <w:shd w:val="clear" w:color="auto" w:fill="auto"/>
            <w:vAlign w:val="center"/>
            <w:hideMark/>
          </w:tcPr>
          <w:p w14:paraId="285D602E" w14:textId="77777777" w:rsidR="005A74E6" w:rsidRPr="00FA5477" w:rsidRDefault="005A74E6" w:rsidP="00977CCD">
            <w:pPr>
              <w:widowControl/>
              <w:autoSpaceDE/>
              <w:autoSpaceDN/>
              <w:jc w:val="center"/>
              <w:rPr>
                <w:rFonts w:ascii="Calibri" w:eastAsia="Times New Roman" w:hAnsi="Calibri" w:cs="Calibri"/>
                <w:color w:val="000000"/>
                <w:lang w:eastAsia="es-SV"/>
              </w:rPr>
            </w:pPr>
            <w:r w:rsidRPr="00FA5477">
              <w:rPr>
                <w:rFonts w:ascii="Calibri" w:eastAsia="Times New Roman" w:hAnsi="Calibri" w:cs="Calibri"/>
                <w:color w:val="000000"/>
                <w:lang w:eastAsia="es-SV"/>
              </w:rPr>
              <w:t>$22,930,740.00 **</w:t>
            </w:r>
          </w:p>
        </w:tc>
        <w:tc>
          <w:tcPr>
            <w:tcW w:w="2425" w:type="dxa"/>
            <w:tcBorders>
              <w:top w:val="nil"/>
              <w:left w:val="nil"/>
              <w:bottom w:val="nil"/>
            </w:tcBorders>
            <w:shd w:val="clear" w:color="auto" w:fill="auto"/>
            <w:vAlign w:val="center"/>
            <w:hideMark/>
          </w:tcPr>
          <w:p w14:paraId="213F9E54" w14:textId="249ADDA1" w:rsidR="005A74E6" w:rsidRPr="00FA5477" w:rsidRDefault="005A74E6" w:rsidP="00977CCD">
            <w:pPr>
              <w:widowControl/>
              <w:autoSpaceDE/>
              <w:autoSpaceDN/>
              <w:jc w:val="center"/>
              <w:rPr>
                <w:rFonts w:ascii="Calibri" w:eastAsia="Times New Roman" w:hAnsi="Calibri" w:cs="Calibri"/>
                <w:color w:val="000000"/>
                <w:lang w:eastAsia="es-SV"/>
              </w:rPr>
            </w:pPr>
            <w:r w:rsidRPr="00FA5477">
              <w:rPr>
                <w:rFonts w:ascii="Calibri" w:eastAsia="Times New Roman" w:hAnsi="Calibri" w:cs="Calibri"/>
                <w:color w:val="000000"/>
                <w:lang w:eastAsia="es-SV"/>
              </w:rPr>
              <w:t>$23,171,513.00**</w:t>
            </w:r>
          </w:p>
        </w:tc>
      </w:tr>
      <w:tr w:rsidR="005A74E6" w:rsidRPr="00FA5477" w14:paraId="709B8BBE" w14:textId="77777777" w:rsidTr="00236EA1">
        <w:trPr>
          <w:trHeight w:val="315"/>
        </w:trPr>
        <w:tc>
          <w:tcPr>
            <w:tcW w:w="7856" w:type="dxa"/>
            <w:gridSpan w:val="3"/>
            <w:tcBorders>
              <w:top w:val="single" w:sz="8" w:space="0" w:color="auto"/>
              <w:bottom w:val="single" w:sz="8" w:space="0" w:color="auto"/>
            </w:tcBorders>
            <w:shd w:val="clear" w:color="auto" w:fill="F2F2F2" w:themeFill="background1" w:themeFillShade="F2"/>
            <w:noWrap/>
            <w:vAlign w:val="center"/>
            <w:hideMark/>
          </w:tcPr>
          <w:p w14:paraId="2A35E4E9" w14:textId="334BFF26" w:rsidR="005A74E6" w:rsidRPr="00FA5477" w:rsidRDefault="005A74E6" w:rsidP="00977CCD">
            <w:pPr>
              <w:widowControl/>
              <w:autoSpaceDE/>
              <w:autoSpaceDN/>
              <w:jc w:val="center"/>
              <w:rPr>
                <w:rFonts w:ascii="Calibri" w:eastAsia="Times New Roman" w:hAnsi="Calibri" w:cs="Calibri"/>
                <w:b/>
                <w:bCs/>
                <w:color w:val="000000"/>
                <w:lang w:eastAsia="es-SV"/>
              </w:rPr>
            </w:pPr>
            <w:r w:rsidRPr="00FA5477">
              <w:rPr>
                <w:rFonts w:ascii="Calibri" w:eastAsia="Times New Roman" w:hAnsi="Calibri" w:cs="Calibri"/>
                <w:b/>
                <w:bCs/>
                <w:color w:val="000000"/>
                <w:lang w:eastAsia="es-SV"/>
              </w:rPr>
              <w:t xml:space="preserve">Financiamiento </w:t>
            </w:r>
            <w:r w:rsidR="00D9691F" w:rsidRPr="00FA5477">
              <w:rPr>
                <w:rFonts w:ascii="Calibri" w:eastAsia="Times New Roman" w:hAnsi="Calibri" w:cs="Calibri"/>
                <w:b/>
                <w:bCs/>
                <w:color w:val="000000"/>
                <w:lang w:eastAsia="es-SV"/>
              </w:rPr>
              <w:t>cumplido por</w:t>
            </w:r>
            <w:r w:rsidRPr="00FA5477">
              <w:rPr>
                <w:rFonts w:ascii="Calibri" w:eastAsia="Times New Roman" w:hAnsi="Calibri" w:cs="Calibri"/>
                <w:b/>
                <w:bCs/>
                <w:color w:val="000000"/>
                <w:lang w:eastAsia="es-SV"/>
              </w:rPr>
              <w:t xml:space="preserve"> MINSAL con fondos GOES</w:t>
            </w:r>
          </w:p>
        </w:tc>
      </w:tr>
      <w:tr w:rsidR="005A74E6" w:rsidRPr="00FA5477" w14:paraId="3066AB34" w14:textId="77777777" w:rsidTr="00236EA1">
        <w:trPr>
          <w:trHeight w:val="315"/>
        </w:trPr>
        <w:tc>
          <w:tcPr>
            <w:tcW w:w="2738" w:type="dxa"/>
            <w:tcBorders>
              <w:top w:val="nil"/>
              <w:bottom w:val="single" w:sz="8" w:space="0" w:color="auto"/>
              <w:right w:val="single" w:sz="8" w:space="0" w:color="auto"/>
            </w:tcBorders>
            <w:shd w:val="clear" w:color="auto" w:fill="auto"/>
            <w:noWrap/>
            <w:vAlign w:val="center"/>
            <w:hideMark/>
          </w:tcPr>
          <w:p w14:paraId="1A4CF4B5" w14:textId="53134069" w:rsidR="005A74E6" w:rsidRPr="00FA5477" w:rsidRDefault="005A74E6" w:rsidP="00432FA6">
            <w:pPr>
              <w:widowControl/>
              <w:autoSpaceDE/>
              <w:autoSpaceDN/>
              <w:jc w:val="center"/>
              <w:rPr>
                <w:rFonts w:ascii="Calibri" w:eastAsia="Times New Roman" w:hAnsi="Calibri" w:cs="Calibri"/>
                <w:color w:val="000000"/>
                <w:lang w:eastAsia="es-SV"/>
              </w:rPr>
            </w:pPr>
            <w:r w:rsidRPr="00FA5477">
              <w:rPr>
                <w:rFonts w:ascii="Calibri" w:eastAsia="Times New Roman" w:hAnsi="Calibri" w:cs="Calibri"/>
                <w:color w:val="000000"/>
                <w:lang w:eastAsia="es-SV"/>
              </w:rPr>
              <w:t>$23,021,369.00</w:t>
            </w:r>
          </w:p>
        </w:tc>
        <w:tc>
          <w:tcPr>
            <w:tcW w:w="2693" w:type="dxa"/>
            <w:tcBorders>
              <w:top w:val="nil"/>
              <w:left w:val="nil"/>
              <w:bottom w:val="single" w:sz="8" w:space="0" w:color="auto"/>
              <w:right w:val="nil"/>
            </w:tcBorders>
            <w:shd w:val="clear" w:color="auto" w:fill="auto"/>
            <w:noWrap/>
            <w:vAlign w:val="center"/>
            <w:hideMark/>
          </w:tcPr>
          <w:p w14:paraId="155480D3" w14:textId="4DDEE7E2" w:rsidR="005A74E6" w:rsidRPr="00FA5477" w:rsidRDefault="005A74E6" w:rsidP="00432FA6">
            <w:pPr>
              <w:widowControl/>
              <w:autoSpaceDE/>
              <w:autoSpaceDN/>
              <w:jc w:val="center"/>
              <w:rPr>
                <w:rFonts w:ascii="Calibri" w:eastAsia="Times New Roman" w:hAnsi="Calibri" w:cs="Calibri"/>
                <w:color w:val="000000"/>
                <w:lang w:eastAsia="es-SV"/>
              </w:rPr>
            </w:pPr>
            <w:r w:rsidRPr="00FA5477">
              <w:rPr>
                <w:rFonts w:ascii="Calibri" w:eastAsia="Times New Roman" w:hAnsi="Calibri" w:cs="Calibri"/>
                <w:color w:val="000000"/>
                <w:lang w:eastAsia="es-SV"/>
              </w:rPr>
              <w:t>$23,123,350.00</w:t>
            </w:r>
          </w:p>
        </w:tc>
        <w:tc>
          <w:tcPr>
            <w:tcW w:w="2425" w:type="dxa"/>
            <w:tcBorders>
              <w:top w:val="nil"/>
              <w:left w:val="single" w:sz="8" w:space="0" w:color="auto"/>
              <w:bottom w:val="single" w:sz="8" w:space="0" w:color="auto"/>
            </w:tcBorders>
            <w:shd w:val="clear" w:color="auto" w:fill="auto"/>
            <w:vAlign w:val="center"/>
            <w:hideMark/>
          </w:tcPr>
          <w:p w14:paraId="65DED38D" w14:textId="64352907" w:rsidR="005A74E6" w:rsidRPr="00FA5477" w:rsidRDefault="005A74E6" w:rsidP="00977CCD">
            <w:pPr>
              <w:widowControl/>
              <w:autoSpaceDE/>
              <w:autoSpaceDN/>
              <w:jc w:val="center"/>
              <w:rPr>
                <w:rFonts w:ascii="Calibri" w:eastAsia="Times New Roman" w:hAnsi="Calibri" w:cs="Calibri"/>
                <w:color w:val="000000"/>
                <w:lang w:eastAsia="es-SV"/>
              </w:rPr>
            </w:pPr>
            <w:r w:rsidRPr="00FA5477">
              <w:rPr>
                <w:rFonts w:ascii="Calibri" w:eastAsia="Times New Roman" w:hAnsi="Calibri" w:cs="Calibri"/>
                <w:color w:val="000000"/>
                <w:lang w:eastAsia="es-SV"/>
              </w:rPr>
              <w:t>$23,</w:t>
            </w:r>
            <w:r w:rsidR="00432FA6" w:rsidRPr="00FA5477">
              <w:rPr>
                <w:rFonts w:ascii="Calibri" w:eastAsia="Times New Roman" w:hAnsi="Calibri" w:cs="Calibri"/>
                <w:color w:val="000000"/>
                <w:lang w:eastAsia="es-SV"/>
              </w:rPr>
              <w:t>608</w:t>
            </w:r>
            <w:r w:rsidRPr="00FA5477">
              <w:rPr>
                <w:rFonts w:ascii="Calibri" w:eastAsia="Times New Roman" w:hAnsi="Calibri" w:cs="Calibri"/>
                <w:color w:val="000000"/>
                <w:lang w:eastAsia="es-SV"/>
              </w:rPr>
              <w:t>,</w:t>
            </w:r>
            <w:r w:rsidR="00432FA6" w:rsidRPr="00FA5477">
              <w:rPr>
                <w:rFonts w:ascii="Calibri" w:eastAsia="Times New Roman" w:hAnsi="Calibri" w:cs="Calibri"/>
                <w:color w:val="000000"/>
                <w:lang w:eastAsia="es-SV"/>
              </w:rPr>
              <w:t>941</w:t>
            </w:r>
            <w:r w:rsidRPr="00FA5477">
              <w:rPr>
                <w:rFonts w:ascii="Calibri" w:eastAsia="Times New Roman" w:hAnsi="Calibri" w:cs="Calibri"/>
                <w:color w:val="000000"/>
                <w:lang w:eastAsia="es-SV"/>
              </w:rPr>
              <w:t>.00**</w:t>
            </w:r>
          </w:p>
        </w:tc>
      </w:tr>
    </w:tbl>
    <w:p w14:paraId="3585BE37" w14:textId="66699162" w:rsidR="005A74E6" w:rsidRPr="00FA5477" w:rsidRDefault="00432FA6" w:rsidP="00432FA6">
      <w:pPr>
        <w:tabs>
          <w:tab w:val="left" w:pos="1033"/>
        </w:tabs>
        <w:spacing w:before="121" w:line="264" w:lineRule="auto"/>
        <w:ind w:left="1440" w:right="149"/>
        <w:rPr>
          <w:sz w:val="18"/>
          <w:szCs w:val="16"/>
        </w:rPr>
      </w:pPr>
      <w:r w:rsidRPr="00FA5477">
        <w:rPr>
          <w:sz w:val="18"/>
          <w:szCs w:val="16"/>
        </w:rPr>
        <w:t>* El monto del compromiso 2024 se calcula en base a la tasa de inflación del 2.10% con respecto al anterior</w:t>
      </w:r>
    </w:p>
    <w:p w14:paraId="1D7B4AE1" w14:textId="5D5C6599" w:rsidR="009F1516" w:rsidRPr="00FA5477" w:rsidRDefault="002A4D2E" w:rsidP="009F1516">
      <w:pPr>
        <w:tabs>
          <w:tab w:val="left" w:pos="1033"/>
        </w:tabs>
        <w:spacing w:before="121" w:line="264" w:lineRule="auto"/>
        <w:ind w:left="720" w:right="149"/>
        <w:jc w:val="both"/>
        <w:rPr>
          <w:sz w:val="24"/>
        </w:rPr>
      </w:pPr>
      <w:r w:rsidRPr="00FA5477">
        <w:rPr>
          <w:sz w:val="24"/>
        </w:rPr>
        <w:t>Unidad del Programa de ITS/VIH</w:t>
      </w:r>
      <w:r w:rsidR="00E172B3" w:rsidRPr="00FA5477">
        <w:rPr>
          <w:sz w:val="24"/>
        </w:rPr>
        <w:t xml:space="preserve"> del MINSAL</w:t>
      </w:r>
      <w:r w:rsidR="009F1516" w:rsidRPr="00FA5477">
        <w:rPr>
          <w:sz w:val="24"/>
        </w:rPr>
        <w:t xml:space="preserve"> cada año realiza gestiones en coordinación con la Unidad Financiera Institucional ante el Ministerio de Hacienda la asignación anual de presupuesto el cual es integrado en el presupuesto general anual del Ministerio de Salud y presentado ante el Ministerio de Hacienda para que sea aprobado por la Asamblea Legislativa en el presupuesto anual de la nación según año que corresponda. La asignación al Programa cubre la adquisición de medicamentos antirretrovirales, pruebas de laboratorio para ITS y VIH, sucedáneos de leche materna, para hijos de madres con VIH, mantenimiento de equipos de laboratorio, principalmente.</w:t>
      </w:r>
    </w:p>
    <w:p w14:paraId="1DF46977" w14:textId="77777777" w:rsidR="009F1516" w:rsidRPr="00FA5477" w:rsidRDefault="009F1516" w:rsidP="009F1516">
      <w:pPr>
        <w:tabs>
          <w:tab w:val="left" w:pos="1033"/>
        </w:tabs>
        <w:spacing w:before="121" w:line="264" w:lineRule="auto"/>
        <w:ind w:left="720" w:right="149"/>
        <w:jc w:val="both"/>
        <w:rPr>
          <w:sz w:val="24"/>
        </w:rPr>
      </w:pPr>
      <w:r w:rsidRPr="00FA5477">
        <w:rPr>
          <w:sz w:val="24"/>
        </w:rPr>
        <w:t>Así también, con fondos del presupuesto general de la nación se sufragan todos los salarios de los recursos humanos de todos los establecimientos de salud a nivel nacional que atienden a personas con VIH en las 24 clínicas de atención integral, la 20 VICITS y las 18 Amigables, así como el personal que atiende las estrategias programáticas de VIH: (laboratorios, farmacia, educadores, promotores de salud, enfermeras, médicos, odontólogos, psicólogos, administrativos) entre otros.</w:t>
      </w:r>
    </w:p>
    <w:p w14:paraId="5C554E22" w14:textId="2683303E" w:rsidR="00702C2A" w:rsidRPr="00FA5477" w:rsidRDefault="009F1516" w:rsidP="009F1516">
      <w:pPr>
        <w:tabs>
          <w:tab w:val="left" w:pos="1033"/>
        </w:tabs>
        <w:spacing w:before="121" w:line="264" w:lineRule="auto"/>
        <w:ind w:left="720" w:right="149"/>
        <w:jc w:val="both"/>
        <w:rPr>
          <w:sz w:val="24"/>
        </w:rPr>
      </w:pPr>
      <w:r w:rsidRPr="00FA5477">
        <w:rPr>
          <w:sz w:val="24"/>
        </w:rPr>
        <w:t>Adicionalmente con fondos nacionales también se crea la Dirección de Cadena de Suministros fortalecido notablemente los aspectos logísticos de importación, almacenamiento, control de inventarios, distribución de insumos, optimizando los recursos destinados al Programa, todo lo anterior como parte de la estrategia de sostenibilidad nacional, según PENM</w:t>
      </w:r>
      <w:r w:rsidR="00E172B3" w:rsidRPr="00FA5477">
        <w:rPr>
          <w:sz w:val="24"/>
        </w:rPr>
        <w:t>-</w:t>
      </w:r>
      <w:r w:rsidRPr="00FA5477">
        <w:rPr>
          <w:sz w:val="24"/>
        </w:rPr>
        <w:t>VIH</w:t>
      </w:r>
      <w:r w:rsidR="00E66CD2" w:rsidRPr="00FA5477">
        <w:rPr>
          <w:sz w:val="24"/>
        </w:rPr>
        <w:t>.</w:t>
      </w:r>
    </w:p>
    <w:p w14:paraId="1B059692" w14:textId="12068EB9" w:rsidR="000F3D1A" w:rsidRPr="00FA5477" w:rsidRDefault="008B2B26">
      <w:pPr>
        <w:pStyle w:val="Prrafodelista"/>
        <w:numPr>
          <w:ilvl w:val="2"/>
          <w:numId w:val="2"/>
        </w:numPr>
        <w:tabs>
          <w:tab w:val="left" w:pos="1033"/>
        </w:tabs>
        <w:spacing w:before="122" w:line="264" w:lineRule="auto"/>
        <w:ind w:right="140"/>
        <w:rPr>
          <w:sz w:val="24"/>
        </w:rPr>
      </w:pPr>
      <w:r w:rsidRPr="00FA5477">
        <w:rPr>
          <w:spacing w:val="-1"/>
          <w:sz w:val="24"/>
        </w:rPr>
        <w:t>Describa</w:t>
      </w:r>
      <w:r w:rsidRPr="00FA5477">
        <w:rPr>
          <w:spacing w:val="-16"/>
          <w:sz w:val="24"/>
        </w:rPr>
        <w:t xml:space="preserve"> </w:t>
      </w:r>
      <w:r w:rsidRPr="00FA5477">
        <w:rPr>
          <w:spacing w:val="-1"/>
          <w:sz w:val="24"/>
        </w:rPr>
        <w:t>cómo</w:t>
      </w:r>
      <w:r w:rsidRPr="00FA5477">
        <w:rPr>
          <w:spacing w:val="-15"/>
          <w:sz w:val="24"/>
        </w:rPr>
        <w:t xml:space="preserve"> </w:t>
      </w:r>
      <w:r w:rsidRPr="00FA5477">
        <w:rPr>
          <w:spacing w:val="-1"/>
          <w:sz w:val="24"/>
        </w:rPr>
        <w:t>aumentará</w:t>
      </w:r>
      <w:r w:rsidRPr="00FA5477">
        <w:rPr>
          <w:spacing w:val="-16"/>
          <w:sz w:val="24"/>
        </w:rPr>
        <w:t xml:space="preserve"> </w:t>
      </w:r>
      <w:r w:rsidRPr="00FA5477">
        <w:rPr>
          <w:spacing w:val="-1"/>
          <w:sz w:val="24"/>
        </w:rPr>
        <w:t>el</w:t>
      </w:r>
      <w:r w:rsidRPr="00FA5477">
        <w:rPr>
          <w:spacing w:val="-17"/>
          <w:sz w:val="24"/>
        </w:rPr>
        <w:t xml:space="preserve"> </w:t>
      </w:r>
      <w:r w:rsidRPr="00FA5477">
        <w:rPr>
          <w:spacing w:val="-1"/>
          <w:sz w:val="24"/>
        </w:rPr>
        <w:t>cofinanciamiento</w:t>
      </w:r>
      <w:r w:rsidRPr="00FA5477">
        <w:rPr>
          <w:spacing w:val="-17"/>
          <w:sz w:val="24"/>
        </w:rPr>
        <w:t xml:space="preserve"> </w:t>
      </w:r>
      <w:r w:rsidRPr="00FA5477">
        <w:rPr>
          <w:sz w:val="24"/>
        </w:rPr>
        <w:t>a</w:t>
      </w:r>
      <w:r w:rsidRPr="00FA5477">
        <w:rPr>
          <w:spacing w:val="-15"/>
          <w:sz w:val="24"/>
        </w:rPr>
        <w:t xml:space="preserve"> </w:t>
      </w:r>
      <w:r w:rsidRPr="00FA5477">
        <w:rPr>
          <w:sz w:val="24"/>
        </w:rPr>
        <w:t>lo</w:t>
      </w:r>
      <w:r w:rsidRPr="00FA5477">
        <w:rPr>
          <w:spacing w:val="-16"/>
          <w:sz w:val="24"/>
        </w:rPr>
        <w:t xml:space="preserve"> </w:t>
      </w:r>
      <w:r w:rsidRPr="00FA5477">
        <w:rPr>
          <w:sz w:val="24"/>
        </w:rPr>
        <w:t>largo</w:t>
      </w:r>
      <w:r w:rsidRPr="00FA5477">
        <w:rPr>
          <w:spacing w:val="-17"/>
          <w:sz w:val="24"/>
        </w:rPr>
        <w:t xml:space="preserve"> </w:t>
      </w:r>
      <w:r w:rsidRPr="00FA5477">
        <w:rPr>
          <w:sz w:val="24"/>
        </w:rPr>
        <w:t>del</w:t>
      </w:r>
      <w:r w:rsidRPr="00FA5477">
        <w:rPr>
          <w:spacing w:val="-19"/>
          <w:sz w:val="24"/>
        </w:rPr>
        <w:t xml:space="preserve"> </w:t>
      </w:r>
      <w:r w:rsidRPr="00FA5477">
        <w:rPr>
          <w:sz w:val="24"/>
        </w:rPr>
        <w:t>período</w:t>
      </w:r>
      <w:r w:rsidRPr="00FA5477">
        <w:rPr>
          <w:spacing w:val="-16"/>
          <w:sz w:val="24"/>
        </w:rPr>
        <w:t xml:space="preserve"> </w:t>
      </w:r>
      <w:r w:rsidRPr="00FA5477">
        <w:rPr>
          <w:sz w:val="24"/>
        </w:rPr>
        <w:t>de</w:t>
      </w:r>
      <w:r w:rsidRPr="00FA5477">
        <w:rPr>
          <w:spacing w:val="-15"/>
          <w:sz w:val="24"/>
        </w:rPr>
        <w:t xml:space="preserve"> </w:t>
      </w:r>
      <w:r w:rsidRPr="00FA5477">
        <w:rPr>
          <w:sz w:val="24"/>
        </w:rPr>
        <w:t>asignación</w:t>
      </w:r>
      <w:r w:rsidRPr="00FA5477">
        <w:rPr>
          <w:spacing w:val="7"/>
          <w:sz w:val="24"/>
        </w:rPr>
        <w:t xml:space="preserve"> </w:t>
      </w:r>
      <w:r w:rsidRPr="00FA5477">
        <w:rPr>
          <w:sz w:val="24"/>
        </w:rPr>
        <w:t>2023-</w:t>
      </w:r>
      <w:r w:rsidRPr="00FA5477">
        <w:rPr>
          <w:spacing w:val="-64"/>
          <w:sz w:val="24"/>
        </w:rPr>
        <w:t xml:space="preserve"> </w:t>
      </w:r>
      <w:r w:rsidRPr="00FA5477">
        <w:rPr>
          <w:sz w:val="24"/>
        </w:rPr>
        <w:t>2025.</w:t>
      </w:r>
      <w:r w:rsidRPr="00FA5477">
        <w:rPr>
          <w:spacing w:val="1"/>
          <w:sz w:val="24"/>
        </w:rPr>
        <w:t xml:space="preserve"> </w:t>
      </w:r>
      <w:r w:rsidRPr="00FA5477">
        <w:rPr>
          <w:sz w:val="24"/>
        </w:rPr>
        <w:t>Indique</w:t>
      </w:r>
      <w:r w:rsidRPr="00FA5477">
        <w:rPr>
          <w:spacing w:val="1"/>
          <w:sz w:val="24"/>
        </w:rPr>
        <w:t xml:space="preserve"> </w:t>
      </w:r>
      <w:r w:rsidRPr="00FA5477">
        <w:rPr>
          <w:sz w:val="24"/>
        </w:rPr>
        <w:t>el</w:t>
      </w:r>
      <w:r w:rsidRPr="00FA5477">
        <w:rPr>
          <w:spacing w:val="1"/>
          <w:sz w:val="24"/>
        </w:rPr>
        <w:t xml:space="preserve"> </w:t>
      </w:r>
      <w:r w:rsidRPr="00FA5477">
        <w:rPr>
          <w:sz w:val="24"/>
        </w:rPr>
        <w:t>enfoque</w:t>
      </w:r>
      <w:r w:rsidRPr="00FA5477">
        <w:rPr>
          <w:spacing w:val="1"/>
          <w:sz w:val="24"/>
        </w:rPr>
        <w:t xml:space="preserve"> </w:t>
      </w:r>
      <w:r w:rsidRPr="00FA5477">
        <w:rPr>
          <w:sz w:val="24"/>
        </w:rPr>
        <w:t>de</w:t>
      </w:r>
      <w:r w:rsidRPr="00FA5477">
        <w:rPr>
          <w:spacing w:val="1"/>
          <w:sz w:val="24"/>
        </w:rPr>
        <w:t xml:space="preserve"> </w:t>
      </w:r>
      <w:r w:rsidRPr="00FA5477">
        <w:rPr>
          <w:sz w:val="24"/>
        </w:rPr>
        <w:t>las</w:t>
      </w:r>
      <w:r w:rsidRPr="00FA5477">
        <w:rPr>
          <w:spacing w:val="1"/>
          <w:sz w:val="24"/>
        </w:rPr>
        <w:t xml:space="preserve"> </w:t>
      </w:r>
      <w:r w:rsidRPr="00FA5477">
        <w:rPr>
          <w:sz w:val="24"/>
        </w:rPr>
        <w:t>inversiones</w:t>
      </w:r>
      <w:r w:rsidRPr="00FA5477">
        <w:rPr>
          <w:spacing w:val="1"/>
          <w:sz w:val="24"/>
        </w:rPr>
        <w:t xml:space="preserve"> </w:t>
      </w:r>
      <w:r w:rsidRPr="00FA5477">
        <w:rPr>
          <w:sz w:val="24"/>
        </w:rPr>
        <w:t>nacionales</w:t>
      </w:r>
      <w:r w:rsidRPr="00FA5477">
        <w:rPr>
          <w:spacing w:val="1"/>
          <w:sz w:val="24"/>
        </w:rPr>
        <w:t xml:space="preserve"> </w:t>
      </w:r>
      <w:r w:rsidRPr="00FA5477">
        <w:rPr>
          <w:sz w:val="24"/>
        </w:rPr>
        <w:t>adicionales</w:t>
      </w:r>
      <w:r w:rsidRPr="00FA5477">
        <w:rPr>
          <w:spacing w:val="1"/>
          <w:sz w:val="24"/>
        </w:rPr>
        <w:t xml:space="preserve"> </w:t>
      </w:r>
      <w:r w:rsidRPr="00FA5477">
        <w:rPr>
          <w:sz w:val="24"/>
        </w:rPr>
        <w:t>en</w:t>
      </w:r>
      <w:r w:rsidRPr="00FA5477">
        <w:rPr>
          <w:spacing w:val="1"/>
          <w:sz w:val="24"/>
        </w:rPr>
        <w:t xml:space="preserve"> </w:t>
      </w:r>
      <w:r w:rsidRPr="00FA5477">
        <w:rPr>
          <w:sz w:val="24"/>
        </w:rPr>
        <w:t>áreas</w:t>
      </w:r>
      <w:r w:rsidRPr="00FA5477">
        <w:rPr>
          <w:spacing w:val="1"/>
          <w:sz w:val="24"/>
        </w:rPr>
        <w:t xml:space="preserve"> </w:t>
      </w:r>
      <w:r w:rsidRPr="00FA5477">
        <w:rPr>
          <w:sz w:val="24"/>
        </w:rPr>
        <w:t>programáticas</w:t>
      </w:r>
      <w:r w:rsidRPr="00FA5477">
        <w:rPr>
          <w:spacing w:val="-10"/>
          <w:sz w:val="24"/>
        </w:rPr>
        <w:t xml:space="preserve"> </w:t>
      </w:r>
      <w:r w:rsidRPr="00FA5477">
        <w:rPr>
          <w:sz w:val="24"/>
        </w:rPr>
        <w:t>específicas.</w:t>
      </w:r>
      <w:r w:rsidRPr="00FA5477">
        <w:rPr>
          <w:spacing w:val="-7"/>
          <w:sz w:val="24"/>
        </w:rPr>
        <w:t xml:space="preserve"> </w:t>
      </w:r>
      <w:r w:rsidRPr="00FA5477">
        <w:rPr>
          <w:sz w:val="24"/>
        </w:rPr>
        <w:t>Describa</w:t>
      </w:r>
      <w:r w:rsidRPr="00FA5477">
        <w:rPr>
          <w:spacing w:val="-8"/>
          <w:sz w:val="24"/>
        </w:rPr>
        <w:t xml:space="preserve"> </w:t>
      </w:r>
      <w:r w:rsidRPr="00FA5477">
        <w:rPr>
          <w:sz w:val="24"/>
        </w:rPr>
        <w:t>las</w:t>
      </w:r>
      <w:r w:rsidRPr="00FA5477">
        <w:rPr>
          <w:spacing w:val="-10"/>
          <w:sz w:val="24"/>
        </w:rPr>
        <w:t xml:space="preserve"> </w:t>
      </w:r>
      <w:r w:rsidRPr="00FA5477">
        <w:rPr>
          <w:sz w:val="24"/>
        </w:rPr>
        <w:t>medidas</w:t>
      </w:r>
      <w:r w:rsidRPr="00FA5477">
        <w:rPr>
          <w:spacing w:val="-10"/>
          <w:sz w:val="24"/>
        </w:rPr>
        <w:t xml:space="preserve"> </w:t>
      </w:r>
      <w:r w:rsidRPr="00FA5477">
        <w:rPr>
          <w:sz w:val="24"/>
        </w:rPr>
        <w:t>previstas</w:t>
      </w:r>
      <w:r w:rsidRPr="00FA5477">
        <w:rPr>
          <w:spacing w:val="-9"/>
          <w:sz w:val="24"/>
        </w:rPr>
        <w:t xml:space="preserve"> </w:t>
      </w:r>
      <w:r w:rsidRPr="00FA5477">
        <w:rPr>
          <w:sz w:val="24"/>
        </w:rPr>
        <w:t>para</w:t>
      </w:r>
      <w:r w:rsidRPr="00FA5477">
        <w:rPr>
          <w:spacing w:val="-10"/>
          <w:sz w:val="24"/>
        </w:rPr>
        <w:t xml:space="preserve"> </w:t>
      </w:r>
      <w:r w:rsidRPr="00FA5477">
        <w:rPr>
          <w:sz w:val="24"/>
        </w:rPr>
        <w:t>subsanar</w:t>
      </w:r>
      <w:r w:rsidRPr="00FA5477">
        <w:rPr>
          <w:spacing w:val="-10"/>
          <w:sz w:val="24"/>
        </w:rPr>
        <w:t xml:space="preserve"> </w:t>
      </w:r>
      <w:r w:rsidRPr="00FA5477">
        <w:rPr>
          <w:sz w:val="24"/>
        </w:rPr>
        <w:t>los</w:t>
      </w:r>
      <w:r w:rsidRPr="00FA5477">
        <w:rPr>
          <w:spacing w:val="-10"/>
          <w:sz w:val="24"/>
        </w:rPr>
        <w:t xml:space="preserve"> </w:t>
      </w:r>
      <w:r w:rsidRPr="00FA5477">
        <w:rPr>
          <w:sz w:val="24"/>
        </w:rPr>
        <w:t>déficits</w:t>
      </w:r>
      <w:r w:rsidRPr="00FA5477">
        <w:rPr>
          <w:spacing w:val="-9"/>
          <w:sz w:val="24"/>
        </w:rPr>
        <w:t xml:space="preserve"> </w:t>
      </w:r>
      <w:r w:rsidRPr="00FA5477">
        <w:rPr>
          <w:sz w:val="24"/>
        </w:rPr>
        <w:t>de</w:t>
      </w:r>
      <w:r w:rsidRPr="00FA5477">
        <w:rPr>
          <w:spacing w:val="-65"/>
          <w:sz w:val="24"/>
        </w:rPr>
        <w:t xml:space="preserve"> </w:t>
      </w:r>
      <w:r w:rsidRPr="00FA5477">
        <w:rPr>
          <w:sz w:val="24"/>
        </w:rPr>
        <w:t>financiamiento restantes con recursos nacionales o de otro tipo. Describa cómo se</w:t>
      </w:r>
      <w:r w:rsidRPr="00FA5477">
        <w:rPr>
          <w:spacing w:val="1"/>
          <w:sz w:val="24"/>
        </w:rPr>
        <w:t xml:space="preserve"> </w:t>
      </w:r>
      <w:r w:rsidRPr="00FA5477">
        <w:rPr>
          <w:sz w:val="24"/>
        </w:rPr>
        <w:t>realizará el seguimiento de los compromisos de cofinanciamiento y se informará sobre</w:t>
      </w:r>
      <w:r w:rsidRPr="00FA5477">
        <w:rPr>
          <w:spacing w:val="1"/>
          <w:sz w:val="24"/>
        </w:rPr>
        <w:t xml:space="preserve"> </w:t>
      </w:r>
      <w:r w:rsidRPr="00FA5477">
        <w:rPr>
          <w:sz w:val="24"/>
        </w:rPr>
        <w:t>ellos.</w:t>
      </w:r>
      <w:r w:rsidR="0081691F" w:rsidRPr="00FA5477">
        <w:rPr>
          <w:sz w:val="24"/>
        </w:rPr>
        <w:t xml:space="preserve"> </w:t>
      </w:r>
    </w:p>
    <w:p w14:paraId="15998AE9" w14:textId="64609915" w:rsidR="00D9691F" w:rsidRPr="00FA5477" w:rsidRDefault="00D9691F" w:rsidP="00D9691F">
      <w:pPr>
        <w:tabs>
          <w:tab w:val="left" w:pos="1033"/>
        </w:tabs>
        <w:spacing w:before="121" w:line="264" w:lineRule="auto"/>
        <w:ind w:left="583" w:right="149"/>
        <w:jc w:val="both"/>
        <w:rPr>
          <w:sz w:val="24"/>
        </w:rPr>
      </w:pPr>
      <w:r w:rsidRPr="00FA5477">
        <w:rPr>
          <w:sz w:val="24"/>
        </w:rPr>
        <w:t>Para dar cumplimiento al P</w:t>
      </w:r>
      <w:r w:rsidR="00E172B3" w:rsidRPr="00FA5477">
        <w:rPr>
          <w:sz w:val="24"/>
        </w:rPr>
        <w:t>ENM-</w:t>
      </w:r>
      <w:r w:rsidRPr="00FA5477">
        <w:rPr>
          <w:sz w:val="24"/>
        </w:rPr>
        <w:t>VIH en sus objetivos estratégicos y fortalecer la respuesta nacional al VIH para el alcance de las metas 95</w:t>
      </w:r>
      <w:r w:rsidR="00E172B3" w:rsidRPr="00FA5477">
        <w:rPr>
          <w:sz w:val="24"/>
        </w:rPr>
        <w:t xml:space="preserve"> </w:t>
      </w:r>
      <w:r w:rsidRPr="00FA5477">
        <w:rPr>
          <w:sz w:val="24"/>
        </w:rPr>
        <w:t>95</w:t>
      </w:r>
      <w:r w:rsidR="00E172B3" w:rsidRPr="00FA5477">
        <w:rPr>
          <w:sz w:val="24"/>
        </w:rPr>
        <w:t xml:space="preserve"> </w:t>
      </w:r>
      <w:r w:rsidRPr="00FA5477">
        <w:rPr>
          <w:sz w:val="24"/>
        </w:rPr>
        <w:t>95 para 2030, el M</w:t>
      </w:r>
      <w:r w:rsidR="00E172B3" w:rsidRPr="00FA5477">
        <w:rPr>
          <w:sz w:val="24"/>
        </w:rPr>
        <w:t xml:space="preserve">INSAL </w:t>
      </w:r>
      <w:r w:rsidRPr="00FA5477">
        <w:rPr>
          <w:sz w:val="24"/>
        </w:rPr>
        <w:t>con fondos nacionales se compromete a gestionar fondos adicionales para ampliar las estrategias de prevención combinada en la prevención de nuevos casos de VIH en toda la población salvadoreña, por el personal de salud comunitaria del MINSAL y de establecimientos del primer nivel de atención incluyendo la oferta de autopruebas y que las personas diagnosticadas se vinculen a las clínicas de  atención integral para el inicio rápido de la terapia antirretroviral así como mantener la adherencia de las personas con VIH tanto caso nuevos como antiguos, además se ampliará la oferta de servicios de atención integral a los 31 hospitales de la red pública nacional con el objeto de acercar el tratamiento a las personas con VIH, cubriendo las plantillas del personal con fondos propios del Ministerio de Salud así como la adquisición de medicamentos antirretrovirales, pruebas diagnósticas y de seguimiento con el objeto de que las  personas con VIH tengan buenas condiciones de salud.</w:t>
      </w:r>
    </w:p>
    <w:p w14:paraId="3E72BB07" w14:textId="41A831E8" w:rsidR="00D9691F" w:rsidRPr="00FA5477" w:rsidRDefault="00D9691F" w:rsidP="00D9691F">
      <w:pPr>
        <w:tabs>
          <w:tab w:val="left" w:pos="1033"/>
        </w:tabs>
        <w:spacing w:before="121" w:line="264" w:lineRule="auto"/>
        <w:ind w:left="583" w:right="149"/>
        <w:jc w:val="both"/>
        <w:rPr>
          <w:sz w:val="24"/>
        </w:rPr>
      </w:pPr>
      <w:r w:rsidRPr="00FA5477">
        <w:rPr>
          <w:sz w:val="24"/>
        </w:rPr>
        <w:t xml:space="preserve">Dado que </w:t>
      </w:r>
      <w:r w:rsidR="00E172B3" w:rsidRPr="00FA5477">
        <w:rPr>
          <w:sz w:val="24"/>
        </w:rPr>
        <w:t xml:space="preserve">el </w:t>
      </w:r>
      <w:r w:rsidRPr="00FA5477">
        <w:rPr>
          <w:sz w:val="24"/>
        </w:rPr>
        <w:t>MEGAS</w:t>
      </w:r>
      <w:r w:rsidR="00E172B3" w:rsidRPr="00FA5477">
        <w:rPr>
          <w:sz w:val="24"/>
        </w:rPr>
        <w:t xml:space="preserve"> </w:t>
      </w:r>
      <w:r w:rsidRPr="00FA5477">
        <w:rPr>
          <w:sz w:val="24"/>
        </w:rPr>
        <w:t>se realiza anualmente por personal de la Unidad del Programa de ITS/VIH y se brinda asistencia técnica a todos los sectores que contribuyen a la respuesta nacional al VIH para el registro de la información, los reportes anuales permiten ver la evolución de la inversión tanto pública como de la cooperación y sector privado, para verificar el cumplimiento de los compromisos adquiridos.</w:t>
      </w:r>
    </w:p>
    <w:p w14:paraId="523B4CEA" w14:textId="527DD6BB" w:rsidR="00702C2A" w:rsidRPr="00FA5477" w:rsidRDefault="00D9691F" w:rsidP="00D9691F">
      <w:pPr>
        <w:tabs>
          <w:tab w:val="left" w:pos="1033"/>
        </w:tabs>
        <w:spacing w:before="121" w:line="264" w:lineRule="auto"/>
        <w:ind w:left="583" w:right="149"/>
        <w:jc w:val="both"/>
        <w:rPr>
          <w:sz w:val="24"/>
        </w:rPr>
      </w:pPr>
      <w:r w:rsidRPr="00FA5477">
        <w:rPr>
          <w:sz w:val="24"/>
        </w:rPr>
        <w:t>Los indicadores sujetos a desembolso requieren un seguimiento permanente por lo que se realizará a través de los sistemas de información un monitoreo continuo para cumplir con los compromisos de la presente subvención; las acciones planificadas y priorizadas en la presente subvención será una prioridad y se buscaran mecanismo que logren cubrir los déficits de financiamiento si existiesen.</w:t>
      </w:r>
    </w:p>
    <w:p w14:paraId="24BB9FAB" w14:textId="15CEA4A4" w:rsidR="00470062" w:rsidRPr="00FA5477" w:rsidRDefault="008B2B26" w:rsidP="00470062">
      <w:pPr>
        <w:pStyle w:val="Prrafodelista"/>
        <w:numPr>
          <w:ilvl w:val="2"/>
          <w:numId w:val="2"/>
        </w:numPr>
        <w:tabs>
          <w:tab w:val="left" w:pos="1033"/>
        </w:tabs>
        <w:spacing w:before="199" w:line="264" w:lineRule="auto"/>
        <w:ind w:right="149"/>
        <w:rPr>
          <w:sz w:val="24"/>
        </w:rPr>
      </w:pPr>
      <w:r w:rsidRPr="00FA5477">
        <w:rPr>
          <w:color w:val="A6A6A6" w:themeColor="background1" w:themeShade="A6"/>
          <w:sz w:val="24"/>
        </w:rPr>
        <w:t>Si procede, describa los acuerdos y modalidades específicos relacionados con los</w:t>
      </w:r>
      <w:r w:rsidRPr="00FA5477">
        <w:rPr>
          <w:color w:val="A6A6A6" w:themeColor="background1" w:themeShade="A6"/>
          <w:spacing w:val="1"/>
          <w:sz w:val="24"/>
        </w:rPr>
        <w:t xml:space="preserve"> </w:t>
      </w:r>
      <w:r w:rsidRPr="00FA5477">
        <w:rPr>
          <w:color w:val="A6A6A6" w:themeColor="background1" w:themeShade="A6"/>
          <w:sz w:val="24"/>
        </w:rPr>
        <w:t>enfoques</w:t>
      </w:r>
      <w:r w:rsidRPr="00FA5477">
        <w:rPr>
          <w:color w:val="A6A6A6" w:themeColor="background1" w:themeShade="A6"/>
          <w:spacing w:val="-1"/>
          <w:sz w:val="24"/>
        </w:rPr>
        <w:t xml:space="preserve"> </w:t>
      </w:r>
      <w:r w:rsidRPr="00FA5477">
        <w:rPr>
          <w:color w:val="A6A6A6" w:themeColor="background1" w:themeShade="A6"/>
          <w:sz w:val="24"/>
        </w:rPr>
        <w:t>de</w:t>
      </w:r>
      <w:r w:rsidRPr="00FA5477">
        <w:rPr>
          <w:color w:val="A6A6A6" w:themeColor="background1" w:themeShade="A6"/>
          <w:spacing w:val="1"/>
          <w:sz w:val="24"/>
        </w:rPr>
        <w:t xml:space="preserve"> </w:t>
      </w:r>
      <w:r w:rsidRPr="00FA5477">
        <w:rPr>
          <w:color w:val="A6A6A6" w:themeColor="background1" w:themeShade="A6"/>
          <w:sz w:val="24"/>
        </w:rPr>
        <w:t>financiamiento</w:t>
      </w:r>
      <w:r w:rsidRPr="00FA5477">
        <w:rPr>
          <w:color w:val="A6A6A6" w:themeColor="background1" w:themeShade="A6"/>
          <w:spacing w:val="1"/>
          <w:sz w:val="24"/>
        </w:rPr>
        <w:t xml:space="preserve"> </w:t>
      </w:r>
      <w:r w:rsidRPr="00FA5477">
        <w:rPr>
          <w:color w:val="A6A6A6" w:themeColor="background1" w:themeShade="A6"/>
          <w:sz w:val="24"/>
        </w:rPr>
        <w:t>innovador</w:t>
      </w:r>
      <w:r w:rsidRPr="00FA5477">
        <w:rPr>
          <w:color w:val="A6A6A6" w:themeColor="background1" w:themeShade="A6"/>
          <w:spacing w:val="2"/>
          <w:sz w:val="24"/>
        </w:rPr>
        <w:t xml:space="preserve"> </w:t>
      </w:r>
      <w:r w:rsidRPr="00FA5477">
        <w:rPr>
          <w:color w:val="A6A6A6" w:themeColor="background1" w:themeShade="A6"/>
          <w:sz w:val="24"/>
        </w:rPr>
        <w:t>vinculados</w:t>
      </w:r>
      <w:r w:rsidRPr="00FA5477">
        <w:rPr>
          <w:color w:val="A6A6A6" w:themeColor="background1" w:themeShade="A6"/>
          <w:spacing w:val="-1"/>
          <w:sz w:val="24"/>
        </w:rPr>
        <w:t xml:space="preserve"> </w:t>
      </w:r>
      <w:r w:rsidRPr="00FA5477">
        <w:rPr>
          <w:color w:val="A6A6A6" w:themeColor="background1" w:themeShade="A6"/>
          <w:sz w:val="24"/>
        </w:rPr>
        <w:t>a</w:t>
      </w:r>
      <w:r w:rsidRPr="00FA5477">
        <w:rPr>
          <w:color w:val="A6A6A6" w:themeColor="background1" w:themeShade="A6"/>
          <w:spacing w:val="1"/>
          <w:sz w:val="24"/>
        </w:rPr>
        <w:t xml:space="preserve"> </w:t>
      </w:r>
      <w:r w:rsidRPr="00FA5477">
        <w:rPr>
          <w:color w:val="A6A6A6" w:themeColor="background1" w:themeShade="A6"/>
          <w:sz w:val="24"/>
        </w:rPr>
        <w:t>esta</w:t>
      </w:r>
      <w:r w:rsidRPr="00FA5477">
        <w:rPr>
          <w:color w:val="A6A6A6" w:themeColor="background1" w:themeShade="A6"/>
          <w:spacing w:val="2"/>
          <w:sz w:val="24"/>
        </w:rPr>
        <w:t xml:space="preserve"> </w:t>
      </w:r>
      <w:r w:rsidRPr="00FA5477">
        <w:rPr>
          <w:color w:val="A6A6A6" w:themeColor="background1" w:themeShade="A6"/>
          <w:sz w:val="24"/>
        </w:rPr>
        <w:t>solicitud</w:t>
      </w:r>
      <w:r w:rsidRPr="00FA5477">
        <w:rPr>
          <w:color w:val="A6A6A6" w:themeColor="background1" w:themeShade="A6"/>
          <w:spacing w:val="1"/>
          <w:sz w:val="24"/>
        </w:rPr>
        <w:t xml:space="preserve"> </w:t>
      </w:r>
      <w:r w:rsidRPr="00FA5477">
        <w:rPr>
          <w:color w:val="A6A6A6" w:themeColor="background1" w:themeShade="A6"/>
          <w:sz w:val="24"/>
        </w:rPr>
        <w:t>de</w:t>
      </w:r>
      <w:r w:rsidRPr="00FA5477">
        <w:rPr>
          <w:color w:val="A6A6A6" w:themeColor="background1" w:themeShade="A6"/>
          <w:spacing w:val="2"/>
          <w:sz w:val="24"/>
        </w:rPr>
        <w:t xml:space="preserve"> </w:t>
      </w:r>
      <w:r w:rsidRPr="00FA5477">
        <w:rPr>
          <w:color w:val="A6A6A6" w:themeColor="background1" w:themeShade="A6"/>
          <w:sz w:val="24"/>
        </w:rPr>
        <w:t>financiamiento</w:t>
      </w:r>
      <w:r w:rsidRPr="00FA5477">
        <w:rPr>
          <w:color w:val="A6A6A6" w:themeColor="background1" w:themeShade="A6"/>
          <w:spacing w:val="1"/>
          <w:sz w:val="24"/>
        </w:rPr>
        <w:t xml:space="preserve"> </w:t>
      </w:r>
      <w:r w:rsidRPr="00FA5477">
        <w:rPr>
          <w:color w:val="A6A6A6" w:themeColor="background1" w:themeShade="A6"/>
          <w:sz w:val="24"/>
        </w:rPr>
        <w:t>o</w:t>
      </w:r>
      <w:r w:rsidRPr="00FA5477">
        <w:rPr>
          <w:color w:val="A6A6A6" w:themeColor="background1" w:themeShade="A6"/>
          <w:spacing w:val="1"/>
          <w:sz w:val="24"/>
        </w:rPr>
        <w:t xml:space="preserve"> </w:t>
      </w:r>
      <w:r w:rsidRPr="00FA5477">
        <w:rPr>
          <w:color w:val="A6A6A6" w:themeColor="background1" w:themeShade="A6"/>
          <w:sz w:val="24"/>
        </w:rPr>
        <w:t>a</w:t>
      </w:r>
      <w:r w:rsidR="00382598" w:rsidRPr="00FA5477">
        <w:rPr>
          <w:color w:val="A6A6A6" w:themeColor="background1" w:themeShade="A6"/>
          <w:sz w:val="24"/>
        </w:rPr>
        <w:t xml:space="preserve"> </w:t>
      </w:r>
      <w:r w:rsidR="00382598" w:rsidRPr="00FA5477">
        <w:rPr>
          <w:color w:val="A6A6A6" w:themeColor="background1" w:themeShade="A6"/>
        </w:rPr>
        <w:t>las</w:t>
      </w:r>
      <w:r w:rsidR="00382598" w:rsidRPr="00FA5477">
        <w:rPr>
          <w:color w:val="A6A6A6" w:themeColor="background1" w:themeShade="A6"/>
          <w:spacing w:val="26"/>
        </w:rPr>
        <w:t xml:space="preserve"> </w:t>
      </w:r>
      <w:r w:rsidR="00382598" w:rsidRPr="00FA5477">
        <w:rPr>
          <w:color w:val="A6A6A6" w:themeColor="background1" w:themeShade="A6"/>
        </w:rPr>
        <w:t>respuestas</w:t>
      </w:r>
      <w:r w:rsidR="00382598" w:rsidRPr="00FA5477">
        <w:rPr>
          <w:color w:val="A6A6A6" w:themeColor="background1" w:themeShade="A6"/>
          <w:spacing w:val="27"/>
        </w:rPr>
        <w:t xml:space="preserve"> </w:t>
      </w:r>
      <w:r w:rsidR="00382598" w:rsidRPr="00FA5477">
        <w:rPr>
          <w:color w:val="A6A6A6" w:themeColor="background1" w:themeShade="A6"/>
        </w:rPr>
        <w:t>nacionales,</w:t>
      </w:r>
      <w:r w:rsidR="00382598" w:rsidRPr="00FA5477">
        <w:rPr>
          <w:color w:val="A6A6A6" w:themeColor="background1" w:themeShade="A6"/>
          <w:spacing w:val="30"/>
        </w:rPr>
        <w:t xml:space="preserve"> </w:t>
      </w:r>
      <w:r w:rsidR="00382598" w:rsidRPr="00FA5477">
        <w:rPr>
          <w:color w:val="A6A6A6" w:themeColor="background1" w:themeShade="A6"/>
        </w:rPr>
        <w:t>con</w:t>
      </w:r>
      <w:r w:rsidR="00382598" w:rsidRPr="00FA5477">
        <w:rPr>
          <w:color w:val="A6A6A6" w:themeColor="background1" w:themeShade="A6"/>
          <w:spacing w:val="25"/>
        </w:rPr>
        <w:t xml:space="preserve"> </w:t>
      </w:r>
      <w:r w:rsidR="00382598" w:rsidRPr="00FA5477">
        <w:rPr>
          <w:color w:val="A6A6A6" w:themeColor="background1" w:themeShade="A6"/>
        </w:rPr>
        <w:t>un</w:t>
      </w:r>
      <w:r w:rsidR="00382598" w:rsidRPr="00FA5477">
        <w:rPr>
          <w:color w:val="A6A6A6" w:themeColor="background1" w:themeShade="A6"/>
          <w:spacing w:val="27"/>
        </w:rPr>
        <w:t xml:space="preserve"> </w:t>
      </w:r>
      <w:r w:rsidR="00382598" w:rsidRPr="00FA5477">
        <w:rPr>
          <w:color w:val="A6A6A6" w:themeColor="background1" w:themeShade="A6"/>
        </w:rPr>
        <w:t>enfoque</w:t>
      </w:r>
      <w:r w:rsidR="00382598" w:rsidRPr="00FA5477">
        <w:rPr>
          <w:color w:val="A6A6A6" w:themeColor="background1" w:themeShade="A6"/>
          <w:spacing w:val="25"/>
        </w:rPr>
        <w:t xml:space="preserve"> </w:t>
      </w:r>
      <w:r w:rsidR="00382598" w:rsidRPr="00FA5477">
        <w:rPr>
          <w:color w:val="A6A6A6" w:themeColor="background1" w:themeShade="A6"/>
        </w:rPr>
        <w:t>específico</w:t>
      </w:r>
      <w:r w:rsidR="00382598" w:rsidRPr="00FA5477">
        <w:rPr>
          <w:color w:val="A6A6A6" w:themeColor="background1" w:themeShade="A6"/>
          <w:spacing w:val="27"/>
        </w:rPr>
        <w:t xml:space="preserve"> </w:t>
      </w:r>
      <w:r w:rsidR="00382598" w:rsidRPr="00FA5477">
        <w:rPr>
          <w:color w:val="A6A6A6" w:themeColor="background1" w:themeShade="A6"/>
        </w:rPr>
        <w:t>en</w:t>
      </w:r>
      <w:r w:rsidR="00382598" w:rsidRPr="00FA5477">
        <w:rPr>
          <w:color w:val="A6A6A6" w:themeColor="background1" w:themeShade="A6"/>
          <w:spacing w:val="25"/>
        </w:rPr>
        <w:t xml:space="preserve"> </w:t>
      </w:r>
      <w:r w:rsidR="00382598" w:rsidRPr="00FA5477">
        <w:rPr>
          <w:color w:val="A6A6A6" w:themeColor="background1" w:themeShade="A6"/>
        </w:rPr>
        <w:t>el</w:t>
      </w:r>
      <w:r w:rsidR="00382598" w:rsidRPr="00FA5477">
        <w:rPr>
          <w:color w:val="A6A6A6" w:themeColor="background1" w:themeShade="A6"/>
          <w:spacing w:val="26"/>
        </w:rPr>
        <w:t xml:space="preserve"> </w:t>
      </w:r>
      <w:r w:rsidR="00382598" w:rsidRPr="00FA5477">
        <w:rPr>
          <w:color w:val="A6A6A6" w:themeColor="background1" w:themeShade="A6"/>
        </w:rPr>
        <w:t>financiamiento</w:t>
      </w:r>
      <w:r w:rsidR="00382598" w:rsidRPr="00FA5477">
        <w:rPr>
          <w:color w:val="A6A6A6" w:themeColor="background1" w:themeShade="A6"/>
          <w:spacing w:val="25"/>
        </w:rPr>
        <w:t xml:space="preserve"> </w:t>
      </w:r>
      <w:r w:rsidR="00382598" w:rsidRPr="00FA5477">
        <w:rPr>
          <w:color w:val="A6A6A6" w:themeColor="background1" w:themeShade="A6"/>
        </w:rPr>
        <w:t>mixto,</w:t>
      </w:r>
      <w:r w:rsidR="00382598" w:rsidRPr="00FA5477">
        <w:rPr>
          <w:color w:val="A6A6A6" w:themeColor="background1" w:themeShade="A6"/>
          <w:spacing w:val="26"/>
        </w:rPr>
        <w:t xml:space="preserve"> </w:t>
      </w:r>
      <w:r w:rsidR="00382598" w:rsidRPr="00FA5477">
        <w:rPr>
          <w:color w:val="A6A6A6" w:themeColor="background1" w:themeShade="A6"/>
        </w:rPr>
        <w:t>las</w:t>
      </w:r>
      <w:r w:rsidR="00382598" w:rsidRPr="00FA5477">
        <w:rPr>
          <w:color w:val="A6A6A6" w:themeColor="background1" w:themeShade="A6"/>
          <w:spacing w:val="-63"/>
        </w:rPr>
        <w:t xml:space="preserve"> </w:t>
      </w:r>
      <w:r w:rsidR="00382598" w:rsidRPr="00FA5477">
        <w:rPr>
          <w:color w:val="A6A6A6" w:themeColor="background1" w:themeShade="A6"/>
        </w:rPr>
        <w:t>inversiones</w:t>
      </w:r>
      <w:r w:rsidR="00382598" w:rsidRPr="00FA5477">
        <w:rPr>
          <w:color w:val="A6A6A6" w:themeColor="background1" w:themeShade="A6"/>
          <w:spacing w:val="-1"/>
        </w:rPr>
        <w:t xml:space="preserve"> </w:t>
      </w:r>
      <w:r w:rsidR="00382598" w:rsidRPr="00FA5477">
        <w:rPr>
          <w:color w:val="A6A6A6" w:themeColor="background1" w:themeShade="A6"/>
        </w:rPr>
        <w:t>conjuntas</w:t>
      </w:r>
      <w:r w:rsidR="00382598" w:rsidRPr="00FA5477">
        <w:rPr>
          <w:color w:val="A6A6A6" w:themeColor="background1" w:themeShade="A6"/>
          <w:spacing w:val="-2"/>
        </w:rPr>
        <w:t xml:space="preserve"> </w:t>
      </w:r>
      <w:r w:rsidR="00382598" w:rsidRPr="00FA5477">
        <w:rPr>
          <w:color w:val="A6A6A6" w:themeColor="background1" w:themeShade="A6"/>
        </w:rPr>
        <w:t>y</w:t>
      </w:r>
      <w:r w:rsidR="00382598" w:rsidRPr="00FA5477">
        <w:rPr>
          <w:color w:val="A6A6A6" w:themeColor="background1" w:themeShade="A6"/>
          <w:spacing w:val="2"/>
        </w:rPr>
        <w:t xml:space="preserve"> </w:t>
      </w:r>
      <w:r w:rsidR="00382598" w:rsidRPr="00FA5477">
        <w:rPr>
          <w:color w:val="A6A6A6" w:themeColor="background1" w:themeShade="A6"/>
        </w:rPr>
        <w:t>la</w:t>
      </w:r>
      <w:r w:rsidR="00382598" w:rsidRPr="00FA5477">
        <w:rPr>
          <w:color w:val="A6A6A6" w:themeColor="background1" w:themeShade="A6"/>
          <w:spacing w:val="-1"/>
        </w:rPr>
        <w:t xml:space="preserve"> </w:t>
      </w:r>
      <w:r w:rsidR="00382598" w:rsidRPr="00FA5477">
        <w:rPr>
          <w:color w:val="A6A6A6" w:themeColor="background1" w:themeShade="A6"/>
        </w:rPr>
        <w:t>Iniciativa</w:t>
      </w:r>
      <w:r w:rsidR="00382598" w:rsidRPr="00FA5477">
        <w:rPr>
          <w:color w:val="A6A6A6" w:themeColor="background1" w:themeShade="A6"/>
          <w:spacing w:val="-2"/>
        </w:rPr>
        <w:t xml:space="preserve"> </w:t>
      </w:r>
      <w:r w:rsidR="00382598" w:rsidRPr="00FA5477">
        <w:rPr>
          <w:color w:val="A6A6A6" w:themeColor="background1" w:themeShade="A6"/>
        </w:rPr>
        <w:t>Debt2Health.</w:t>
      </w:r>
      <w:r w:rsidR="0081691F" w:rsidRPr="00FA5477">
        <w:rPr>
          <w:color w:val="A6A6A6" w:themeColor="background1" w:themeShade="A6"/>
        </w:rPr>
        <w:t xml:space="preserve"> </w:t>
      </w:r>
      <w:r w:rsidR="00BD3287" w:rsidRPr="00FA5477">
        <w:rPr>
          <w:sz w:val="24"/>
        </w:rPr>
        <w:t>[</w:t>
      </w:r>
      <w:r w:rsidR="00432FA6" w:rsidRPr="00FA5477">
        <w:rPr>
          <w:sz w:val="24"/>
        </w:rPr>
        <w:t>No aplica</w:t>
      </w:r>
      <w:r w:rsidR="00BD3287" w:rsidRPr="00FA5477">
        <w:rPr>
          <w:sz w:val="24"/>
        </w:rPr>
        <w:t>]</w:t>
      </w:r>
    </w:p>
    <w:p w14:paraId="00D42B64" w14:textId="1F1A09C3" w:rsidR="000F3D1A" w:rsidRPr="00FA5477" w:rsidRDefault="008B2B26">
      <w:pPr>
        <w:pStyle w:val="Ttulo2"/>
      </w:pPr>
      <w:r w:rsidRPr="00FA5477">
        <w:t>Sección</w:t>
      </w:r>
      <w:r w:rsidRPr="00FA5477">
        <w:rPr>
          <w:spacing w:val="-3"/>
        </w:rPr>
        <w:t xml:space="preserve"> </w:t>
      </w:r>
      <w:r w:rsidRPr="00FA5477">
        <w:t>3.</w:t>
      </w:r>
      <w:r w:rsidRPr="00FA5477">
        <w:rPr>
          <w:spacing w:val="-3"/>
        </w:rPr>
        <w:t xml:space="preserve"> </w:t>
      </w:r>
      <w:r w:rsidRPr="00FA5477">
        <w:t>Ejecución</w:t>
      </w:r>
    </w:p>
    <w:p w14:paraId="6D94DD02" w14:textId="172066A3" w:rsidR="000F3D1A" w:rsidRPr="00FA5477" w:rsidRDefault="008B2B26">
      <w:pPr>
        <w:pStyle w:val="Prrafodelista"/>
        <w:numPr>
          <w:ilvl w:val="1"/>
          <w:numId w:val="1"/>
        </w:numPr>
        <w:tabs>
          <w:tab w:val="left" w:pos="939"/>
        </w:tabs>
        <w:spacing w:before="0" w:line="264" w:lineRule="auto"/>
        <w:ind w:right="150"/>
        <w:rPr>
          <w:sz w:val="24"/>
        </w:rPr>
      </w:pPr>
      <w:r w:rsidRPr="00FA5477">
        <w:rPr>
          <w:rFonts w:ascii="Arial" w:hAnsi="Arial"/>
          <w:b/>
          <w:sz w:val="24"/>
        </w:rPr>
        <w:t>Acuerdos</w:t>
      </w:r>
      <w:r w:rsidRPr="00FA5477">
        <w:rPr>
          <w:rFonts w:ascii="Arial" w:hAnsi="Arial"/>
          <w:b/>
          <w:spacing w:val="1"/>
          <w:sz w:val="24"/>
        </w:rPr>
        <w:t xml:space="preserve"> </w:t>
      </w:r>
      <w:r w:rsidRPr="00FA5477">
        <w:rPr>
          <w:rFonts w:ascii="Arial" w:hAnsi="Arial"/>
          <w:b/>
          <w:sz w:val="24"/>
        </w:rPr>
        <w:t>de</w:t>
      </w:r>
      <w:r w:rsidRPr="00FA5477">
        <w:rPr>
          <w:rFonts w:ascii="Arial" w:hAnsi="Arial"/>
          <w:b/>
          <w:spacing w:val="1"/>
          <w:sz w:val="24"/>
        </w:rPr>
        <w:t xml:space="preserve"> </w:t>
      </w:r>
      <w:r w:rsidRPr="00FA5477">
        <w:rPr>
          <w:rFonts w:ascii="Arial" w:hAnsi="Arial"/>
          <w:b/>
          <w:sz w:val="24"/>
        </w:rPr>
        <w:t>ejecución</w:t>
      </w:r>
      <w:r w:rsidRPr="00FA5477">
        <w:rPr>
          <w:sz w:val="24"/>
        </w:rPr>
        <w:t>:</w:t>
      </w:r>
      <w:r w:rsidRPr="00FA5477">
        <w:rPr>
          <w:spacing w:val="1"/>
          <w:sz w:val="24"/>
        </w:rPr>
        <w:t xml:space="preserve"> </w:t>
      </w:r>
      <w:r w:rsidRPr="00FA5477">
        <w:rPr>
          <w:sz w:val="24"/>
        </w:rPr>
        <w:t>describa</w:t>
      </w:r>
      <w:r w:rsidRPr="00FA5477">
        <w:rPr>
          <w:spacing w:val="1"/>
          <w:sz w:val="24"/>
        </w:rPr>
        <w:t xml:space="preserve"> </w:t>
      </w:r>
      <w:r w:rsidRPr="00FA5477">
        <w:rPr>
          <w:sz w:val="24"/>
        </w:rPr>
        <w:t>los</w:t>
      </w:r>
      <w:r w:rsidRPr="00FA5477">
        <w:rPr>
          <w:spacing w:val="1"/>
          <w:sz w:val="24"/>
        </w:rPr>
        <w:t xml:space="preserve"> </w:t>
      </w:r>
      <w:r w:rsidRPr="00FA5477">
        <w:rPr>
          <w:sz w:val="24"/>
        </w:rPr>
        <w:t>cambios</w:t>
      </w:r>
      <w:r w:rsidRPr="00FA5477">
        <w:rPr>
          <w:spacing w:val="1"/>
          <w:sz w:val="24"/>
        </w:rPr>
        <w:t xml:space="preserve"> </w:t>
      </w:r>
      <w:r w:rsidRPr="00FA5477">
        <w:rPr>
          <w:sz w:val="24"/>
        </w:rPr>
        <w:t>en</w:t>
      </w:r>
      <w:r w:rsidRPr="00FA5477">
        <w:rPr>
          <w:spacing w:val="1"/>
          <w:sz w:val="24"/>
        </w:rPr>
        <w:t xml:space="preserve"> </w:t>
      </w:r>
      <w:r w:rsidRPr="00FA5477">
        <w:rPr>
          <w:sz w:val="24"/>
        </w:rPr>
        <w:t>los acuerdos</w:t>
      </w:r>
      <w:r w:rsidRPr="00FA5477">
        <w:rPr>
          <w:spacing w:val="1"/>
          <w:sz w:val="24"/>
        </w:rPr>
        <w:t xml:space="preserve"> </w:t>
      </w:r>
      <w:r w:rsidRPr="00FA5477">
        <w:rPr>
          <w:sz w:val="24"/>
        </w:rPr>
        <w:t>de</w:t>
      </w:r>
      <w:r w:rsidRPr="00FA5477">
        <w:rPr>
          <w:spacing w:val="1"/>
          <w:sz w:val="24"/>
        </w:rPr>
        <w:t xml:space="preserve"> </w:t>
      </w:r>
      <w:r w:rsidRPr="00FA5477">
        <w:rPr>
          <w:sz w:val="24"/>
        </w:rPr>
        <w:t>ejecución</w:t>
      </w:r>
      <w:r w:rsidRPr="00FA5477">
        <w:rPr>
          <w:spacing w:val="1"/>
          <w:sz w:val="24"/>
        </w:rPr>
        <w:t xml:space="preserve"> </w:t>
      </w:r>
      <w:r w:rsidRPr="00FA5477">
        <w:rPr>
          <w:sz w:val="24"/>
        </w:rPr>
        <w:t>que</w:t>
      </w:r>
      <w:r w:rsidRPr="00FA5477">
        <w:rPr>
          <w:spacing w:val="1"/>
          <w:sz w:val="24"/>
        </w:rPr>
        <w:t xml:space="preserve"> </w:t>
      </w:r>
      <w:r w:rsidRPr="00FA5477">
        <w:rPr>
          <w:sz w:val="24"/>
        </w:rPr>
        <w:t>maximizarán</w:t>
      </w:r>
      <w:r w:rsidRPr="00FA5477">
        <w:rPr>
          <w:spacing w:val="-1"/>
          <w:sz w:val="24"/>
        </w:rPr>
        <w:t xml:space="preserve"> </w:t>
      </w:r>
      <w:r w:rsidRPr="00FA5477">
        <w:rPr>
          <w:sz w:val="24"/>
        </w:rPr>
        <w:t>la</w:t>
      </w:r>
      <w:r w:rsidRPr="00FA5477">
        <w:rPr>
          <w:spacing w:val="-1"/>
          <w:sz w:val="24"/>
        </w:rPr>
        <w:t xml:space="preserve"> </w:t>
      </w:r>
      <w:r w:rsidRPr="00FA5477">
        <w:rPr>
          <w:sz w:val="24"/>
        </w:rPr>
        <w:t>eficacia de</w:t>
      </w:r>
      <w:r w:rsidRPr="00FA5477">
        <w:rPr>
          <w:spacing w:val="-3"/>
          <w:sz w:val="24"/>
        </w:rPr>
        <w:t xml:space="preserve"> </w:t>
      </w:r>
      <w:r w:rsidRPr="00FA5477">
        <w:rPr>
          <w:sz w:val="24"/>
        </w:rPr>
        <w:t>la ejecución</w:t>
      </w:r>
      <w:r w:rsidRPr="00FA5477">
        <w:rPr>
          <w:spacing w:val="-2"/>
          <w:sz w:val="24"/>
        </w:rPr>
        <w:t xml:space="preserve"> </w:t>
      </w:r>
      <w:r w:rsidRPr="00FA5477">
        <w:rPr>
          <w:sz w:val="24"/>
        </w:rPr>
        <w:t>y optimizarán</w:t>
      </w:r>
      <w:r w:rsidRPr="00FA5477">
        <w:rPr>
          <w:spacing w:val="-3"/>
          <w:sz w:val="24"/>
        </w:rPr>
        <w:t xml:space="preserve"> </w:t>
      </w:r>
      <w:r w:rsidRPr="00FA5477">
        <w:rPr>
          <w:sz w:val="24"/>
        </w:rPr>
        <w:t>la eficiencia.</w:t>
      </w:r>
      <w:r w:rsidR="0039553A" w:rsidRPr="00FA5477">
        <w:rPr>
          <w:sz w:val="24"/>
        </w:rPr>
        <w:t xml:space="preserve"> </w:t>
      </w:r>
    </w:p>
    <w:p w14:paraId="24C57159" w14:textId="77777777" w:rsidR="00A0187E" w:rsidRPr="00FA5477" w:rsidRDefault="004A51CE" w:rsidP="00710868">
      <w:pPr>
        <w:pStyle w:val="Textoindependiente"/>
        <w:spacing w:after="120" w:line="264" w:lineRule="auto"/>
        <w:ind w:left="720"/>
        <w:jc w:val="both"/>
      </w:pPr>
      <w:r w:rsidRPr="00FA5477">
        <w:t xml:space="preserve">El MCP-ES </w:t>
      </w:r>
      <w:r w:rsidR="000E2C84" w:rsidRPr="00FA5477">
        <w:t xml:space="preserve">tomó como acuerdo </w:t>
      </w:r>
      <w:r w:rsidRPr="00FA5477">
        <w:t xml:space="preserve">que la administración </w:t>
      </w:r>
      <w:r w:rsidR="000E2C84" w:rsidRPr="00FA5477">
        <w:t xml:space="preserve">de la presente subvención </w:t>
      </w:r>
      <w:r w:rsidRPr="00FA5477">
        <w:t xml:space="preserve">sería de doble vía, </w:t>
      </w:r>
      <w:r w:rsidR="007919F9" w:rsidRPr="00FA5477">
        <w:t xml:space="preserve">con dos Receptores Principales. </w:t>
      </w:r>
    </w:p>
    <w:p w14:paraId="3D56960F" w14:textId="7E1CAABE" w:rsidR="00A0187E" w:rsidRPr="00FA5477" w:rsidRDefault="007919F9" w:rsidP="00710868">
      <w:pPr>
        <w:pStyle w:val="Textoindependiente"/>
        <w:spacing w:after="120" w:line="264" w:lineRule="auto"/>
        <w:ind w:left="720"/>
        <w:jc w:val="both"/>
      </w:pPr>
      <w:r w:rsidRPr="00FA5477">
        <w:t xml:space="preserve">En la sesión realizada el 13 de julio de 2023 </w:t>
      </w:r>
      <w:r w:rsidR="00A17C60" w:rsidRPr="00FA5477">
        <w:t xml:space="preserve">-según consta en el </w:t>
      </w:r>
      <w:r w:rsidR="009F52C5" w:rsidRPr="00FA5477">
        <w:t xml:space="preserve">punto </w:t>
      </w:r>
      <w:r w:rsidR="004A51CE" w:rsidRPr="00FA5477">
        <w:t xml:space="preserve">7) </w:t>
      </w:r>
      <w:r w:rsidR="009F52C5" w:rsidRPr="00FA5477">
        <w:t>de</w:t>
      </w:r>
      <w:r w:rsidR="004A51CE" w:rsidRPr="00FA5477">
        <w:t>l acta ME06-2023</w:t>
      </w:r>
      <w:r w:rsidR="00A17C60" w:rsidRPr="00FA5477">
        <w:t xml:space="preserve"> (anexo </w:t>
      </w:r>
      <w:r w:rsidR="00245564" w:rsidRPr="00FA5477">
        <w:t>1</w:t>
      </w:r>
      <w:r w:rsidR="008F5EA6" w:rsidRPr="00FA5477">
        <w:t>9</w:t>
      </w:r>
      <w:r w:rsidR="00A17C60" w:rsidRPr="00FA5477">
        <w:t>)-,</w:t>
      </w:r>
      <w:r w:rsidR="009F52C5" w:rsidRPr="00FA5477">
        <w:t xml:space="preserve"> </w:t>
      </w:r>
      <w:r w:rsidR="004A51CE" w:rsidRPr="00FA5477">
        <w:t>se tomó como acuerdo</w:t>
      </w:r>
      <w:r w:rsidR="00710868" w:rsidRPr="00FA5477">
        <w:t xml:space="preserve"> proponer</w:t>
      </w:r>
      <w:r w:rsidR="004A51CE" w:rsidRPr="00FA5477">
        <w:t xml:space="preserve"> como Receptor Principal</w:t>
      </w:r>
      <w:r w:rsidR="00710868" w:rsidRPr="00FA5477">
        <w:t xml:space="preserve"> al </w:t>
      </w:r>
      <w:r w:rsidRPr="00FA5477">
        <w:t>MINSAL</w:t>
      </w:r>
      <w:r w:rsidR="00710868" w:rsidRPr="00FA5477">
        <w:t xml:space="preserve"> </w:t>
      </w:r>
      <w:r w:rsidR="004A51CE" w:rsidRPr="00FA5477">
        <w:t>para el componente administrado por el gobierno</w:t>
      </w:r>
      <w:r w:rsidRPr="00FA5477">
        <w:t>,</w:t>
      </w:r>
      <w:r w:rsidR="004A51CE" w:rsidRPr="00FA5477">
        <w:t xml:space="preserve"> </w:t>
      </w:r>
      <w:r w:rsidRPr="00FA5477">
        <w:t xml:space="preserve">tomando en cuenta </w:t>
      </w:r>
      <w:r w:rsidR="00E172B3" w:rsidRPr="00FA5477">
        <w:t xml:space="preserve">que esta institución </w:t>
      </w:r>
      <w:r w:rsidRPr="00FA5477">
        <w:t>ha desempeñado esta función desde el 2006, además de ser el garante de la continuidad de la respuesta nacional al VIH, como instancia rectora del Sistema Nacional Integrado de Salud, ha desarrollado a su personal fortaleciendo habilidades técnicas y administrativas para dar respuesta a la implementación</w:t>
      </w:r>
      <w:r w:rsidR="00E172B3" w:rsidRPr="00FA5477">
        <w:t xml:space="preserve"> de las subvenciones</w:t>
      </w:r>
      <w:r w:rsidRPr="00FA5477">
        <w:t xml:space="preserve">. Como ente rector, ha garantizado la sostenibilidad honrando los compromisos adquiridos con el Fondo Mundial a través de los diferentes acuerdos, como la absorción de recursos humanos, gestiones administrativas para adquisición de </w:t>
      </w:r>
      <w:r w:rsidR="00E172B3" w:rsidRPr="00FA5477">
        <w:t>ARV</w:t>
      </w:r>
      <w:r w:rsidRPr="00FA5477">
        <w:t xml:space="preserve"> -que fueron inicialmente financiad</w:t>
      </w:r>
      <w:r w:rsidR="00E172B3" w:rsidRPr="00FA5477">
        <w:t>o</w:t>
      </w:r>
      <w:r w:rsidRPr="00FA5477">
        <w:t xml:space="preserve">s por </w:t>
      </w:r>
      <w:r w:rsidR="00E172B3" w:rsidRPr="00FA5477">
        <w:t xml:space="preserve">el </w:t>
      </w:r>
      <w:r w:rsidRPr="00FA5477">
        <w:t>Fondo Mundial-, que ha creado y conservado la Oficina de Apoyo a la implementación de la subvenciones del FM (OAFM) para el seguimiento y monitoreo de las actividades ejecutadas por MINSAL en sus diferentes áreas: monitoreo y evaluación, finanzas, almacenaje, abastecimiento, activos fijos, entre otras, y que se articula con otras unidades especializadas del MINSAL para la ejecución de la propuesta tales como: Unidad de Compras Públicas (UCP), Unidad Consolidadora de Compras (UCC), Unidad Financiera Institucional (UFI), Dirección de Tecnologías de Información y Comunicaciones (DTIC) y Laboratorio Nacional de Salud Pública (LNSP), entre otros.</w:t>
      </w:r>
      <w:r w:rsidR="00404725" w:rsidRPr="00FA5477">
        <w:t xml:space="preserve"> </w:t>
      </w:r>
    </w:p>
    <w:p w14:paraId="267E1546" w14:textId="06E93CBB" w:rsidR="00710868" w:rsidRPr="00FA5477" w:rsidRDefault="00A0187E" w:rsidP="00710868">
      <w:pPr>
        <w:pStyle w:val="Textoindependiente"/>
        <w:spacing w:after="120" w:line="264" w:lineRule="auto"/>
        <w:ind w:left="720"/>
        <w:jc w:val="both"/>
      </w:pPr>
      <w:r w:rsidRPr="00FA5477">
        <w:t>E</w:t>
      </w:r>
      <w:r w:rsidR="00A17C60" w:rsidRPr="00FA5477">
        <w:t xml:space="preserve">n la sesión del 20 de julio de 2023 -según consta </w:t>
      </w:r>
      <w:r w:rsidR="004A51CE" w:rsidRPr="00FA5477">
        <w:t xml:space="preserve">en el punto 7) del acta 06-2023 </w:t>
      </w:r>
      <w:r w:rsidR="00A17C60" w:rsidRPr="00FA5477">
        <w:t xml:space="preserve">(anexo </w:t>
      </w:r>
      <w:r w:rsidR="008F5EA6" w:rsidRPr="00FA5477">
        <w:t>20</w:t>
      </w:r>
      <w:r w:rsidR="00A17C60" w:rsidRPr="00FA5477">
        <w:t xml:space="preserve">)-, </w:t>
      </w:r>
      <w:r w:rsidR="004A51CE" w:rsidRPr="00FA5477">
        <w:t xml:space="preserve">se acordó que </w:t>
      </w:r>
      <w:r w:rsidR="00A17C60" w:rsidRPr="00FA5477">
        <w:t xml:space="preserve">PLAN fuera el </w:t>
      </w:r>
      <w:r w:rsidR="00404725" w:rsidRPr="00FA5477">
        <w:t xml:space="preserve">Receptor Principal a encargarse </w:t>
      </w:r>
      <w:r w:rsidR="004A51CE" w:rsidRPr="00FA5477">
        <w:t>del componente de sociedad civil</w:t>
      </w:r>
      <w:r w:rsidR="00710868" w:rsidRPr="00FA5477">
        <w:t>, debido a su experiencia en las subvenciones anteriores, su labor con las organizaciones de sociedad civil y el proceso de fortalecimiento que ha llevado a cabo</w:t>
      </w:r>
      <w:r w:rsidR="00404725" w:rsidRPr="00FA5477">
        <w:t>,</w:t>
      </w:r>
      <w:r w:rsidR="00710868" w:rsidRPr="00FA5477">
        <w:t xml:space="preserve"> como RP continuará implementando acciones con apoyo de organizaciones de sociedad civil </w:t>
      </w:r>
      <w:r w:rsidR="00404725" w:rsidRPr="00FA5477">
        <w:t xml:space="preserve">-representantes de cada una de las poblaciones clave- que tendrán </w:t>
      </w:r>
      <w:r w:rsidR="00710868" w:rsidRPr="00FA5477">
        <w:t>la figura de SR</w:t>
      </w:r>
      <w:r w:rsidR="00404725" w:rsidRPr="00FA5477">
        <w:t>,</w:t>
      </w:r>
      <w:r w:rsidR="0081691F" w:rsidRPr="00FA5477">
        <w:t xml:space="preserve"> </w:t>
      </w:r>
      <w:r w:rsidR="00404725" w:rsidRPr="00FA5477">
        <w:t xml:space="preserve">para ejecutar las </w:t>
      </w:r>
      <w:r w:rsidR="00710868" w:rsidRPr="00FA5477">
        <w:t>estrategias de prevención y cuidado y tratamient</w:t>
      </w:r>
      <w:r w:rsidR="00404725" w:rsidRPr="00FA5477">
        <w:t>o</w:t>
      </w:r>
      <w:r w:rsidR="00710868" w:rsidRPr="00FA5477">
        <w:t>.</w:t>
      </w:r>
    </w:p>
    <w:p w14:paraId="25B59168" w14:textId="4FC4F440" w:rsidR="00710868" w:rsidRPr="00FA5477" w:rsidRDefault="00710868" w:rsidP="00710868">
      <w:pPr>
        <w:pStyle w:val="Textoindependiente"/>
        <w:spacing w:after="120" w:line="264" w:lineRule="auto"/>
        <w:ind w:left="720"/>
        <w:jc w:val="both"/>
      </w:pPr>
      <w:r w:rsidRPr="00FA5477">
        <w:t xml:space="preserve">Los procedimientos para las adquisiciones y contrataciones del RP MINSAL, se desarrollarán </w:t>
      </w:r>
      <w:r w:rsidR="001E6BCE" w:rsidRPr="00FA5477">
        <w:t>según</w:t>
      </w:r>
      <w:r w:rsidRPr="00FA5477">
        <w:t xml:space="preserve"> lo establecido en el</w:t>
      </w:r>
      <w:r w:rsidR="0081691F" w:rsidRPr="00FA5477">
        <w:t xml:space="preserve"> </w:t>
      </w:r>
      <w:r w:rsidRPr="00FA5477">
        <w:t>acuerdo de subvención con el Fondo Mundial, la Ley de Compras Públicas</w:t>
      </w:r>
      <w:r w:rsidR="00013C9A" w:rsidRPr="00FA5477">
        <w:t xml:space="preserve"> </w:t>
      </w:r>
      <w:r w:rsidRPr="00FA5477">
        <w:t>(</w:t>
      </w:r>
      <w:r w:rsidR="00A0187E" w:rsidRPr="00FA5477">
        <w:t xml:space="preserve">anexo </w:t>
      </w:r>
      <w:r w:rsidR="006B3AB0" w:rsidRPr="00FA5477">
        <w:t>2</w:t>
      </w:r>
      <w:r w:rsidR="008F5EA6" w:rsidRPr="00FA5477">
        <w:t>1</w:t>
      </w:r>
      <w:r w:rsidRPr="00FA5477">
        <w:t>) y su reglamento vigente (</w:t>
      </w:r>
      <w:r w:rsidR="00C12C37" w:rsidRPr="00FA5477">
        <w:t xml:space="preserve">anexo </w:t>
      </w:r>
      <w:r w:rsidR="000E35DA" w:rsidRPr="00FA5477">
        <w:t>2</w:t>
      </w:r>
      <w:r w:rsidR="008F5EA6" w:rsidRPr="00FA5477">
        <w:t>2</w:t>
      </w:r>
      <w:r w:rsidRPr="00FA5477">
        <w:t>), cuyos principios están basados para garantizar y desarrollar procedimientos transparentes y competitivos, a fin de obtener los productos de calidad garantizada</w:t>
      </w:r>
      <w:r w:rsidR="0081691F" w:rsidRPr="00FA5477">
        <w:t xml:space="preserve"> </w:t>
      </w:r>
      <w:r w:rsidRPr="00FA5477">
        <w:t>y a precio razonable, el cual establece obligaciones jurídicas aplicables a la adquisición de productos sanitarios que se financian con fondos de la subvención. El RP se compromete a aplicar los principios que regulan la gestión de adquisiciones y suministros de productos sanitarios, contenidos en la “Guía de las Políticas del Fondo Mundial sobre Gestión de Adquisiciones y Suministros de Productos Sanitarios y sus actualizaciones”, disponibles en la página web del Fondo Mundial.</w:t>
      </w:r>
    </w:p>
    <w:p w14:paraId="032A35F7" w14:textId="77777777" w:rsidR="00710868" w:rsidRPr="00FA5477" w:rsidRDefault="00710868" w:rsidP="00710868">
      <w:pPr>
        <w:pStyle w:val="Textoindependiente"/>
        <w:spacing w:after="120" w:line="264" w:lineRule="auto"/>
        <w:ind w:left="720"/>
        <w:jc w:val="both"/>
      </w:pPr>
      <w:r w:rsidRPr="00FA5477">
        <w:t xml:space="preserve">Así también MINSAL adquirirá productos de salud a través del Fondo Estratégico de OPS, amparado en el Convenio OPS y MINSAL. </w:t>
      </w:r>
    </w:p>
    <w:p w14:paraId="0C200B9D" w14:textId="3CDF2991" w:rsidR="00710868" w:rsidRPr="00FA5477" w:rsidRDefault="00710868" w:rsidP="00710868">
      <w:pPr>
        <w:pStyle w:val="Textoindependiente"/>
        <w:spacing w:after="120" w:line="264" w:lineRule="auto"/>
        <w:ind w:left="720"/>
        <w:jc w:val="both"/>
      </w:pPr>
      <w:r w:rsidRPr="00FA5477">
        <w:t xml:space="preserve">La Ley de Compras Públicas, fue actualizada en el año 2023, </w:t>
      </w:r>
      <w:r w:rsidR="00C12C37" w:rsidRPr="00FA5477">
        <w:t xml:space="preserve">y </w:t>
      </w:r>
      <w:r w:rsidRPr="00FA5477">
        <w:t xml:space="preserve">entre los ajustes incluye la creación de una Oficina Consolidadora de Compras cuyo rol </w:t>
      </w:r>
      <w:r w:rsidR="00FD35D6" w:rsidRPr="00FA5477">
        <w:t>es, realizar</w:t>
      </w:r>
      <w:r w:rsidRPr="00FA5477">
        <w:t xml:space="preserve"> con antelación estudios de mercado para cada producto del plan de compras a adquirir, con el fin de disminuir el riesgo de compras desiertas y falta de </w:t>
      </w:r>
      <w:r w:rsidR="00FD35D6" w:rsidRPr="00FA5477">
        <w:t>proveedores, ambas</w:t>
      </w:r>
      <w:r w:rsidRPr="00FA5477">
        <w:t xml:space="preserve"> situaciones se daban con frecuencia y provocaban retraso en la adquisición de los productos y por ende retraso en la ejecución del presupuesto. </w:t>
      </w:r>
    </w:p>
    <w:p w14:paraId="3CBC2ECB" w14:textId="6E4DEE46" w:rsidR="00710868" w:rsidRPr="00FA5477" w:rsidRDefault="00710868" w:rsidP="00710868">
      <w:pPr>
        <w:pStyle w:val="Textoindependiente"/>
        <w:spacing w:after="120" w:line="264" w:lineRule="auto"/>
        <w:ind w:left="720"/>
        <w:jc w:val="both"/>
      </w:pPr>
      <w:r w:rsidRPr="00FA5477">
        <w:t xml:space="preserve">El RP </w:t>
      </w:r>
      <w:r w:rsidR="00263A5E" w:rsidRPr="00FA5477">
        <w:t xml:space="preserve">PLAN </w:t>
      </w:r>
      <w:r w:rsidRPr="00FA5477">
        <w:t>garantizará la ejecución Técnica y Financiera de las metas establecidas bajo su responsabilidad según el marco de desempeño, bajo dos modalidades:</w:t>
      </w:r>
    </w:p>
    <w:p w14:paraId="1A5BED93" w14:textId="23411583" w:rsidR="00710868" w:rsidRPr="00FA5477" w:rsidRDefault="00710868" w:rsidP="00710868">
      <w:pPr>
        <w:pStyle w:val="Textoindependiente"/>
        <w:numPr>
          <w:ilvl w:val="0"/>
          <w:numId w:val="6"/>
        </w:numPr>
        <w:spacing w:after="120" w:line="264" w:lineRule="auto"/>
        <w:jc w:val="both"/>
      </w:pPr>
      <w:r w:rsidRPr="00FA5477">
        <w:t xml:space="preserve">Ejecución directa de actividades y de coordinación </w:t>
      </w:r>
      <w:r w:rsidR="00263A5E" w:rsidRPr="00FA5477">
        <w:t>de Sub Receptores (</w:t>
      </w:r>
      <w:r w:rsidRPr="00FA5477">
        <w:t>SR</w:t>
      </w:r>
      <w:r w:rsidR="00263A5E" w:rsidRPr="00FA5477">
        <w:t>)</w:t>
      </w:r>
      <w:r w:rsidRPr="00FA5477">
        <w:t xml:space="preserve"> y otros actores claves, monitoreo y evaluación de las actividades e intervenciones de prevención, administración de activos, compra de pruebas rápidas, administración y distribución de insumos (condones y lubricantes), supervisión técnica de las actividades de abordaje en campo (</w:t>
      </w:r>
      <w:r w:rsidR="00611DB3" w:rsidRPr="00FA5477">
        <w:t>presencial</w:t>
      </w:r>
      <w:r w:rsidRPr="00FA5477">
        <w:t xml:space="preserve"> y en línea) y de las referencias efectivas, toma de pruebas rápidas en Unidades Móviles Educativas, acompañamiento para la vinculación de los casos que resulten reactivos a VIH y seguimiento a los negativos con riesgo sustancial. Es importante destacar que, durante los tres años de la subvención, realizará las compras exentas de IVA mediante el departamento de compras y licitaciones, basado en los procedimientos y políticas de PLAN, de igual forma se puede incluir compras vía WAMBO.</w:t>
      </w:r>
    </w:p>
    <w:p w14:paraId="562C1971" w14:textId="179708AC" w:rsidR="00710868" w:rsidRPr="00FA5477" w:rsidRDefault="00710868" w:rsidP="00710868">
      <w:pPr>
        <w:pStyle w:val="Textoindependiente"/>
        <w:numPr>
          <w:ilvl w:val="0"/>
          <w:numId w:val="6"/>
        </w:numPr>
        <w:spacing w:after="120" w:line="264" w:lineRule="auto"/>
        <w:jc w:val="both"/>
      </w:pPr>
      <w:r w:rsidRPr="00FA5477">
        <w:t>Así mismo</w:t>
      </w:r>
      <w:r w:rsidR="00263A5E" w:rsidRPr="00FA5477">
        <w:t>,</w:t>
      </w:r>
      <w:r w:rsidRPr="00FA5477">
        <w:t xml:space="preserve"> </w:t>
      </w:r>
      <w:r w:rsidR="00263A5E" w:rsidRPr="00FA5477">
        <w:t>PLAN</w:t>
      </w:r>
      <w:r w:rsidRPr="00FA5477">
        <w:t xml:space="preserve"> desarrollará un proceso de Selección de SR entre las organizaciones que han venido ejecutando acciones bajo la modalidad de Sub receptoras en la actual subvención, teniendo en consideración su capacidad institucional en la parte administrativa y financiera, y la experiencia de trabajo con poblaciones claves.</w:t>
      </w:r>
    </w:p>
    <w:p w14:paraId="0487275F" w14:textId="3889D824" w:rsidR="00710868" w:rsidRPr="00FA5477" w:rsidRDefault="00710868" w:rsidP="00263A5E">
      <w:pPr>
        <w:pStyle w:val="Textoindependiente"/>
        <w:spacing w:after="120" w:line="264" w:lineRule="auto"/>
        <w:ind w:left="1440"/>
        <w:jc w:val="both"/>
      </w:pPr>
      <w:r w:rsidRPr="00FA5477">
        <w:t>Estas entidades serán responsables de cumplir con las metas e indicadores establecidos en el marco de desempeño de la subvención. Así también se establecerá un plan de coordinación y comunicación entre el RP y el SR en el cual se definirán reuniones periódicas para presentación de avances programáticos, financieros, socialización semestral de lecciones aprendidas, cuellos de botella, visitas de M</w:t>
      </w:r>
      <w:r w:rsidR="00C12C37" w:rsidRPr="00FA5477">
        <w:t>y</w:t>
      </w:r>
      <w:r w:rsidRPr="00FA5477">
        <w:t>E y cualquier otro tipo de apoyo entre ambas organizaciones.</w:t>
      </w:r>
    </w:p>
    <w:p w14:paraId="7C71CCF2" w14:textId="51DB1E1E" w:rsidR="00382598" w:rsidRPr="00FA5477" w:rsidRDefault="00710868" w:rsidP="00263A5E">
      <w:pPr>
        <w:pStyle w:val="Textoindependiente"/>
        <w:spacing w:after="120" w:line="264" w:lineRule="auto"/>
        <w:ind w:left="1440"/>
        <w:jc w:val="both"/>
      </w:pPr>
      <w:r w:rsidRPr="00FA5477">
        <w:t>Los procedimientos para las adquisiciones y contrataciones del S</w:t>
      </w:r>
      <w:r w:rsidR="00C12C37" w:rsidRPr="00FA5477">
        <w:t>R</w:t>
      </w:r>
      <w:r w:rsidRPr="00FA5477">
        <w:t xml:space="preserve"> se desarrollarán de acuerdo a lo establecido en el Manual de Operaciones de </w:t>
      </w:r>
      <w:r w:rsidR="00263A5E" w:rsidRPr="00FA5477">
        <w:t>PLAN</w:t>
      </w:r>
      <w:r w:rsidRPr="00FA5477">
        <w:t>, el cual establece el desarrollo de procesos transparentes y competitivos a fin de obtener los mejores precios con la calidad garantizada que se requiere, en un ámbito de igualdad de condiciones entre los ofertantes, priorizando el cumplimiento de las obligaciones institucionales y los requerimientos del FM, por lo cual el SR</w:t>
      </w:r>
      <w:r w:rsidR="0081691F" w:rsidRPr="00FA5477">
        <w:t xml:space="preserve"> </w:t>
      </w:r>
      <w:r w:rsidRPr="00FA5477">
        <w:t>se compromete a aplicar los principios que regulan la gestión de adquisiciones y suministros de productos sanitarios, contenidos en la “Guía de las Políticas del Fondo Mundial sobre Gestión de Adquisiciones y Suministros de Productos Sanitarios y sus actualizaciones”, disponibles en la página web del Fondo Mundia</w:t>
      </w:r>
      <w:r w:rsidR="001E6BCE" w:rsidRPr="00FA5477">
        <w:t>l</w:t>
      </w:r>
      <w:r w:rsidRPr="00FA5477">
        <w:t xml:space="preserve"> . Todas las acciones entre el RP y el SR estarán basadas en un acuerdo de Subvención.</w:t>
      </w:r>
      <w:r w:rsidR="00FD35D6" w:rsidRPr="00FA5477">
        <w:t xml:space="preserve"> </w:t>
      </w:r>
      <w:r w:rsidR="001B4B2D" w:rsidRPr="00FA5477">
        <w:t>[</w:t>
      </w:r>
      <w:r w:rsidR="000E35DA" w:rsidRPr="00FA5477">
        <w:t>A</w:t>
      </w:r>
      <w:r w:rsidRPr="00FA5477">
        <w:t xml:space="preserve">nexo </w:t>
      </w:r>
      <w:r w:rsidR="000E35DA" w:rsidRPr="00FA5477">
        <w:t>2</w:t>
      </w:r>
      <w:r w:rsidR="008F5EA6" w:rsidRPr="00FA5477">
        <w:t>3</w:t>
      </w:r>
      <w:r w:rsidR="001B4B2D" w:rsidRPr="00FA5477">
        <w:t>]</w:t>
      </w:r>
    </w:p>
    <w:p w14:paraId="02EF951C" w14:textId="6946F22A" w:rsidR="000F3D1A" w:rsidRPr="00FA5477" w:rsidRDefault="008B2B26">
      <w:pPr>
        <w:pStyle w:val="Prrafodelista"/>
        <w:numPr>
          <w:ilvl w:val="1"/>
          <w:numId w:val="1"/>
        </w:numPr>
        <w:tabs>
          <w:tab w:val="left" w:pos="939"/>
        </w:tabs>
        <w:spacing w:line="264" w:lineRule="auto"/>
        <w:ind w:right="144"/>
        <w:rPr>
          <w:sz w:val="24"/>
        </w:rPr>
      </w:pPr>
      <w:r w:rsidRPr="00FA5477">
        <w:rPr>
          <w:rFonts w:ascii="Arial" w:hAnsi="Arial"/>
          <w:b/>
          <w:sz w:val="24"/>
        </w:rPr>
        <w:t>Organizaciones comunitarias y dirigidas por la comunidad</w:t>
      </w:r>
      <w:r w:rsidRPr="00FA5477">
        <w:rPr>
          <w:sz w:val="24"/>
        </w:rPr>
        <w:t>: describa la función que</w:t>
      </w:r>
      <w:r w:rsidRPr="00FA5477">
        <w:rPr>
          <w:spacing w:val="1"/>
          <w:sz w:val="24"/>
        </w:rPr>
        <w:t xml:space="preserve"> </w:t>
      </w:r>
      <w:r w:rsidRPr="00FA5477">
        <w:rPr>
          <w:sz w:val="24"/>
        </w:rPr>
        <w:t>tendrán las organizaciones comunitarias y dirigidas por la comunidad en la ejecución de</w:t>
      </w:r>
      <w:r w:rsidRPr="00FA5477">
        <w:rPr>
          <w:spacing w:val="-64"/>
          <w:sz w:val="24"/>
        </w:rPr>
        <w:t xml:space="preserve"> </w:t>
      </w:r>
      <w:r w:rsidRPr="00FA5477">
        <w:rPr>
          <w:sz w:val="24"/>
        </w:rPr>
        <w:t>los</w:t>
      </w:r>
      <w:r w:rsidRPr="00FA5477">
        <w:rPr>
          <w:spacing w:val="-1"/>
          <w:sz w:val="24"/>
        </w:rPr>
        <w:t xml:space="preserve"> </w:t>
      </w:r>
      <w:r w:rsidRPr="00FA5477">
        <w:rPr>
          <w:sz w:val="24"/>
        </w:rPr>
        <w:t>programas</w:t>
      </w:r>
      <w:r w:rsidRPr="00FA5477">
        <w:rPr>
          <w:spacing w:val="-3"/>
          <w:sz w:val="24"/>
        </w:rPr>
        <w:t xml:space="preserve"> </w:t>
      </w:r>
      <w:r w:rsidRPr="00FA5477">
        <w:rPr>
          <w:sz w:val="24"/>
        </w:rPr>
        <w:t>financiados por</w:t>
      </w:r>
      <w:r w:rsidRPr="00FA5477">
        <w:rPr>
          <w:spacing w:val="-1"/>
          <w:sz w:val="24"/>
        </w:rPr>
        <w:t xml:space="preserve"> </w:t>
      </w:r>
      <w:r w:rsidRPr="00FA5477">
        <w:rPr>
          <w:sz w:val="24"/>
        </w:rPr>
        <w:t>el</w:t>
      </w:r>
      <w:r w:rsidRPr="00FA5477">
        <w:rPr>
          <w:spacing w:val="-1"/>
          <w:sz w:val="24"/>
        </w:rPr>
        <w:t xml:space="preserve"> </w:t>
      </w:r>
      <w:r w:rsidRPr="00FA5477">
        <w:rPr>
          <w:sz w:val="24"/>
        </w:rPr>
        <w:t>Fondo</w:t>
      </w:r>
      <w:r w:rsidRPr="00FA5477">
        <w:rPr>
          <w:spacing w:val="-2"/>
          <w:sz w:val="24"/>
        </w:rPr>
        <w:t xml:space="preserve"> </w:t>
      </w:r>
      <w:r w:rsidRPr="00FA5477">
        <w:rPr>
          <w:sz w:val="24"/>
        </w:rPr>
        <w:t>Mundial.</w:t>
      </w:r>
      <w:r w:rsidR="0039553A" w:rsidRPr="00FA5477">
        <w:rPr>
          <w:sz w:val="24"/>
        </w:rPr>
        <w:t xml:space="preserve"> </w:t>
      </w:r>
    </w:p>
    <w:p w14:paraId="13A4BB7D" w14:textId="0414A452" w:rsidR="0028301C" w:rsidRPr="00FA5477" w:rsidRDefault="0028301C" w:rsidP="001B4B2D">
      <w:pPr>
        <w:spacing w:before="60" w:after="60" w:line="264" w:lineRule="auto"/>
        <w:ind w:left="936"/>
        <w:jc w:val="both"/>
        <w:rPr>
          <w:sz w:val="24"/>
          <w:szCs w:val="24"/>
        </w:rPr>
      </w:pPr>
      <w:r w:rsidRPr="00FA5477">
        <w:rPr>
          <w:sz w:val="24"/>
          <w:szCs w:val="24"/>
        </w:rPr>
        <w:t xml:space="preserve">La función que las organizaciones comunitarias y dirigidas por la comunidad desempeñarán en la ejecución </w:t>
      </w:r>
      <w:r w:rsidR="00263A5E" w:rsidRPr="00FA5477">
        <w:rPr>
          <w:sz w:val="24"/>
          <w:szCs w:val="24"/>
        </w:rPr>
        <w:t>de esta</w:t>
      </w:r>
      <w:r w:rsidRPr="00FA5477">
        <w:rPr>
          <w:sz w:val="24"/>
          <w:szCs w:val="24"/>
        </w:rPr>
        <w:t xml:space="preserve"> propuesta las siguientes intervenciones</w:t>
      </w:r>
      <w:r w:rsidR="00263A5E" w:rsidRPr="00FA5477">
        <w:rPr>
          <w:sz w:val="24"/>
          <w:szCs w:val="24"/>
        </w:rPr>
        <w:t>:</w:t>
      </w:r>
    </w:p>
    <w:p w14:paraId="2FEED828" w14:textId="31CFB586" w:rsidR="0028301C" w:rsidRPr="00FA5477" w:rsidRDefault="008D4FEF" w:rsidP="001B4B2D">
      <w:pPr>
        <w:pStyle w:val="Prrafodelista"/>
        <w:numPr>
          <w:ilvl w:val="0"/>
          <w:numId w:val="7"/>
        </w:numPr>
        <w:spacing w:before="60" w:after="60" w:line="264" w:lineRule="auto"/>
        <w:rPr>
          <w:sz w:val="24"/>
          <w:szCs w:val="24"/>
        </w:rPr>
      </w:pPr>
      <w:r>
        <w:rPr>
          <w:sz w:val="24"/>
          <w:szCs w:val="24"/>
        </w:rPr>
        <w:t>Participación organizaciones de sociedad civil</w:t>
      </w:r>
      <w:r w:rsidR="0028301C" w:rsidRPr="00FA5477">
        <w:rPr>
          <w:sz w:val="24"/>
          <w:szCs w:val="24"/>
        </w:rPr>
        <w:t xml:space="preserve">. Desde esta intervención son las organizaciones de sociedad civil quienes realizaran un monitoreo del estado de los derechos humanos y los niveles de estigma y discriminación en los establecimientos de salud con poblaciones claves </w:t>
      </w:r>
    </w:p>
    <w:p w14:paraId="78E73132" w14:textId="4BA5AAC3" w:rsidR="0028301C" w:rsidRPr="00FA5477" w:rsidRDefault="0028301C" w:rsidP="001B4B2D">
      <w:pPr>
        <w:pStyle w:val="Prrafodelista"/>
        <w:numPr>
          <w:ilvl w:val="0"/>
          <w:numId w:val="7"/>
        </w:numPr>
        <w:spacing w:before="60" w:after="60" w:line="264" w:lineRule="auto"/>
        <w:rPr>
          <w:sz w:val="24"/>
          <w:szCs w:val="24"/>
        </w:rPr>
      </w:pPr>
      <w:r w:rsidRPr="00FA5477">
        <w:rPr>
          <w:sz w:val="24"/>
          <w:szCs w:val="24"/>
        </w:rPr>
        <w:t>Abogacía e investigación dirigidas por la comunidad. El desarrollo del observatorio de derechos humano con informes y rendiciones de cuenta en los servicios</w:t>
      </w:r>
      <w:r w:rsidR="00263A5E" w:rsidRPr="00FA5477">
        <w:rPr>
          <w:sz w:val="24"/>
          <w:szCs w:val="24"/>
        </w:rPr>
        <w:t xml:space="preserve"> </w:t>
      </w:r>
      <w:r w:rsidRPr="00FA5477">
        <w:rPr>
          <w:sz w:val="24"/>
          <w:szCs w:val="24"/>
        </w:rPr>
        <w:t>a cargo de actores de la sociedad civil, en particular aquellas lideradas por las poblaciones clave y vulnerables, marginadas, criminalizadas y desatendidas</w:t>
      </w:r>
      <w:r w:rsidR="00263A5E" w:rsidRPr="00FA5477">
        <w:rPr>
          <w:sz w:val="24"/>
          <w:szCs w:val="24"/>
        </w:rPr>
        <w:t xml:space="preserve"> </w:t>
      </w:r>
      <w:r w:rsidRPr="00FA5477">
        <w:rPr>
          <w:sz w:val="24"/>
          <w:szCs w:val="24"/>
        </w:rPr>
        <w:t>que</w:t>
      </w:r>
      <w:r w:rsidR="00263A5E" w:rsidRPr="00FA5477">
        <w:rPr>
          <w:sz w:val="24"/>
          <w:szCs w:val="24"/>
        </w:rPr>
        <w:t xml:space="preserve"> </w:t>
      </w:r>
      <w:r w:rsidRPr="00FA5477">
        <w:rPr>
          <w:sz w:val="24"/>
          <w:szCs w:val="24"/>
        </w:rPr>
        <w:t>abarcaran</w:t>
      </w:r>
      <w:r w:rsidR="00263A5E" w:rsidRPr="00FA5477">
        <w:rPr>
          <w:sz w:val="24"/>
          <w:szCs w:val="24"/>
        </w:rPr>
        <w:t xml:space="preserve"> </w:t>
      </w:r>
      <w:r w:rsidRPr="00FA5477">
        <w:rPr>
          <w:sz w:val="24"/>
          <w:szCs w:val="24"/>
        </w:rPr>
        <w:t>la calidad de los servicios y los programas de salud, el financiamiento de programas, reformas jurídicas y políticas, u obstáculos relacionados con los derechos humanos (tales como desigualdades por razones de género o edad, estigmatización, discriminación, criminalización, violencia y vulneraciones de la confidencialidad)</w:t>
      </w:r>
    </w:p>
    <w:p w14:paraId="585753FB" w14:textId="4701F761" w:rsidR="0028301C" w:rsidRPr="00FA5477" w:rsidRDefault="0028301C" w:rsidP="001B4B2D">
      <w:pPr>
        <w:pStyle w:val="Prrafodelista"/>
        <w:numPr>
          <w:ilvl w:val="0"/>
          <w:numId w:val="7"/>
        </w:numPr>
        <w:spacing w:before="60" w:after="60" w:line="264" w:lineRule="auto"/>
        <w:rPr>
          <w:sz w:val="24"/>
          <w:szCs w:val="24"/>
        </w:rPr>
      </w:pPr>
      <w:r w:rsidRPr="00FA5477">
        <w:rPr>
          <w:sz w:val="24"/>
          <w:szCs w:val="24"/>
        </w:rPr>
        <w:t>Capacitación y desarrollo del liderazgo.</w:t>
      </w:r>
      <w:r w:rsidR="00263A5E" w:rsidRPr="00FA5477">
        <w:rPr>
          <w:sz w:val="24"/>
          <w:szCs w:val="24"/>
        </w:rPr>
        <w:t xml:space="preserve"> </w:t>
      </w:r>
      <w:r w:rsidRPr="00FA5477">
        <w:rPr>
          <w:sz w:val="24"/>
          <w:szCs w:val="24"/>
        </w:rPr>
        <w:t>Se buscará capacitar a través del Foro de VIH, existen capacitaciones para liderazgo</w:t>
      </w:r>
      <w:r w:rsidR="00263A5E" w:rsidRPr="00FA5477">
        <w:rPr>
          <w:sz w:val="24"/>
          <w:szCs w:val="24"/>
        </w:rPr>
        <w:t xml:space="preserve"> </w:t>
      </w:r>
      <w:r w:rsidRPr="00FA5477">
        <w:rPr>
          <w:sz w:val="24"/>
          <w:szCs w:val="24"/>
        </w:rPr>
        <w:t xml:space="preserve">en las intervenciones de </w:t>
      </w:r>
      <w:r w:rsidR="00263A5E" w:rsidRPr="00FA5477">
        <w:rPr>
          <w:sz w:val="24"/>
          <w:szCs w:val="24"/>
        </w:rPr>
        <w:t>Prevención</w:t>
      </w:r>
      <w:r w:rsidRPr="00FA5477">
        <w:rPr>
          <w:sz w:val="24"/>
          <w:szCs w:val="24"/>
        </w:rPr>
        <w:t xml:space="preserve"> combinada, sobre monitoreo </w:t>
      </w:r>
      <w:r w:rsidR="008D4FEF">
        <w:rPr>
          <w:sz w:val="24"/>
          <w:szCs w:val="24"/>
        </w:rPr>
        <w:t>con participación de organizaciones de poblaciones clave</w:t>
      </w:r>
      <w:r w:rsidRPr="00FA5477">
        <w:rPr>
          <w:sz w:val="24"/>
          <w:szCs w:val="24"/>
        </w:rPr>
        <w:t>, sobre</w:t>
      </w:r>
      <w:r w:rsidR="00263A5E" w:rsidRPr="00FA5477">
        <w:rPr>
          <w:sz w:val="24"/>
          <w:szCs w:val="24"/>
        </w:rPr>
        <w:t xml:space="preserve"> </w:t>
      </w:r>
    </w:p>
    <w:p w14:paraId="293DB819" w14:textId="6A23327E" w:rsidR="0028301C" w:rsidRPr="00FA5477" w:rsidRDefault="0028301C" w:rsidP="001B4B2D">
      <w:pPr>
        <w:pStyle w:val="Prrafodelista"/>
        <w:numPr>
          <w:ilvl w:val="0"/>
          <w:numId w:val="7"/>
        </w:numPr>
        <w:spacing w:before="60" w:after="60" w:line="264" w:lineRule="auto"/>
        <w:rPr>
          <w:sz w:val="24"/>
          <w:szCs w:val="24"/>
        </w:rPr>
      </w:pPr>
      <w:r w:rsidRPr="00FA5477">
        <w:rPr>
          <w:sz w:val="24"/>
          <w:szCs w:val="24"/>
        </w:rPr>
        <w:t>Las acciones</w:t>
      </w:r>
      <w:r w:rsidR="00263A5E" w:rsidRPr="00FA5477">
        <w:rPr>
          <w:sz w:val="24"/>
          <w:szCs w:val="24"/>
        </w:rPr>
        <w:t xml:space="preserve"> </w:t>
      </w:r>
      <w:r w:rsidRPr="00FA5477">
        <w:rPr>
          <w:sz w:val="24"/>
          <w:szCs w:val="24"/>
        </w:rPr>
        <w:t>comunitarias, capacitación y el desarrollo del liderazgo de poblaciones clave y vulnerables Participación comunitaria, vínculos y coordinación. Actividades para crear un sistema interconectado y coordinado de programas y servicios comunitarios y dirigidos por la comunidad que implique, informe y preste servicios a las personas de las poblaciones clave y vulnerables y aquellas que no reciben otros programas de salud, en el caso de</w:t>
      </w:r>
      <w:r w:rsidR="00263A5E" w:rsidRPr="00FA5477">
        <w:rPr>
          <w:sz w:val="24"/>
          <w:szCs w:val="24"/>
        </w:rPr>
        <w:t xml:space="preserve"> </w:t>
      </w:r>
      <w:r w:rsidRPr="00FA5477">
        <w:rPr>
          <w:sz w:val="24"/>
          <w:szCs w:val="24"/>
        </w:rPr>
        <w:t>esta</w:t>
      </w:r>
      <w:r w:rsidR="00263A5E" w:rsidRPr="00FA5477">
        <w:rPr>
          <w:sz w:val="24"/>
          <w:szCs w:val="24"/>
        </w:rPr>
        <w:t xml:space="preserve"> </w:t>
      </w:r>
      <w:r w:rsidRPr="00FA5477">
        <w:rPr>
          <w:sz w:val="24"/>
          <w:szCs w:val="24"/>
        </w:rPr>
        <w:t xml:space="preserve">solicitud es el </w:t>
      </w:r>
      <w:r w:rsidR="00A40E01" w:rsidRPr="00FA5477">
        <w:rPr>
          <w:sz w:val="24"/>
          <w:szCs w:val="24"/>
        </w:rPr>
        <w:t>servicio de</w:t>
      </w:r>
      <w:r w:rsidRPr="00FA5477">
        <w:rPr>
          <w:sz w:val="24"/>
          <w:szCs w:val="24"/>
        </w:rPr>
        <w:t xml:space="preserve"> atención</w:t>
      </w:r>
      <w:r w:rsidR="00263A5E" w:rsidRPr="00FA5477">
        <w:rPr>
          <w:sz w:val="24"/>
          <w:szCs w:val="24"/>
        </w:rPr>
        <w:t xml:space="preserve"> </w:t>
      </w:r>
      <w:r w:rsidRPr="00FA5477">
        <w:rPr>
          <w:sz w:val="24"/>
          <w:szCs w:val="24"/>
        </w:rPr>
        <w:t xml:space="preserve">diferenciado de </w:t>
      </w:r>
      <w:r w:rsidR="00674E06" w:rsidRPr="00FA5477">
        <w:rPr>
          <w:sz w:val="24"/>
          <w:szCs w:val="24"/>
        </w:rPr>
        <w:t>personas transgénero</w:t>
      </w:r>
      <w:r w:rsidRPr="00FA5477">
        <w:rPr>
          <w:sz w:val="24"/>
          <w:szCs w:val="24"/>
        </w:rPr>
        <w:t>.</w:t>
      </w:r>
    </w:p>
    <w:p w14:paraId="3FCC70D9" w14:textId="77777777" w:rsidR="0028301C" w:rsidRPr="00FA5477" w:rsidRDefault="0028301C" w:rsidP="001B4B2D">
      <w:pPr>
        <w:pStyle w:val="Prrafodelista"/>
        <w:numPr>
          <w:ilvl w:val="0"/>
          <w:numId w:val="7"/>
        </w:numPr>
        <w:spacing w:before="60" w:after="60" w:line="264" w:lineRule="auto"/>
        <w:rPr>
          <w:sz w:val="24"/>
          <w:szCs w:val="24"/>
        </w:rPr>
      </w:pPr>
      <w:r w:rsidRPr="00FA5477">
        <w:rPr>
          <w:sz w:val="24"/>
          <w:szCs w:val="24"/>
        </w:rPr>
        <w:t>La obtención y asignación de fondos para el desarrollo organizacional, incluyendo el fortalecimiento del liderazgo, la gestión y la promoción del buen gobierno, así como la capacitación de las organizaciones de personas que viven con VIH, son aspectos esenciales en este proceso. Esto permite que las organizaciones fortalezcan su capacidad para cumplir con su misión y servir de manera efectiva a las comunidades afectadas por el VIH.</w:t>
      </w:r>
    </w:p>
    <w:p w14:paraId="2111FF8A" w14:textId="77777777" w:rsidR="0028301C" w:rsidRPr="00FA5477" w:rsidRDefault="0028301C" w:rsidP="001B4B2D">
      <w:pPr>
        <w:spacing w:before="60" w:after="60" w:line="264" w:lineRule="auto"/>
        <w:ind w:left="936"/>
        <w:jc w:val="both"/>
        <w:rPr>
          <w:sz w:val="24"/>
          <w:szCs w:val="24"/>
        </w:rPr>
      </w:pPr>
      <w:r w:rsidRPr="00FA5477">
        <w:rPr>
          <w:sz w:val="24"/>
          <w:szCs w:val="24"/>
        </w:rPr>
        <w:t>La participación en la planificación de programas es crucial para las organizaciones de la sociedad civil, ya que actúan como prestadores directos de servicios de salud. Esta participación les ha permitido impactar directamente a través de intervenciones dirigidas a las poblaciones, lo que les otorga un posicionamiento y credibilidad sólidos en la prestación de servicios. Este posicionamiento facilita un mayor acercamiento y asesoramiento personalizado a las comunidades atendidas.</w:t>
      </w:r>
    </w:p>
    <w:p w14:paraId="4A850848" w14:textId="39031115" w:rsidR="0028301C" w:rsidRPr="00FA5477" w:rsidRDefault="0028301C" w:rsidP="001B4B2D">
      <w:pPr>
        <w:spacing w:before="60" w:after="60" w:line="264" w:lineRule="auto"/>
        <w:ind w:left="936"/>
        <w:jc w:val="both"/>
        <w:rPr>
          <w:sz w:val="24"/>
          <w:szCs w:val="24"/>
        </w:rPr>
      </w:pPr>
      <w:r w:rsidRPr="00FA5477">
        <w:rPr>
          <w:sz w:val="24"/>
          <w:szCs w:val="24"/>
        </w:rPr>
        <w:t>Gracias a esta participación activa en la planificación, las organizaciones han desarrollado autonomía para implementar las estrategias diseñadas. Este empoderamiento les permite adaptar las intervenciones a las necesidades específicas de las poblaciones a las que sirven, enriqueciendo así las estructuras organizacionales a largo plazo. Este proceso de participación activa no solo fortalece la capacidad de respuesta de las organizaciones, sino que también mejora la calidad y la pertinencia de los servicios ofrecidos a los usuarios. Esto ha permitido que la organización desarrolle e implemente estrategias de prevención de manera exitosa, asegurando el cumplimiento de las normativas nacionales y garantizando así un ciclo de aseguramiento de la calidad de los servicios.</w:t>
      </w:r>
    </w:p>
    <w:p w14:paraId="6C9B8001" w14:textId="77777777" w:rsidR="0028301C" w:rsidRPr="00FA5477" w:rsidRDefault="0028301C" w:rsidP="001B4B2D">
      <w:pPr>
        <w:spacing w:before="60" w:after="60" w:line="264" w:lineRule="auto"/>
        <w:ind w:left="936"/>
        <w:jc w:val="both"/>
        <w:rPr>
          <w:sz w:val="24"/>
          <w:szCs w:val="24"/>
        </w:rPr>
      </w:pPr>
      <w:r w:rsidRPr="00FA5477">
        <w:rPr>
          <w:sz w:val="24"/>
          <w:szCs w:val="24"/>
        </w:rPr>
        <w:t>Este enfoque ha propiciado el desarrollo de habilidades entre los recursos humanos involucrados, gracias a planes de educación continua y estrategias de motivación y compromiso con el desarrollo de actividades preventivas. Esta combinación de capacitación constante y estrategias para fomentar la participación activa ha sido clave para el éxito de la estrategia de prevención, contribuyendo a mejorar la eficacia y la eficiencia de los servicios ofrecidos.</w:t>
      </w:r>
    </w:p>
    <w:p w14:paraId="248A9C01" w14:textId="77777777" w:rsidR="0028301C" w:rsidRPr="00FA5477" w:rsidRDefault="0028301C" w:rsidP="001B4B2D">
      <w:pPr>
        <w:spacing w:before="60" w:after="60" w:line="264" w:lineRule="auto"/>
        <w:ind w:left="936"/>
        <w:jc w:val="both"/>
        <w:rPr>
          <w:sz w:val="24"/>
          <w:szCs w:val="24"/>
        </w:rPr>
      </w:pPr>
      <w:r w:rsidRPr="00FA5477">
        <w:rPr>
          <w:sz w:val="24"/>
          <w:szCs w:val="24"/>
        </w:rPr>
        <w:t>El monitoreo y la evaluación de los programas, liderados por la organización, son cruciales tanto para alcanzar los objetivos programáticos como para gestionar eficientemente los recursos financieros. Las organizaciones actúan como vigilantes y son autocríticas en los procesos y estrategias implementadas, lo que facilita la identificación de avances y limitaciones en el cumplimiento de los objetivos tanto programáticos como financieros.</w:t>
      </w:r>
    </w:p>
    <w:p w14:paraId="748F8CBB" w14:textId="77777777" w:rsidR="0028301C" w:rsidRPr="00FA5477" w:rsidRDefault="0028301C" w:rsidP="001B4B2D">
      <w:pPr>
        <w:spacing w:before="60" w:after="60" w:line="264" w:lineRule="auto"/>
        <w:ind w:left="936"/>
        <w:jc w:val="both"/>
        <w:rPr>
          <w:sz w:val="24"/>
          <w:szCs w:val="24"/>
        </w:rPr>
      </w:pPr>
      <w:r w:rsidRPr="00FA5477">
        <w:rPr>
          <w:sz w:val="24"/>
          <w:szCs w:val="24"/>
        </w:rPr>
        <w:t>De esta manera, el monitoreo y la evaluación liderados por las organizaciones son elementos clave para garantizar la eficacia y la sostenibilidad de las intervenciones en el ámbito de la salud.</w:t>
      </w:r>
    </w:p>
    <w:p w14:paraId="4216CEE1" w14:textId="77777777" w:rsidR="0028301C" w:rsidRPr="00FA5477" w:rsidRDefault="0028301C" w:rsidP="001B4B2D">
      <w:pPr>
        <w:spacing w:before="60" w:after="60" w:line="264" w:lineRule="auto"/>
        <w:ind w:left="936"/>
        <w:jc w:val="both"/>
        <w:rPr>
          <w:sz w:val="24"/>
          <w:szCs w:val="24"/>
        </w:rPr>
      </w:pPr>
      <w:r w:rsidRPr="00FA5477">
        <w:rPr>
          <w:sz w:val="24"/>
          <w:szCs w:val="24"/>
        </w:rPr>
        <w:t>La incidencia en relación a los resultados y las evaluaciones se basa en la información derivada de la implementación de actividades y sus resultados. Este enfoque asegura la confiabilidad de los resultados, provenientes de fuentes primarias de información que sean trazables y verificables.</w:t>
      </w:r>
    </w:p>
    <w:p w14:paraId="000B6BC7" w14:textId="77777777" w:rsidR="0028301C" w:rsidRPr="00FA5477" w:rsidRDefault="0028301C" w:rsidP="001B4B2D">
      <w:pPr>
        <w:spacing w:before="60" w:after="60" w:line="264" w:lineRule="auto"/>
        <w:ind w:left="936"/>
        <w:jc w:val="both"/>
        <w:rPr>
          <w:sz w:val="24"/>
          <w:szCs w:val="24"/>
        </w:rPr>
      </w:pPr>
      <w:r w:rsidRPr="00FA5477">
        <w:rPr>
          <w:sz w:val="24"/>
          <w:szCs w:val="24"/>
        </w:rPr>
        <w:t>La transparencia y la confiabilidad de los procesos son fundamentales en este contexto, ya que permiten identificar áreas de mejora y oportunidades para ajustar las estrategias de intervención. Esto se traduce en la capacidad de responder de manera efectiva a las necesidades de las comunidades atendidas y de adaptarse a los cambios en el entorno.</w:t>
      </w:r>
    </w:p>
    <w:p w14:paraId="1DDCE813" w14:textId="69F977AD" w:rsidR="00382598" w:rsidRPr="00FA5477" w:rsidRDefault="0028301C" w:rsidP="001B4B2D">
      <w:pPr>
        <w:spacing w:before="60" w:after="60" w:line="264" w:lineRule="auto"/>
        <w:ind w:left="938"/>
        <w:jc w:val="both"/>
        <w:rPr>
          <w:rFonts w:ascii="Arial Black" w:eastAsia="Arial Black" w:hAnsi="Arial Black" w:cs="Arial Black"/>
          <w:sz w:val="36"/>
          <w:szCs w:val="36"/>
        </w:rPr>
      </w:pPr>
      <w:r w:rsidRPr="00FA5477">
        <w:rPr>
          <w:sz w:val="24"/>
          <w:szCs w:val="24"/>
        </w:rPr>
        <w:t>Las organizaciones tendrán la función de realizar abordajes personalizados a las poblaciones clave con el objetivo de</w:t>
      </w:r>
      <w:r w:rsidR="00DB22E8" w:rsidRPr="00FA5477">
        <w:rPr>
          <w:sz w:val="24"/>
          <w:szCs w:val="24"/>
        </w:rPr>
        <w:t xml:space="preserve"> la</w:t>
      </w:r>
      <w:r w:rsidRPr="00FA5477">
        <w:rPr>
          <w:sz w:val="24"/>
          <w:szCs w:val="24"/>
        </w:rPr>
        <w:t xml:space="preserve"> entrega de paquetes de prevención y acceso a la prueba de VIH, incluyendo entrega de autoprueba de forma priorizada, así como la referencia de la población clave a PrEP a los establecimientos de salud de MINSAL; estas intervenciones se realizarán en modalidad presencial y a través de medios digitales en la que estarán involucrados los socios</w:t>
      </w:r>
      <w:r w:rsidR="00DB22E8" w:rsidRPr="00FA5477">
        <w:rPr>
          <w:sz w:val="24"/>
          <w:szCs w:val="24"/>
        </w:rPr>
        <w:t>, con el fin de disminuir el riesgo sustancial.</w:t>
      </w:r>
      <w:r w:rsidR="00382598" w:rsidRPr="00FA5477">
        <w:br w:type="page"/>
      </w:r>
    </w:p>
    <w:p w14:paraId="4D9F9848" w14:textId="77777777" w:rsidR="000F3D1A" w:rsidRPr="00FA5477" w:rsidRDefault="000F3D1A">
      <w:pPr>
        <w:rPr>
          <w:sz w:val="16"/>
        </w:rPr>
        <w:sectPr w:rsidR="000F3D1A" w:rsidRPr="00FA5477" w:rsidSect="003632F2">
          <w:footerReference w:type="default" r:id="rId16"/>
          <w:pgSz w:w="11910" w:h="16840"/>
          <w:pgMar w:top="760" w:right="700" w:bottom="1240" w:left="720" w:header="0" w:footer="1054" w:gutter="0"/>
          <w:cols w:space="720"/>
        </w:sectPr>
      </w:pPr>
    </w:p>
    <w:p w14:paraId="7EA1D626" w14:textId="646FAF85" w:rsidR="000F3D1A" w:rsidRPr="00FA5477" w:rsidRDefault="008B2B26">
      <w:pPr>
        <w:pStyle w:val="Ttulo1"/>
        <w:spacing w:line="507" w:lineRule="exact"/>
        <w:ind w:left="132"/>
        <w:jc w:val="both"/>
      </w:pPr>
      <w:r w:rsidRPr="00FA5477">
        <w:t xml:space="preserve">Anexo </w:t>
      </w:r>
      <w:r w:rsidR="003669DB">
        <w:t>1</w:t>
      </w:r>
      <w:r w:rsidRPr="00FA5477">
        <w:t>.</w:t>
      </w:r>
      <w:r w:rsidRPr="00FA5477">
        <w:rPr>
          <w:spacing w:val="-1"/>
        </w:rPr>
        <w:t xml:space="preserve"> </w:t>
      </w:r>
      <w:r w:rsidRPr="00FA5477">
        <w:t>Lista de</w:t>
      </w:r>
      <w:r w:rsidRPr="00FA5477">
        <w:rPr>
          <w:spacing w:val="-1"/>
        </w:rPr>
        <w:t xml:space="preserve"> </w:t>
      </w:r>
      <w:r w:rsidRPr="00FA5477">
        <w:t>comprobación de</w:t>
      </w:r>
      <w:r w:rsidRPr="00FA5477">
        <w:rPr>
          <w:spacing w:val="-1"/>
        </w:rPr>
        <w:t xml:space="preserve"> </w:t>
      </w:r>
      <w:r w:rsidRPr="00FA5477">
        <w:t>documentos</w:t>
      </w:r>
    </w:p>
    <w:p w14:paraId="21A16166" w14:textId="77777777" w:rsidR="000F3D1A" w:rsidRPr="00FA5477" w:rsidRDefault="008B2B26">
      <w:pPr>
        <w:spacing w:line="264" w:lineRule="auto"/>
        <w:ind w:left="132" w:right="152"/>
        <w:jc w:val="both"/>
        <w:rPr>
          <w:sz w:val="20"/>
        </w:rPr>
      </w:pPr>
      <w:r w:rsidRPr="00FA5477">
        <w:rPr>
          <w:sz w:val="20"/>
        </w:rPr>
        <w:t>Utilice la lista que aparece a continuación para confirmar que su paquete de solicitud está completo. Esta lista de</w:t>
      </w:r>
      <w:r w:rsidRPr="00FA5477">
        <w:rPr>
          <w:spacing w:val="1"/>
          <w:sz w:val="20"/>
        </w:rPr>
        <w:t xml:space="preserve"> </w:t>
      </w:r>
      <w:r w:rsidRPr="00FA5477">
        <w:rPr>
          <w:sz w:val="20"/>
        </w:rPr>
        <w:t>comprobación solo se aplica a los solicitantes a los que se les pide que presenten su solicitud mediante el enfoque</w:t>
      </w:r>
      <w:r w:rsidRPr="00FA5477">
        <w:rPr>
          <w:spacing w:val="-53"/>
          <w:sz w:val="20"/>
        </w:rPr>
        <w:t xml:space="preserve"> </w:t>
      </w:r>
      <w:r w:rsidRPr="00FA5477">
        <w:rPr>
          <w:sz w:val="20"/>
        </w:rPr>
        <w:t xml:space="preserve">de solicitud adaptada a los portafolios enfocados. Consulte las </w:t>
      </w:r>
      <w:hyperlink r:id="rId17">
        <w:r w:rsidRPr="00FA5477">
          <w:rPr>
            <w:color w:val="2D4DF8"/>
            <w:sz w:val="20"/>
            <w:u w:val="single" w:color="2D4DF8"/>
          </w:rPr>
          <w:t>Instrucciones de la solicitud de financiamiento</w:t>
        </w:r>
      </w:hyperlink>
      <w:r w:rsidRPr="00FA5477">
        <w:rPr>
          <w:color w:val="2D4DF8"/>
          <w:spacing w:val="1"/>
          <w:sz w:val="20"/>
        </w:rPr>
        <w:t xml:space="preserve"> </w:t>
      </w:r>
      <w:hyperlink r:id="rId18">
        <w:r w:rsidRPr="00FA5477">
          <w:rPr>
            <w:color w:val="2D4DF8"/>
            <w:sz w:val="20"/>
            <w:u w:val="single" w:color="2D4DF8"/>
          </w:rPr>
          <w:t>adaptada</w:t>
        </w:r>
        <w:r w:rsidRPr="00FA5477">
          <w:rPr>
            <w:color w:val="2D4DF8"/>
            <w:spacing w:val="-5"/>
            <w:sz w:val="20"/>
            <w:u w:val="single" w:color="2D4DF8"/>
          </w:rPr>
          <w:t xml:space="preserve"> </w:t>
        </w:r>
        <w:r w:rsidRPr="00FA5477">
          <w:rPr>
            <w:color w:val="2D4DF8"/>
            <w:sz w:val="20"/>
            <w:u w:val="single" w:color="2D4DF8"/>
          </w:rPr>
          <w:t>a</w:t>
        </w:r>
        <w:r w:rsidRPr="00FA5477">
          <w:rPr>
            <w:color w:val="2D4DF8"/>
            <w:spacing w:val="-3"/>
            <w:sz w:val="20"/>
            <w:u w:val="single" w:color="2D4DF8"/>
          </w:rPr>
          <w:t xml:space="preserve"> </w:t>
        </w:r>
        <w:r w:rsidRPr="00FA5477">
          <w:rPr>
            <w:color w:val="2D4DF8"/>
            <w:sz w:val="20"/>
            <w:u w:val="single" w:color="2D4DF8"/>
          </w:rPr>
          <w:t>los</w:t>
        </w:r>
        <w:r w:rsidRPr="00FA5477">
          <w:rPr>
            <w:color w:val="2D4DF8"/>
            <w:spacing w:val="-3"/>
            <w:sz w:val="20"/>
            <w:u w:val="single" w:color="2D4DF8"/>
          </w:rPr>
          <w:t xml:space="preserve"> </w:t>
        </w:r>
        <w:r w:rsidRPr="00FA5477">
          <w:rPr>
            <w:color w:val="2D4DF8"/>
            <w:sz w:val="20"/>
            <w:u w:val="single" w:color="2D4DF8"/>
          </w:rPr>
          <w:t>portafolios</w:t>
        </w:r>
        <w:r w:rsidRPr="00FA5477">
          <w:rPr>
            <w:color w:val="2D4DF8"/>
            <w:spacing w:val="-1"/>
            <w:sz w:val="20"/>
            <w:u w:val="single" w:color="2D4DF8"/>
          </w:rPr>
          <w:t xml:space="preserve"> </w:t>
        </w:r>
        <w:r w:rsidRPr="00FA5477">
          <w:rPr>
            <w:color w:val="2D4DF8"/>
            <w:sz w:val="20"/>
            <w:u w:val="single" w:color="2D4DF8"/>
          </w:rPr>
          <w:t>enfocados</w:t>
        </w:r>
        <w:r w:rsidRPr="00FA5477">
          <w:rPr>
            <w:color w:val="2D4DF8"/>
            <w:spacing w:val="-3"/>
            <w:sz w:val="20"/>
            <w:u w:val="single" w:color="2D4DF8"/>
          </w:rPr>
          <w:t xml:space="preserve"> </w:t>
        </w:r>
        <w:r w:rsidRPr="00FA5477">
          <w:rPr>
            <w:color w:val="2D4DF8"/>
            <w:sz w:val="20"/>
            <w:u w:val="single" w:color="2D4DF8"/>
          </w:rPr>
          <w:t>y</w:t>
        </w:r>
        <w:r w:rsidRPr="00FA5477">
          <w:rPr>
            <w:color w:val="2D4DF8"/>
            <w:spacing w:val="-3"/>
            <w:sz w:val="20"/>
            <w:u w:val="single" w:color="2D4DF8"/>
          </w:rPr>
          <w:t xml:space="preserve"> </w:t>
        </w:r>
        <w:r w:rsidRPr="00FA5477">
          <w:rPr>
            <w:color w:val="2D4DF8"/>
            <w:sz w:val="20"/>
            <w:u w:val="single" w:color="2D4DF8"/>
          </w:rPr>
          <w:t>para</w:t>
        </w:r>
        <w:r w:rsidRPr="00FA5477">
          <w:rPr>
            <w:color w:val="2D4DF8"/>
            <w:spacing w:val="-2"/>
            <w:sz w:val="20"/>
            <w:u w:val="single" w:color="2D4DF8"/>
          </w:rPr>
          <w:t xml:space="preserve"> </w:t>
        </w:r>
        <w:r w:rsidRPr="00FA5477">
          <w:rPr>
            <w:color w:val="2D4DF8"/>
            <w:sz w:val="20"/>
            <w:u w:val="single" w:color="2D4DF8"/>
          </w:rPr>
          <w:t>la</w:t>
        </w:r>
        <w:r w:rsidRPr="00FA5477">
          <w:rPr>
            <w:color w:val="2D4DF8"/>
            <w:spacing w:val="-2"/>
            <w:sz w:val="20"/>
            <w:u w:val="single" w:color="2D4DF8"/>
          </w:rPr>
          <w:t xml:space="preserve"> </w:t>
        </w:r>
        <w:r w:rsidRPr="00FA5477">
          <w:rPr>
            <w:color w:val="2D4DF8"/>
            <w:sz w:val="20"/>
            <w:u w:val="single" w:color="2D4DF8"/>
          </w:rPr>
          <w:t>transición</w:t>
        </w:r>
      </w:hyperlink>
      <w:r w:rsidRPr="00FA5477">
        <w:rPr>
          <w:position w:val="6"/>
          <w:sz w:val="13"/>
        </w:rPr>
        <w:t>2</w:t>
      </w:r>
      <w:r w:rsidRPr="00FA5477">
        <w:rPr>
          <w:spacing w:val="15"/>
          <w:position w:val="6"/>
          <w:sz w:val="13"/>
        </w:rPr>
        <w:t xml:space="preserve"> </w:t>
      </w:r>
      <w:r w:rsidRPr="00FA5477">
        <w:rPr>
          <w:sz w:val="20"/>
        </w:rPr>
        <w:t>para</w:t>
      </w:r>
      <w:r w:rsidRPr="00FA5477">
        <w:rPr>
          <w:spacing w:val="-4"/>
          <w:sz w:val="20"/>
        </w:rPr>
        <w:t xml:space="preserve"> </w:t>
      </w:r>
      <w:r w:rsidRPr="00FA5477">
        <w:rPr>
          <w:sz w:val="20"/>
        </w:rPr>
        <w:t>conocer</w:t>
      </w:r>
      <w:r w:rsidRPr="00FA5477">
        <w:rPr>
          <w:spacing w:val="-4"/>
          <w:sz w:val="20"/>
        </w:rPr>
        <w:t xml:space="preserve"> </w:t>
      </w:r>
      <w:r w:rsidRPr="00FA5477">
        <w:rPr>
          <w:sz w:val="20"/>
        </w:rPr>
        <w:t>los</w:t>
      </w:r>
      <w:r w:rsidRPr="00FA5477">
        <w:rPr>
          <w:spacing w:val="-3"/>
          <w:sz w:val="20"/>
        </w:rPr>
        <w:t xml:space="preserve"> </w:t>
      </w:r>
      <w:r w:rsidRPr="00FA5477">
        <w:rPr>
          <w:sz w:val="20"/>
        </w:rPr>
        <w:t>detalles,</w:t>
      </w:r>
      <w:r w:rsidRPr="00FA5477">
        <w:rPr>
          <w:spacing w:val="-5"/>
          <w:sz w:val="20"/>
        </w:rPr>
        <w:t xml:space="preserve"> </w:t>
      </w:r>
      <w:r w:rsidRPr="00FA5477">
        <w:rPr>
          <w:sz w:val="20"/>
        </w:rPr>
        <w:t>la</w:t>
      </w:r>
      <w:r w:rsidRPr="00FA5477">
        <w:rPr>
          <w:spacing w:val="-4"/>
          <w:sz w:val="20"/>
        </w:rPr>
        <w:t xml:space="preserve"> </w:t>
      </w:r>
      <w:r w:rsidRPr="00FA5477">
        <w:rPr>
          <w:sz w:val="20"/>
        </w:rPr>
        <w:t>aplicabilidad</w:t>
      </w:r>
      <w:r w:rsidRPr="00FA5477">
        <w:rPr>
          <w:spacing w:val="-4"/>
          <w:sz w:val="20"/>
        </w:rPr>
        <w:t xml:space="preserve"> </w:t>
      </w:r>
      <w:r w:rsidRPr="00FA5477">
        <w:rPr>
          <w:sz w:val="20"/>
        </w:rPr>
        <w:t>y</w:t>
      </w:r>
      <w:r w:rsidRPr="00FA5477">
        <w:rPr>
          <w:spacing w:val="-3"/>
          <w:sz w:val="20"/>
        </w:rPr>
        <w:t xml:space="preserve"> </w:t>
      </w:r>
      <w:r w:rsidRPr="00FA5477">
        <w:rPr>
          <w:sz w:val="20"/>
        </w:rPr>
        <w:t>los</w:t>
      </w:r>
      <w:r w:rsidRPr="00FA5477">
        <w:rPr>
          <w:spacing w:val="-3"/>
          <w:sz w:val="20"/>
        </w:rPr>
        <w:t xml:space="preserve"> </w:t>
      </w:r>
      <w:r w:rsidRPr="00FA5477">
        <w:rPr>
          <w:sz w:val="20"/>
        </w:rPr>
        <w:t>recursos.</w:t>
      </w:r>
    </w:p>
    <w:p w14:paraId="4722479E" w14:textId="77777777" w:rsidR="000F3D1A" w:rsidRPr="00FA5477" w:rsidRDefault="000F3D1A">
      <w:pPr>
        <w:pStyle w:val="Textoindependiente"/>
        <w:spacing w:before="9"/>
        <w:rPr>
          <w:sz w:val="12"/>
        </w:rPr>
      </w:pPr>
    </w:p>
    <w:p w14:paraId="09224FC5" w14:textId="77777777" w:rsidR="000F3D1A" w:rsidRPr="00FA5477" w:rsidRDefault="008B2B26">
      <w:pPr>
        <w:spacing w:before="94"/>
        <w:ind w:left="132"/>
        <w:rPr>
          <w:rFonts w:ascii="Arial" w:hAnsi="Arial"/>
          <w:b/>
        </w:rPr>
      </w:pPr>
      <w:r w:rsidRPr="00FA5477">
        <w:rPr>
          <w:rFonts w:ascii="Arial" w:hAnsi="Arial"/>
          <w:b/>
        </w:rPr>
        <w:t>Documentos</w:t>
      </w:r>
      <w:r w:rsidRPr="00FA5477">
        <w:rPr>
          <w:rFonts w:ascii="Arial" w:hAnsi="Arial"/>
          <w:b/>
          <w:spacing w:val="-4"/>
        </w:rPr>
        <w:t xml:space="preserve"> </w:t>
      </w:r>
      <w:r w:rsidRPr="00FA5477">
        <w:rPr>
          <w:rFonts w:ascii="Arial" w:hAnsi="Arial"/>
          <w:b/>
        </w:rPr>
        <w:t>revisados</w:t>
      </w:r>
      <w:r w:rsidRPr="00FA5477">
        <w:rPr>
          <w:rFonts w:ascii="Arial" w:hAnsi="Arial"/>
          <w:b/>
          <w:spacing w:val="-3"/>
        </w:rPr>
        <w:t xml:space="preserve"> </w:t>
      </w:r>
      <w:r w:rsidRPr="00FA5477">
        <w:rPr>
          <w:rFonts w:ascii="Arial" w:hAnsi="Arial"/>
          <w:b/>
        </w:rPr>
        <w:t>por</w:t>
      </w:r>
      <w:r w:rsidRPr="00FA5477">
        <w:rPr>
          <w:rFonts w:ascii="Arial" w:hAnsi="Arial"/>
          <w:b/>
          <w:spacing w:val="-1"/>
        </w:rPr>
        <w:t xml:space="preserve"> </w:t>
      </w:r>
      <w:r w:rsidRPr="00FA5477">
        <w:rPr>
          <w:rFonts w:ascii="Arial" w:hAnsi="Arial"/>
          <w:b/>
        </w:rPr>
        <w:t>el</w:t>
      </w:r>
      <w:r w:rsidRPr="00FA5477">
        <w:rPr>
          <w:rFonts w:ascii="Arial" w:hAnsi="Arial"/>
          <w:b/>
          <w:spacing w:val="1"/>
        </w:rPr>
        <w:t xml:space="preserve"> </w:t>
      </w:r>
      <w:r w:rsidRPr="00FA5477">
        <w:rPr>
          <w:rFonts w:ascii="Arial" w:hAnsi="Arial"/>
          <w:b/>
        </w:rPr>
        <w:t>Panel de</w:t>
      </w:r>
      <w:r w:rsidRPr="00FA5477">
        <w:rPr>
          <w:rFonts w:ascii="Arial" w:hAnsi="Arial"/>
          <w:b/>
          <w:spacing w:val="-4"/>
        </w:rPr>
        <w:t xml:space="preserve"> </w:t>
      </w:r>
      <w:r w:rsidRPr="00FA5477">
        <w:rPr>
          <w:rFonts w:ascii="Arial" w:hAnsi="Arial"/>
          <w:b/>
        </w:rPr>
        <w:t>Revisión</w:t>
      </w:r>
      <w:r w:rsidRPr="00FA5477">
        <w:rPr>
          <w:rFonts w:ascii="Arial" w:hAnsi="Arial"/>
          <w:b/>
          <w:spacing w:val="-5"/>
        </w:rPr>
        <w:t xml:space="preserve"> </w:t>
      </w:r>
      <w:r w:rsidRPr="00FA5477">
        <w:rPr>
          <w:rFonts w:ascii="Arial" w:hAnsi="Arial"/>
          <w:b/>
        </w:rPr>
        <w:t>Técnica</w:t>
      </w:r>
    </w:p>
    <w:tbl>
      <w:tblPr>
        <w:tblStyle w:val="TableNormal1"/>
        <w:tblW w:w="0" w:type="auto"/>
        <w:tblInd w:w="139" w:type="dxa"/>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Layout w:type="fixed"/>
        <w:tblLook w:val="01E0" w:firstRow="1" w:lastRow="1" w:firstColumn="1" w:lastColumn="1" w:noHBand="0" w:noVBand="0"/>
      </w:tblPr>
      <w:tblGrid>
        <w:gridCol w:w="622"/>
        <w:gridCol w:w="9472"/>
      </w:tblGrid>
      <w:tr w:rsidR="000F3D1A" w:rsidRPr="00FA5477" w14:paraId="0B89281B" w14:textId="77777777">
        <w:trPr>
          <w:trHeight w:val="448"/>
        </w:trPr>
        <w:tc>
          <w:tcPr>
            <w:tcW w:w="622" w:type="dxa"/>
            <w:tcBorders>
              <w:top w:val="nil"/>
              <w:left w:val="nil"/>
            </w:tcBorders>
          </w:tcPr>
          <w:p w14:paraId="045AE41B" w14:textId="64BE27C1" w:rsidR="000F3D1A" w:rsidRPr="00FA5477" w:rsidRDefault="006B6261">
            <w:pPr>
              <w:pStyle w:val="TableParagraph"/>
              <w:spacing w:before="95"/>
              <w:ind w:left="155"/>
              <w:rPr>
                <w:rFonts w:ascii="MS Gothic" w:hAnsi="MS Gothic"/>
                <w:sz w:val="20"/>
              </w:rPr>
            </w:pPr>
            <w:r w:rsidRPr="00FA5477">
              <w:rPr>
                <w:rFonts w:ascii="MS Gothic" w:eastAsia="MS Gothic" w:hAnsi="MS Gothic" w:hint="eastAsia"/>
                <w:w w:val="99"/>
                <w:sz w:val="20"/>
              </w:rPr>
              <w:t>☒</w:t>
            </w:r>
          </w:p>
        </w:tc>
        <w:tc>
          <w:tcPr>
            <w:tcW w:w="9472" w:type="dxa"/>
            <w:tcBorders>
              <w:top w:val="nil"/>
              <w:right w:val="nil"/>
            </w:tcBorders>
          </w:tcPr>
          <w:p w14:paraId="2DED8161" w14:textId="77777777" w:rsidR="000F3D1A" w:rsidRPr="00FA5477" w:rsidRDefault="008B2B26">
            <w:pPr>
              <w:pStyle w:val="TableParagraph"/>
              <w:spacing w:before="107"/>
              <w:ind w:left="141"/>
              <w:rPr>
                <w:sz w:val="20"/>
              </w:rPr>
            </w:pPr>
            <w:r w:rsidRPr="00FA5477">
              <w:rPr>
                <w:sz w:val="20"/>
              </w:rPr>
              <w:t>Formulario</w:t>
            </w:r>
            <w:r w:rsidRPr="00FA5477">
              <w:rPr>
                <w:spacing w:val="-6"/>
                <w:sz w:val="20"/>
              </w:rPr>
              <w:t xml:space="preserve"> </w:t>
            </w:r>
            <w:r w:rsidRPr="00FA5477">
              <w:rPr>
                <w:sz w:val="20"/>
              </w:rPr>
              <w:t>de</w:t>
            </w:r>
            <w:r w:rsidRPr="00FA5477">
              <w:rPr>
                <w:spacing w:val="-7"/>
                <w:sz w:val="20"/>
              </w:rPr>
              <w:t xml:space="preserve"> </w:t>
            </w:r>
            <w:r w:rsidRPr="00FA5477">
              <w:rPr>
                <w:sz w:val="20"/>
              </w:rPr>
              <w:t>solicitud</w:t>
            </w:r>
            <w:r w:rsidRPr="00FA5477">
              <w:rPr>
                <w:spacing w:val="-4"/>
                <w:sz w:val="20"/>
              </w:rPr>
              <w:t xml:space="preserve"> </w:t>
            </w:r>
            <w:r w:rsidRPr="00FA5477">
              <w:rPr>
                <w:sz w:val="20"/>
              </w:rPr>
              <w:t>de</w:t>
            </w:r>
            <w:r w:rsidRPr="00FA5477">
              <w:rPr>
                <w:spacing w:val="-6"/>
                <w:sz w:val="20"/>
              </w:rPr>
              <w:t xml:space="preserve"> </w:t>
            </w:r>
            <w:r w:rsidRPr="00FA5477">
              <w:rPr>
                <w:sz w:val="20"/>
              </w:rPr>
              <w:t>financiamiento</w:t>
            </w:r>
          </w:p>
        </w:tc>
      </w:tr>
      <w:tr w:rsidR="000F3D1A" w:rsidRPr="00FA5477" w14:paraId="6B02DB1A" w14:textId="77777777">
        <w:trPr>
          <w:trHeight w:val="448"/>
        </w:trPr>
        <w:tc>
          <w:tcPr>
            <w:tcW w:w="622" w:type="dxa"/>
            <w:tcBorders>
              <w:left w:val="nil"/>
            </w:tcBorders>
          </w:tcPr>
          <w:p w14:paraId="27D43A53" w14:textId="4490BEC8" w:rsidR="000F3D1A" w:rsidRPr="00FA5477" w:rsidRDefault="00E81295">
            <w:pPr>
              <w:pStyle w:val="TableParagraph"/>
              <w:spacing w:before="91"/>
              <w:ind w:left="170"/>
              <w:rPr>
                <w:rFonts w:ascii="Segoe UI Symbol" w:hAnsi="Segoe UI Symbol"/>
                <w:sz w:val="20"/>
              </w:rPr>
            </w:pPr>
            <w:r w:rsidRPr="00FA5477">
              <w:rPr>
                <w:rFonts w:ascii="MS Gothic" w:eastAsia="MS Gothic" w:hAnsi="MS Gothic" w:hint="eastAsia"/>
                <w:w w:val="99"/>
                <w:sz w:val="20"/>
              </w:rPr>
              <w:t>☒</w:t>
            </w:r>
          </w:p>
        </w:tc>
        <w:tc>
          <w:tcPr>
            <w:tcW w:w="9472" w:type="dxa"/>
            <w:tcBorders>
              <w:right w:val="nil"/>
            </w:tcBorders>
          </w:tcPr>
          <w:p w14:paraId="13CE4391" w14:textId="77777777" w:rsidR="000F3D1A" w:rsidRPr="00FA5477" w:rsidRDefault="008B2B26">
            <w:pPr>
              <w:pStyle w:val="TableParagraph"/>
              <w:spacing w:before="107"/>
              <w:ind w:left="141"/>
              <w:rPr>
                <w:sz w:val="20"/>
              </w:rPr>
            </w:pPr>
            <w:r w:rsidRPr="00FA5477">
              <w:rPr>
                <w:sz w:val="20"/>
              </w:rPr>
              <w:t>Marco</w:t>
            </w:r>
            <w:r w:rsidRPr="00FA5477">
              <w:rPr>
                <w:spacing w:val="-5"/>
                <w:sz w:val="20"/>
              </w:rPr>
              <w:t xml:space="preserve"> </w:t>
            </w:r>
            <w:r w:rsidRPr="00FA5477">
              <w:rPr>
                <w:sz w:val="20"/>
              </w:rPr>
              <w:t>de</w:t>
            </w:r>
            <w:r w:rsidRPr="00FA5477">
              <w:rPr>
                <w:spacing w:val="-3"/>
                <w:sz w:val="20"/>
              </w:rPr>
              <w:t xml:space="preserve"> </w:t>
            </w:r>
            <w:r w:rsidRPr="00FA5477">
              <w:rPr>
                <w:sz w:val="20"/>
              </w:rPr>
              <w:t>Desempeño</w:t>
            </w:r>
          </w:p>
        </w:tc>
      </w:tr>
      <w:tr w:rsidR="000F3D1A" w:rsidRPr="00FA5477" w14:paraId="30C138A5" w14:textId="77777777">
        <w:trPr>
          <w:trHeight w:val="446"/>
        </w:trPr>
        <w:tc>
          <w:tcPr>
            <w:tcW w:w="622" w:type="dxa"/>
            <w:tcBorders>
              <w:left w:val="nil"/>
            </w:tcBorders>
          </w:tcPr>
          <w:p w14:paraId="679C74F2" w14:textId="089EF685" w:rsidR="000F3D1A" w:rsidRPr="00FA5477" w:rsidRDefault="009E4255">
            <w:pPr>
              <w:pStyle w:val="TableParagraph"/>
              <w:spacing w:before="89"/>
              <w:ind w:left="170"/>
              <w:rPr>
                <w:rFonts w:ascii="Segoe UI Symbol" w:hAnsi="Segoe UI Symbol"/>
                <w:sz w:val="20"/>
              </w:rPr>
            </w:pPr>
            <w:r w:rsidRPr="00FA5477">
              <w:rPr>
                <w:rFonts w:ascii="MS Gothic" w:eastAsia="MS Gothic" w:hAnsi="MS Gothic" w:hint="eastAsia"/>
                <w:w w:val="99"/>
                <w:sz w:val="20"/>
              </w:rPr>
              <w:t>☒</w:t>
            </w:r>
          </w:p>
        </w:tc>
        <w:tc>
          <w:tcPr>
            <w:tcW w:w="9472" w:type="dxa"/>
            <w:tcBorders>
              <w:right w:val="nil"/>
            </w:tcBorders>
          </w:tcPr>
          <w:p w14:paraId="783F5588" w14:textId="77777777" w:rsidR="000F3D1A" w:rsidRPr="00811838" w:rsidRDefault="008B2B26">
            <w:pPr>
              <w:pStyle w:val="TableParagraph"/>
              <w:spacing w:before="107"/>
              <w:ind w:left="141"/>
              <w:rPr>
                <w:sz w:val="20"/>
              </w:rPr>
            </w:pPr>
            <w:r w:rsidRPr="00811838">
              <w:rPr>
                <w:sz w:val="20"/>
              </w:rPr>
              <w:t>Presupuesto</w:t>
            </w:r>
            <w:r w:rsidRPr="00811838">
              <w:rPr>
                <w:spacing w:val="-7"/>
                <w:sz w:val="20"/>
              </w:rPr>
              <w:t xml:space="preserve"> </w:t>
            </w:r>
            <w:r w:rsidRPr="00811838">
              <w:rPr>
                <w:sz w:val="20"/>
              </w:rPr>
              <w:t>detallado</w:t>
            </w:r>
          </w:p>
        </w:tc>
      </w:tr>
      <w:tr w:rsidR="000F3D1A" w:rsidRPr="00FA5477" w14:paraId="2278919D" w14:textId="77777777">
        <w:trPr>
          <w:trHeight w:val="448"/>
        </w:trPr>
        <w:tc>
          <w:tcPr>
            <w:tcW w:w="622" w:type="dxa"/>
            <w:tcBorders>
              <w:left w:val="nil"/>
            </w:tcBorders>
          </w:tcPr>
          <w:p w14:paraId="7FA6DDB1" w14:textId="0A55BCCB" w:rsidR="000F3D1A" w:rsidRPr="00FA5477" w:rsidRDefault="00E81295">
            <w:pPr>
              <w:pStyle w:val="TableParagraph"/>
              <w:spacing w:before="91"/>
              <w:ind w:left="170"/>
              <w:rPr>
                <w:rFonts w:ascii="Segoe UI Symbol" w:hAnsi="Segoe UI Symbol"/>
                <w:sz w:val="20"/>
              </w:rPr>
            </w:pPr>
            <w:r w:rsidRPr="00FA5477">
              <w:rPr>
                <w:rFonts w:ascii="MS Gothic" w:eastAsia="MS Gothic" w:hAnsi="MS Gothic" w:hint="eastAsia"/>
                <w:w w:val="99"/>
                <w:sz w:val="20"/>
              </w:rPr>
              <w:t>☒</w:t>
            </w:r>
          </w:p>
        </w:tc>
        <w:tc>
          <w:tcPr>
            <w:tcW w:w="9472" w:type="dxa"/>
            <w:tcBorders>
              <w:right w:val="nil"/>
            </w:tcBorders>
          </w:tcPr>
          <w:p w14:paraId="3F93C1A4" w14:textId="77777777" w:rsidR="000F3D1A" w:rsidRPr="00811838" w:rsidRDefault="008B2B26">
            <w:pPr>
              <w:pStyle w:val="TableParagraph"/>
              <w:spacing w:before="110"/>
              <w:ind w:left="141"/>
              <w:rPr>
                <w:sz w:val="20"/>
              </w:rPr>
            </w:pPr>
            <w:r w:rsidRPr="00811838">
              <w:rPr>
                <w:sz w:val="20"/>
              </w:rPr>
              <w:t>Tabla(s)</w:t>
            </w:r>
            <w:r w:rsidRPr="00811838">
              <w:rPr>
                <w:spacing w:val="-8"/>
                <w:sz w:val="20"/>
              </w:rPr>
              <w:t xml:space="preserve"> </w:t>
            </w:r>
            <w:r w:rsidRPr="00811838">
              <w:rPr>
                <w:sz w:val="20"/>
              </w:rPr>
              <w:t>de</w:t>
            </w:r>
            <w:r w:rsidRPr="00811838">
              <w:rPr>
                <w:spacing w:val="-8"/>
                <w:sz w:val="20"/>
              </w:rPr>
              <w:t xml:space="preserve"> </w:t>
            </w:r>
            <w:r w:rsidRPr="00811838">
              <w:rPr>
                <w:sz w:val="20"/>
              </w:rPr>
              <w:t>deficiencias</w:t>
            </w:r>
            <w:r w:rsidRPr="00811838">
              <w:rPr>
                <w:spacing w:val="-3"/>
                <w:sz w:val="20"/>
              </w:rPr>
              <w:t xml:space="preserve"> </w:t>
            </w:r>
            <w:r w:rsidRPr="00811838">
              <w:rPr>
                <w:sz w:val="20"/>
              </w:rPr>
              <w:t>programáticas</w:t>
            </w:r>
          </w:p>
        </w:tc>
      </w:tr>
      <w:tr w:rsidR="000F3D1A" w:rsidRPr="00FA5477" w14:paraId="057A9B29" w14:textId="77777777">
        <w:trPr>
          <w:trHeight w:val="449"/>
        </w:trPr>
        <w:tc>
          <w:tcPr>
            <w:tcW w:w="622" w:type="dxa"/>
            <w:tcBorders>
              <w:left w:val="nil"/>
            </w:tcBorders>
          </w:tcPr>
          <w:p w14:paraId="0676F022" w14:textId="793BF633" w:rsidR="000F3D1A" w:rsidRPr="00FA5477" w:rsidRDefault="009E4255">
            <w:pPr>
              <w:pStyle w:val="TableParagraph"/>
              <w:spacing w:before="92"/>
              <w:ind w:left="170"/>
              <w:rPr>
                <w:rFonts w:ascii="Segoe UI Symbol" w:hAnsi="Segoe UI Symbol"/>
                <w:sz w:val="20"/>
              </w:rPr>
            </w:pPr>
            <w:r w:rsidRPr="00FA5477">
              <w:rPr>
                <w:rFonts w:ascii="MS Gothic" w:eastAsia="MS Gothic" w:hAnsi="MS Gothic" w:hint="eastAsia"/>
                <w:w w:val="99"/>
                <w:sz w:val="20"/>
              </w:rPr>
              <w:t>☒</w:t>
            </w:r>
          </w:p>
        </w:tc>
        <w:tc>
          <w:tcPr>
            <w:tcW w:w="9472" w:type="dxa"/>
            <w:tcBorders>
              <w:right w:val="nil"/>
            </w:tcBorders>
          </w:tcPr>
          <w:p w14:paraId="1BE6EF64" w14:textId="77777777" w:rsidR="000F3D1A" w:rsidRPr="00811838" w:rsidRDefault="008B2B26">
            <w:pPr>
              <w:pStyle w:val="TableParagraph"/>
              <w:spacing w:before="108"/>
              <w:ind w:left="141"/>
              <w:rPr>
                <w:sz w:val="20"/>
              </w:rPr>
            </w:pPr>
            <w:r w:rsidRPr="00811838">
              <w:rPr>
                <w:sz w:val="20"/>
              </w:rPr>
              <w:t>Tabla(s)</w:t>
            </w:r>
            <w:r w:rsidRPr="00811838">
              <w:rPr>
                <w:spacing w:val="-6"/>
                <w:sz w:val="20"/>
              </w:rPr>
              <w:t xml:space="preserve"> </w:t>
            </w:r>
            <w:r w:rsidRPr="00811838">
              <w:rPr>
                <w:sz w:val="20"/>
              </w:rPr>
              <w:t>del</w:t>
            </w:r>
            <w:r w:rsidRPr="00811838">
              <w:rPr>
                <w:spacing w:val="-5"/>
                <w:sz w:val="20"/>
              </w:rPr>
              <w:t xml:space="preserve"> </w:t>
            </w:r>
            <w:r w:rsidRPr="00811838">
              <w:rPr>
                <w:sz w:val="20"/>
              </w:rPr>
              <w:t>panorama</w:t>
            </w:r>
            <w:r w:rsidRPr="00811838">
              <w:rPr>
                <w:spacing w:val="-4"/>
                <w:sz w:val="20"/>
              </w:rPr>
              <w:t xml:space="preserve"> </w:t>
            </w:r>
            <w:r w:rsidRPr="00811838">
              <w:rPr>
                <w:sz w:val="20"/>
              </w:rPr>
              <w:t>de</w:t>
            </w:r>
            <w:r w:rsidRPr="00811838">
              <w:rPr>
                <w:spacing w:val="-6"/>
                <w:sz w:val="20"/>
              </w:rPr>
              <w:t xml:space="preserve"> </w:t>
            </w:r>
            <w:r w:rsidRPr="00811838">
              <w:rPr>
                <w:sz w:val="20"/>
              </w:rPr>
              <w:t>financiamiento</w:t>
            </w:r>
          </w:p>
        </w:tc>
      </w:tr>
      <w:tr w:rsidR="000F3D1A" w:rsidRPr="00FA5477" w14:paraId="4F6E8B86" w14:textId="77777777">
        <w:trPr>
          <w:trHeight w:val="448"/>
        </w:trPr>
        <w:tc>
          <w:tcPr>
            <w:tcW w:w="622" w:type="dxa"/>
            <w:tcBorders>
              <w:left w:val="nil"/>
            </w:tcBorders>
          </w:tcPr>
          <w:p w14:paraId="4B9F207A" w14:textId="7DD59295" w:rsidR="000F3D1A" w:rsidRPr="00FA5477" w:rsidRDefault="009E4255">
            <w:pPr>
              <w:pStyle w:val="TableParagraph"/>
              <w:spacing w:before="91"/>
              <w:ind w:left="170"/>
              <w:rPr>
                <w:rFonts w:ascii="Segoe UI Symbol" w:hAnsi="Segoe UI Symbol"/>
                <w:sz w:val="20"/>
              </w:rPr>
            </w:pPr>
            <w:r w:rsidRPr="00FA5477">
              <w:rPr>
                <w:rFonts w:ascii="MS Gothic" w:eastAsia="MS Gothic" w:hAnsi="MS Gothic" w:hint="eastAsia"/>
                <w:w w:val="99"/>
                <w:sz w:val="20"/>
              </w:rPr>
              <w:t>☒</w:t>
            </w:r>
          </w:p>
        </w:tc>
        <w:tc>
          <w:tcPr>
            <w:tcW w:w="9472" w:type="dxa"/>
            <w:tcBorders>
              <w:right w:val="nil"/>
            </w:tcBorders>
          </w:tcPr>
          <w:p w14:paraId="32ADC515" w14:textId="77777777" w:rsidR="000F3D1A" w:rsidRPr="00FA5477" w:rsidRDefault="008B2B26">
            <w:pPr>
              <w:pStyle w:val="TableParagraph"/>
              <w:spacing w:before="107"/>
              <w:ind w:left="141"/>
              <w:rPr>
                <w:sz w:val="20"/>
              </w:rPr>
            </w:pPr>
            <w:r w:rsidRPr="00FA5477">
              <w:rPr>
                <w:sz w:val="20"/>
              </w:rPr>
              <w:t>Solicitud</w:t>
            </w:r>
            <w:r w:rsidRPr="00FA5477">
              <w:rPr>
                <w:spacing w:val="-5"/>
                <w:sz w:val="20"/>
              </w:rPr>
              <w:t xml:space="preserve"> </w:t>
            </w:r>
            <w:r w:rsidRPr="00FA5477">
              <w:rPr>
                <w:sz w:val="20"/>
              </w:rPr>
              <w:t>priorizada</w:t>
            </w:r>
            <w:r w:rsidRPr="00FA5477">
              <w:rPr>
                <w:spacing w:val="-5"/>
                <w:sz w:val="20"/>
              </w:rPr>
              <w:t xml:space="preserve"> </w:t>
            </w:r>
            <w:r w:rsidRPr="00FA5477">
              <w:rPr>
                <w:sz w:val="20"/>
              </w:rPr>
              <w:t>por</w:t>
            </w:r>
            <w:r w:rsidRPr="00FA5477">
              <w:rPr>
                <w:spacing w:val="-5"/>
                <w:sz w:val="20"/>
              </w:rPr>
              <w:t xml:space="preserve"> </w:t>
            </w:r>
            <w:r w:rsidRPr="00FA5477">
              <w:rPr>
                <w:sz w:val="20"/>
              </w:rPr>
              <w:t>encima</w:t>
            </w:r>
            <w:r w:rsidRPr="00FA5477">
              <w:rPr>
                <w:spacing w:val="-4"/>
                <w:sz w:val="20"/>
              </w:rPr>
              <w:t xml:space="preserve"> </w:t>
            </w:r>
            <w:r w:rsidRPr="00FA5477">
              <w:rPr>
                <w:sz w:val="20"/>
              </w:rPr>
              <w:t>del</w:t>
            </w:r>
            <w:r w:rsidRPr="00FA5477">
              <w:rPr>
                <w:spacing w:val="-7"/>
                <w:sz w:val="20"/>
              </w:rPr>
              <w:t xml:space="preserve"> </w:t>
            </w:r>
            <w:r w:rsidRPr="00FA5477">
              <w:rPr>
                <w:sz w:val="20"/>
              </w:rPr>
              <w:t>monto</w:t>
            </w:r>
            <w:r w:rsidRPr="00FA5477">
              <w:rPr>
                <w:spacing w:val="-3"/>
                <w:sz w:val="20"/>
              </w:rPr>
              <w:t xml:space="preserve"> </w:t>
            </w:r>
            <w:r w:rsidRPr="00FA5477">
              <w:rPr>
                <w:sz w:val="20"/>
              </w:rPr>
              <w:t>asignado</w:t>
            </w:r>
          </w:p>
        </w:tc>
      </w:tr>
      <w:tr w:rsidR="000F3D1A" w:rsidRPr="00FA5477" w14:paraId="1D6F2090" w14:textId="77777777">
        <w:trPr>
          <w:trHeight w:val="446"/>
        </w:trPr>
        <w:tc>
          <w:tcPr>
            <w:tcW w:w="622" w:type="dxa"/>
            <w:tcBorders>
              <w:left w:val="nil"/>
            </w:tcBorders>
          </w:tcPr>
          <w:p w14:paraId="5EEB65CD" w14:textId="4874D56E" w:rsidR="000F3D1A" w:rsidRPr="00FA5477" w:rsidRDefault="00E81295">
            <w:pPr>
              <w:pStyle w:val="TableParagraph"/>
              <w:spacing w:before="89"/>
              <w:ind w:left="170"/>
              <w:rPr>
                <w:rFonts w:ascii="Segoe UI Symbol" w:hAnsi="Segoe UI Symbol"/>
                <w:sz w:val="20"/>
              </w:rPr>
            </w:pPr>
            <w:r w:rsidRPr="00FA5477">
              <w:rPr>
                <w:rFonts w:ascii="MS Gothic" w:eastAsia="MS Gothic" w:hAnsi="MS Gothic" w:hint="eastAsia"/>
                <w:w w:val="99"/>
                <w:sz w:val="20"/>
              </w:rPr>
              <w:t>☒</w:t>
            </w:r>
          </w:p>
        </w:tc>
        <w:tc>
          <w:tcPr>
            <w:tcW w:w="9472" w:type="dxa"/>
            <w:tcBorders>
              <w:right w:val="nil"/>
            </w:tcBorders>
          </w:tcPr>
          <w:p w14:paraId="07AD4650" w14:textId="77777777" w:rsidR="000F3D1A" w:rsidRPr="00FA5477" w:rsidRDefault="008B2B26">
            <w:pPr>
              <w:pStyle w:val="TableParagraph"/>
              <w:spacing w:before="107"/>
              <w:ind w:left="141"/>
              <w:rPr>
                <w:sz w:val="20"/>
              </w:rPr>
            </w:pPr>
            <w:r w:rsidRPr="00FA5477">
              <w:rPr>
                <w:sz w:val="20"/>
              </w:rPr>
              <w:t>Mapa(s)</w:t>
            </w:r>
            <w:r w:rsidRPr="00FA5477">
              <w:rPr>
                <w:spacing w:val="-5"/>
                <w:sz w:val="20"/>
              </w:rPr>
              <w:t xml:space="preserve"> </w:t>
            </w:r>
            <w:r w:rsidRPr="00FA5477">
              <w:rPr>
                <w:sz w:val="20"/>
              </w:rPr>
              <w:t>de</w:t>
            </w:r>
            <w:r w:rsidRPr="00FA5477">
              <w:rPr>
                <w:spacing w:val="-5"/>
                <w:sz w:val="20"/>
              </w:rPr>
              <w:t xml:space="preserve"> </w:t>
            </w:r>
            <w:r w:rsidRPr="00FA5477">
              <w:rPr>
                <w:sz w:val="20"/>
              </w:rPr>
              <w:t>acuerdos</w:t>
            </w:r>
            <w:r w:rsidRPr="00FA5477">
              <w:rPr>
                <w:spacing w:val="-4"/>
                <w:sz w:val="20"/>
              </w:rPr>
              <w:t xml:space="preserve"> </w:t>
            </w:r>
            <w:r w:rsidRPr="00FA5477">
              <w:rPr>
                <w:sz w:val="20"/>
              </w:rPr>
              <w:t>de</w:t>
            </w:r>
            <w:r w:rsidRPr="00FA5477">
              <w:rPr>
                <w:spacing w:val="-4"/>
                <w:sz w:val="20"/>
              </w:rPr>
              <w:t xml:space="preserve"> </w:t>
            </w:r>
            <w:r w:rsidRPr="00FA5477">
              <w:rPr>
                <w:sz w:val="20"/>
              </w:rPr>
              <w:t>ejecución</w:t>
            </w:r>
          </w:p>
        </w:tc>
      </w:tr>
      <w:tr w:rsidR="000F3D1A" w:rsidRPr="00FA5477" w14:paraId="35FF19C5" w14:textId="77777777">
        <w:trPr>
          <w:trHeight w:val="448"/>
        </w:trPr>
        <w:tc>
          <w:tcPr>
            <w:tcW w:w="622" w:type="dxa"/>
            <w:tcBorders>
              <w:left w:val="nil"/>
            </w:tcBorders>
          </w:tcPr>
          <w:p w14:paraId="4B410250" w14:textId="77777777" w:rsidR="000F3D1A" w:rsidRPr="00FA5477" w:rsidRDefault="008B2B26">
            <w:pPr>
              <w:pStyle w:val="TableParagraph"/>
              <w:spacing w:before="91"/>
              <w:ind w:left="170"/>
              <w:rPr>
                <w:rFonts w:ascii="Segoe UI Symbol" w:hAnsi="Segoe UI Symbol"/>
                <w:sz w:val="20"/>
              </w:rPr>
            </w:pPr>
            <w:r w:rsidRPr="00FA5477">
              <w:rPr>
                <w:rFonts w:ascii="Segoe UI Symbol" w:hAnsi="Segoe UI Symbol"/>
                <w:w w:val="99"/>
                <w:sz w:val="20"/>
              </w:rPr>
              <w:t>☐</w:t>
            </w:r>
          </w:p>
        </w:tc>
        <w:tc>
          <w:tcPr>
            <w:tcW w:w="9472" w:type="dxa"/>
            <w:tcBorders>
              <w:right w:val="nil"/>
            </w:tcBorders>
          </w:tcPr>
          <w:p w14:paraId="18029447" w14:textId="77777777" w:rsidR="000F3D1A" w:rsidRPr="00FA5477" w:rsidRDefault="008B2B26">
            <w:pPr>
              <w:pStyle w:val="TableParagraph"/>
              <w:spacing w:before="110"/>
              <w:ind w:left="141"/>
              <w:rPr>
                <w:sz w:val="20"/>
              </w:rPr>
            </w:pPr>
            <w:r w:rsidRPr="00FA5477">
              <w:rPr>
                <w:sz w:val="20"/>
              </w:rPr>
              <w:t>Evaluación</w:t>
            </w:r>
            <w:r w:rsidRPr="00FA5477">
              <w:rPr>
                <w:spacing w:val="-6"/>
                <w:sz w:val="20"/>
              </w:rPr>
              <w:t xml:space="preserve"> </w:t>
            </w:r>
            <w:r w:rsidRPr="00FA5477">
              <w:rPr>
                <w:sz w:val="20"/>
              </w:rPr>
              <w:t>de</w:t>
            </w:r>
            <w:r w:rsidRPr="00FA5477">
              <w:rPr>
                <w:spacing w:val="-5"/>
                <w:sz w:val="20"/>
              </w:rPr>
              <w:t xml:space="preserve"> </w:t>
            </w:r>
            <w:r w:rsidRPr="00FA5477">
              <w:rPr>
                <w:sz w:val="20"/>
              </w:rPr>
              <w:t>los</w:t>
            </w:r>
            <w:r w:rsidRPr="00FA5477">
              <w:rPr>
                <w:spacing w:val="-3"/>
                <w:sz w:val="20"/>
              </w:rPr>
              <w:t xml:space="preserve"> </w:t>
            </w:r>
            <w:r w:rsidRPr="00FA5477">
              <w:rPr>
                <w:sz w:val="20"/>
              </w:rPr>
              <w:t>obstáculos</w:t>
            </w:r>
            <w:r w:rsidRPr="00FA5477">
              <w:rPr>
                <w:spacing w:val="-4"/>
                <w:sz w:val="20"/>
              </w:rPr>
              <w:t xml:space="preserve"> </w:t>
            </w:r>
            <w:r w:rsidRPr="00FA5477">
              <w:rPr>
                <w:sz w:val="20"/>
              </w:rPr>
              <w:t>relacionados</w:t>
            </w:r>
            <w:r w:rsidRPr="00FA5477">
              <w:rPr>
                <w:spacing w:val="-5"/>
                <w:sz w:val="20"/>
              </w:rPr>
              <w:t xml:space="preserve"> </w:t>
            </w:r>
            <w:r w:rsidRPr="00FA5477">
              <w:rPr>
                <w:sz w:val="20"/>
              </w:rPr>
              <w:t>con</w:t>
            </w:r>
            <w:r w:rsidRPr="00FA5477">
              <w:rPr>
                <w:spacing w:val="-4"/>
                <w:sz w:val="20"/>
              </w:rPr>
              <w:t xml:space="preserve"> </w:t>
            </w:r>
            <w:r w:rsidRPr="00FA5477">
              <w:rPr>
                <w:sz w:val="20"/>
              </w:rPr>
              <w:t>los derechos</w:t>
            </w:r>
            <w:r w:rsidRPr="00FA5477">
              <w:rPr>
                <w:spacing w:val="-5"/>
                <w:sz w:val="20"/>
              </w:rPr>
              <w:t xml:space="preserve"> </w:t>
            </w:r>
            <w:r w:rsidRPr="00FA5477">
              <w:rPr>
                <w:sz w:val="20"/>
              </w:rPr>
              <w:t>humanos</w:t>
            </w:r>
            <w:r w:rsidRPr="00FA5477">
              <w:rPr>
                <w:spacing w:val="-4"/>
                <w:sz w:val="20"/>
              </w:rPr>
              <w:t xml:space="preserve"> </w:t>
            </w:r>
            <w:r w:rsidRPr="00FA5477">
              <w:rPr>
                <w:sz w:val="20"/>
              </w:rPr>
              <w:t>los</w:t>
            </w:r>
            <w:r w:rsidRPr="00FA5477">
              <w:rPr>
                <w:spacing w:val="-4"/>
                <w:sz w:val="20"/>
              </w:rPr>
              <w:t xml:space="preserve"> </w:t>
            </w:r>
            <w:r w:rsidRPr="00FA5477">
              <w:rPr>
                <w:sz w:val="20"/>
              </w:rPr>
              <w:t>servicios</w:t>
            </w:r>
            <w:r w:rsidRPr="00FA5477">
              <w:rPr>
                <w:spacing w:val="-1"/>
                <w:sz w:val="20"/>
              </w:rPr>
              <w:t xml:space="preserve"> </w:t>
            </w:r>
            <w:r w:rsidRPr="00FA5477">
              <w:rPr>
                <w:sz w:val="20"/>
              </w:rPr>
              <w:t>(si</w:t>
            </w:r>
            <w:r w:rsidRPr="00FA5477">
              <w:rPr>
                <w:spacing w:val="-6"/>
                <w:sz w:val="20"/>
              </w:rPr>
              <w:t xml:space="preserve"> </w:t>
            </w:r>
            <w:r w:rsidRPr="00FA5477">
              <w:rPr>
                <w:sz w:val="20"/>
              </w:rPr>
              <w:t>está</w:t>
            </w:r>
            <w:r w:rsidRPr="00FA5477">
              <w:rPr>
                <w:spacing w:val="-5"/>
                <w:sz w:val="20"/>
              </w:rPr>
              <w:t xml:space="preserve"> </w:t>
            </w:r>
            <w:r w:rsidRPr="00FA5477">
              <w:rPr>
                <w:sz w:val="20"/>
              </w:rPr>
              <w:t>disponible)</w:t>
            </w:r>
          </w:p>
        </w:tc>
      </w:tr>
      <w:tr w:rsidR="000F3D1A" w:rsidRPr="00FA5477" w14:paraId="255F67E5" w14:textId="77777777">
        <w:trPr>
          <w:trHeight w:val="448"/>
        </w:trPr>
        <w:tc>
          <w:tcPr>
            <w:tcW w:w="622" w:type="dxa"/>
            <w:tcBorders>
              <w:left w:val="nil"/>
            </w:tcBorders>
          </w:tcPr>
          <w:p w14:paraId="168C7A54" w14:textId="119AD8CC" w:rsidR="000F3D1A" w:rsidRPr="00FA5477" w:rsidRDefault="00E81295">
            <w:pPr>
              <w:pStyle w:val="TableParagraph"/>
              <w:spacing w:before="91"/>
              <w:ind w:left="170"/>
              <w:rPr>
                <w:rFonts w:ascii="Segoe UI Symbol" w:hAnsi="Segoe UI Symbol"/>
                <w:sz w:val="20"/>
              </w:rPr>
            </w:pPr>
            <w:r w:rsidRPr="00FA5477">
              <w:rPr>
                <w:rFonts w:ascii="MS Gothic" w:eastAsia="MS Gothic" w:hAnsi="MS Gothic" w:hint="eastAsia"/>
                <w:w w:val="99"/>
                <w:sz w:val="20"/>
              </w:rPr>
              <w:t>☒</w:t>
            </w:r>
          </w:p>
        </w:tc>
        <w:tc>
          <w:tcPr>
            <w:tcW w:w="9472" w:type="dxa"/>
            <w:tcBorders>
              <w:right w:val="nil"/>
            </w:tcBorders>
          </w:tcPr>
          <w:p w14:paraId="263DA13D" w14:textId="77777777" w:rsidR="000F3D1A" w:rsidRPr="00FA5477" w:rsidRDefault="008B2B26">
            <w:pPr>
              <w:pStyle w:val="TableParagraph"/>
              <w:spacing w:before="107"/>
              <w:ind w:left="141"/>
              <w:rPr>
                <w:sz w:val="20"/>
              </w:rPr>
            </w:pPr>
            <w:r w:rsidRPr="00FA5477">
              <w:rPr>
                <w:sz w:val="20"/>
              </w:rPr>
              <w:t>Evaluación</w:t>
            </w:r>
            <w:r w:rsidRPr="00FA5477">
              <w:rPr>
                <w:spacing w:val="-5"/>
                <w:sz w:val="20"/>
              </w:rPr>
              <w:t xml:space="preserve"> </w:t>
            </w:r>
            <w:r w:rsidRPr="00FA5477">
              <w:rPr>
                <w:sz w:val="20"/>
              </w:rPr>
              <w:t>del</w:t>
            </w:r>
            <w:r w:rsidRPr="00FA5477">
              <w:rPr>
                <w:spacing w:val="-4"/>
                <w:sz w:val="20"/>
              </w:rPr>
              <w:t xml:space="preserve"> </w:t>
            </w:r>
            <w:r w:rsidRPr="00FA5477">
              <w:rPr>
                <w:sz w:val="20"/>
              </w:rPr>
              <w:t>género</w:t>
            </w:r>
            <w:r w:rsidRPr="00FA5477">
              <w:rPr>
                <w:spacing w:val="-5"/>
                <w:sz w:val="20"/>
              </w:rPr>
              <w:t xml:space="preserve"> </w:t>
            </w:r>
            <w:r w:rsidRPr="00FA5477">
              <w:rPr>
                <w:sz w:val="20"/>
              </w:rPr>
              <w:t>(si</w:t>
            </w:r>
            <w:r w:rsidRPr="00FA5477">
              <w:rPr>
                <w:spacing w:val="-5"/>
                <w:sz w:val="20"/>
              </w:rPr>
              <w:t xml:space="preserve"> </w:t>
            </w:r>
            <w:r w:rsidRPr="00FA5477">
              <w:rPr>
                <w:sz w:val="20"/>
              </w:rPr>
              <w:t>está</w:t>
            </w:r>
            <w:r w:rsidRPr="00FA5477">
              <w:rPr>
                <w:spacing w:val="-5"/>
                <w:sz w:val="20"/>
              </w:rPr>
              <w:t xml:space="preserve"> </w:t>
            </w:r>
            <w:r w:rsidRPr="00FA5477">
              <w:rPr>
                <w:sz w:val="20"/>
              </w:rPr>
              <w:t>disponible)</w:t>
            </w:r>
          </w:p>
        </w:tc>
      </w:tr>
      <w:tr w:rsidR="000F3D1A" w:rsidRPr="00FA5477" w14:paraId="411EBEE5" w14:textId="77777777">
        <w:trPr>
          <w:trHeight w:val="448"/>
        </w:trPr>
        <w:tc>
          <w:tcPr>
            <w:tcW w:w="622" w:type="dxa"/>
            <w:tcBorders>
              <w:left w:val="nil"/>
            </w:tcBorders>
          </w:tcPr>
          <w:p w14:paraId="582181A6" w14:textId="5F6DA825" w:rsidR="000F3D1A" w:rsidRPr="00FA5477" w:rsidRDefault="00E81295">
            <w:pPr>
              <w:pStyle w:val="TableParagraph"/>
              <w:spacing w:before="91"/>
              <w:ind w:left="170"/>
              <w:rPr>
                <w:rFonts w:ascii="Segoe UI Symbol" w:hAnsi="Segoe UI Symbol"/>
                <w:sz w:val="20"/>
              </w:rPr>
            </w:pPr>
            <w:r w:rsidRPr="00FA5477">
              <w:rPr>
                <w:rFonts w:ascii="MS Gothic" w:eastAsia="MS Gothic" w:hAnsi="MS Gothic" w:hint="eastAsia"/>
                <w:w w:val="99"/>
                <w:sz w:val="20"/>
              </w:rPr>
              <w:t>☒</w:t>
            </w:r>
          </w:p>
        </w:tc>
        <w:tc>
          <w:tcPr>
            <w:tcW w:w="9472" w:type="dxa"/>
            <w:tcBorders>
              <w:right w:val="nil"/>
            </w:tcBorders>
          </w:tcPr>
          <w:p w14:paraId="1877A5C2" w14:textId="77777777" w:rsidR="000F3D1A" w:rsidRPr="00FA5477" w:rsidRDefault="008B2B26">
            <w:pPr>
              <w:pStyle w:val="TableParagraph"/>
              <w:spacing w:before="107"/>
              <w:ind w:left="141"/>
              <w:rPr>
                <w:sz w:val="20"/>
              </w:rPr>
            </w:pPr>
            <w:r w:rsidRPr="00FA5477">
              <w:rPr>
                <w:sz w:val="20"/>
              </w:rPr>
              <w:t>Tabla(s)</w:t>
            </w:r>
            <w:r w:rsidRPr="00FA5477">
              <w:rPr>
                <w:spacing w:val="-5"/>
                <w:sz w:val="20"/>
              </w:rPr>
              <w:t xml:space="preserve"> </w:t>
            </w:r>
            <w:r w:rsidRPr="00FA5477">
              <w:rPr>
                <w:sz w:val="20"/>
              </w:rPr>
              <w:t>de</w:t>
            </w:r>
            <w:r w:rsidRPr="00FA5477">
              <w:rPr>
                <w:spacing w:val="-5"/>
                <w:sz w:val="20"/>
              </w:rPr>
              <w:t xml:space="preserve"> </w:t>
            </w:r>
            <w:r w:rsidRPr="00FA5477">
              <w:rPr>
                <w:sz w:val="20"/>
              </w:rPr>
              <w:t>datos</w:t>
            </w:r>
            <w:r w:rsidRPr="00FA5477">
              <w:rPr>
                <w:spacing w:val="-5"/>
                <w:sz w:val="20"/>
              </w:rPr>
              <w:t xml:space="preserve"> </w:t>
            </w:r>
            <w:r w:rsidRPr="00FA5477">
              <w:rPr>
                <w:sz w:val="20"/>
              </w:rPr>
              <w:t>esenciales</w:t>
            </w:r>
          </w:p>
        </w:tc>
      </w:tr>
      <w:tr w:rsidR="000F3D1A" w:rsidRPr="00FA5477" w14:paraId="336AA3DC" w14:textId="77777777">
        <w:trPr>
          <w:trHeight w:val="446"/>
        </w:trPr>
        <w:tc>
          <w:tcPr>
            <w:tcW w:w="622" w:type="dxa"/>
            <w:tcBorders>
              <w:left w:val="nil"/>
            </w:tcBorders>
          </w:tcPr>
          <w:p w14:paraId="538E329A" w14:textId="65D3F59A" w:rsidR="000F3D1A" w:rsidRPr="00FA5477" w:rsidRDefault="00E81295">
            <w:pPr>
              <w:pStyle w:val="TableParagraph"/>
              <w:spacing w:before="89"/>
              <w:ind w:left="170"/>
              <w:rPr>
                <w:rFonts w:ascii="Segoe UI Symbol" w:hAnsi="Segoe UI Symbol"/>
                <w:sz w:val="20"/>
              </w:rPr>
            </w:pPr>
            <w:r w:rsidRPr="00FA5477">
              <w:rPr>
                <w:rFonts w:ascii="MS Gothic" w:eastAsia="MS Gothic" w:hAnsi="MS Gothic" w:hint="eastAsia"/>
                <w:w w:val="99"/>
                <w:sz w:val="20"/>
              </w:rPr>
              <w:t>☒</w:t>
            </w:r>
          </w:p>
        </w:tc>
        <w:tc>
          <w:tcPr>
            <w:tcW w:w="9472" w:type="dxa"/>
            <w:tcBorders>
              <w:right w:val="nil"/>
            </w:tcBorders>
          </w:tcPr>
          <w:p w14:paraId="11382EDE" w14:textId="77777777" w:rsidR="000F3D1A" w:rsidRPr="00FA5477" w:rsidRDefault="008B2B26">
            <w:pPr>
              <w:pStyle w:val="TableParagraph"/>
              <w:spacing w:before="107"/>
              <w:ind w:left="141"/>
              <w:rPr>
                <w:sz w:val="20"/>
              </w:rPr>
            </w:pPr>
            <w:r w:rsidRPr="00FA5477">
              <w:rPr>
                <w:sz w:val="20"/>
              </w:rPr>
              <w:t>Planes</w:t>
            </w:r>
            <w:r w:rsidRPr="00FA5477">
              <w:rPr>
                <w:spacing w:val="-6"/>
                <w:sz w:val="20"/>
              </w:rPr>
              <w:t xml:space="preserve"> </w:t>
            </w:r>
            <w:r w:rsidRPr="00FA5477">
              <w:rPr>
                <w:sz w:val="20"/>
              </w:rPr>
              <w:t>Estratégicos</w:t>
            </w:r>
            <w:r w:rsidRPr="00FA5477">
              <w:rPr>
                <w:spacing w:val="-8"/>
                <w:sz w:val="20"/>
              </w:rPr>
              <w:t xml:space="preserve"> </w:t>
            </w:r>
            <w:r w:rsidRPr="00FA5477">
              <w:rPr>
                <w:sz w:val="20"/>
              </w:rPr>
              <w:t>Nacionales</w:t>
            </w:r>
          </w:p>
        </w:tc>
      </w:tr>
      <w:tr w:rsidR="000F3D1A" w:rsidRPr="00FA5477" w14:paraId="6FD4B672" w14:textId="77777777">
        <w:trPr>
          <w:trHeight w:val="448"/>
        </w:trPr>
        <w:tc>
          <w:tcPr>
            <w:tcW w:w="622" w:type="dxa"/>
            <w:tcBorders>
              <w:left w:val="nil"/>
            </w:tcBorders>
          </w:tcPr>
          <w:p w14:paraId="1D1D0504" w14:textId="77777777" w:rsidR="000F3D1A" w:rsidRPr="00FA5477" w:rsidRDefault="008B2B26">
            <w:pPr>
              <w:pStyle w:val="TableParagraph"/>
              <w:spacing w:before="91"/>
              <w:ind w:left="170"/>
              <w:rPr>
                <w:rFonts w:ascii="Segoe UI Symbol" w:hAnsi="Segoe UI Symbol"/>
                <w:sz w:val="20"/>
              </w:rPr>
            </w:pPr>
            <w:r w:rsidRPr="00FA5477">
              <w:rPr>
                <w:rFonts w:ascii="Segoe UI Symbol" w:hAnsi="Segoe UI Symbol"/>
                <w:w w:val="99"/>
                <w:sz w:val="20"/>
              </w:rPr>
              <w:t>☐</w:t>
            </w:r>
          </w:p>
        </w:tc>
        <w:tc>
          <w:tcPr>
            <w:tcW w:w="9472" w:type="dxa"/>
            <w:tcBorders>
              <w:right w:val="nil"/>
            </w:tcBorders>
          </w:tcPr>
          <w:p w14:paraId="7D5638F9" w14:textId="77777777" w:rsidR="000F3D1A" w:rsidRPr="00FA5477" w:rsidRDefault="008B2B26">
            <w:pPr>
              <w:pStyle w:val="TableParagraph"/>
              <w:spacing w:before="110"/>
              <w:ind w:left="141"/>
              <w:rPr>
                <w:sz w:val="20"/>
              </w:rPr>
            </w:pPr>
            <w:r w:rsidRPr="00FA5477">
              <w:rPr>
                <w:sz w:val="20"/>
              </w:rPr>
              <w:t>Documentación</w:t>
            </w:r>
            <w:r w:rsidRPr="00FA5477">
              <w:rPr>
                <w:spacing w:val="-8"/>
                <w:sz w:val="20"/>
              </w:rPr>
              <w:t xml:space="preserve"> </w:t>
            </w:r>
            <w:r w:rsidRPr="00FA5477">
              <w:rPr>
                <w:sz w:val="20"/>
              </w:rPr>
              <w:t>sobre</w:t>
            </w:r>
            <w:r w:rsidRPr="00FA5477">
              <w:rPr>
                <w:spacing w:val="-6"/>
                <w:sz w:val="20"/>
              </w:rPr>
              <w:t xml:space="preserve"> </w:t>
            </w:r>
            <w:r w:rsidRPr="00FA5477">
              <w:rPr>
                <w:sz w:val="20"/>
              </w:rPr>
              <w:t>el</w:t>
            </w:r>
            <w:r w:rsidRPr="00FA5477">
              <w:rPr>
                <w:spacing w:val="-7"/>
                <w:sz w:val="20"/>
              </w:rPr>
              <w:t xml:space="preserve"> </w:t>
            </w:r>
            <w:r w:rsidRPr="00FA5477">
              <w:rPr>
                <w:sz w:val="20"/>
              </w:rPr>
              <w:t>financiamiento</w:t>
            </w:r>
            <w:r w:rsidRPr="00FA5477">
              <w:rPr>
                <w:spacing w:val="-5"/>
                <w:sz w:val="20"/>
              </w:rPr>
              <w:t xml:space="preserve"> </w:t>
            </w:r>
            <w:r w:rsidRPr="00FA5477">
              <w:rPr>
                <w:sz w:val="20"/>
              </w:rPr>
              <w:t>innovador</w:t>
            </w:r>
            <w:r w:rsidRPr="00FA5477">
              <w:rPr>
                <w:spacing w:val="-6"/>
                <w:sz w:val="20"/>
              </w:rPr>
              <w:t xml:space="preserve"> </w:t>
            </w:r>
            <w:r w:rsidRPr="00FA5477">
              <w:rPr>
                <w:sz w:val="20"/>
              </w:rPr>
              <w:t>(si</w:t>
            </w:r>
            <w:r w:rsidRPr="00FA5477">
              <w:rPr>
                <w:spacing w:val="-7"/>
                <w:sz w:val="20"/>
              </w:rPr>
              <w:t xml:space="preserve"> </w:t>
            </w:r>
            <w:r w:rsidRPr="00FA5477">
              <w:rPr>
                <w:sz w:val="20"/>
              </w:rPr>
              <w:t>corresponde)</w:t>
            </w:r>
          </w:p>
        </w:tc>
      </w:tr>
      <w:tr w:rsidR="000F3D1A" w:rsidRPr="00FA5477" w14:paraId="65867DF8" w14:textId="77777777">
        <w:trPr>
          <w:trHeight w:val="691"/>
        </w:trPr>
        <w:tc>
          <w:tcPr>
            <w:tcW w:w="622" w:type="dxa"/>
            <w:tcBorders>
              <w:left w:val="nil"/>
            </w:tcBorders>
          </w:tcPr>
          <w:p w14:paraId="4E681558" w14:textId="77777777" w:rsidR="000F3D1A" w:rsidRPr="00FA5477" w:rsidRDefault="008B2B26">
            <w:pPr>
              <w:pStyle w:val="TableParagraph"/>
              <w:spacing w:before="211"/>
              <w:ind w:left="170"/>
              <w:rPr>
                <w:rFonts w:ascii="Segoe UI Symbol" w:hAnsi="Segoe UI Symbol"/>
                <w:sz w:val="20"/>
              </w:rPr>
            </w:pPr>
            <w:r w:rsidRPr="00FA5477">
              <w:rPr>
                <w:rFonts w:ascii="Segoe UI Symbol" w:hAnsi="Segoe UI Symbol"/>
                <w:w w:val="99"/>
                <w:sz w:val="20"/>
              </w:rPr>
              <w:t>☐</w:t>
            </w:r>
          </w:p>
        </w:tc>
        <w:tc>
          <w:tcPr>
            <w:tcW w:w="9472" w:type="dxa"/>
            <w:tcBorders>
              <w:right w:val="nil"/>
            </w:tcBorders>
          </w:tcPr>
          <w:p w14:paraId="0A07BA65" w14:textId="0912D5F5" w:rsidR="000F3D1A" w:rsidRPr="00FA5477" w:rsidRDefault="008B2B26">
            <w:pPr>
              <w:pStyle w:val="TableParagraph"/>
              <w:spacing w:line="230" w:lineRule="exact"/>
              <w:ind w:left="141" w:right="92"/>
              <w:rPr>
                <w:sz w:val="20"/>
              </w:rPr>
            </w:pPr>
            <w:r w:rsidRPr="00FA5477">
              <w:rPr>
                <w:sz w:val="20"/>
              </w:rPr>
              <w:t>Documentación justificativa relacionada con la sostenibilidad y la transición (</w:t>
            </w:r>
            <w:r w:rsidRPr="00FA5477">
              <w:rPr>
                <w:rFonts w:ascii="Arial" w:hAnsi="Arial"/>
                <w:b/>
                <w:i/>
                <w:sz w:val="20"/>
              </w:rPr>
              <w:t xml:space="preserve">si está disponible </w:t>
            </w:r>
            <w:r w:rsidRPr="00FA5477">
              <w:rPr>
                <w:sz w:val="20"/>
              </w:rPr>
              <w:t>para las</w:t>
            </w:r>
            <w:r w:rsidRPr="00FA5477">
              <w:rPr>
                <w:spacing w:val="-53"/>
                <w:sz w:val="20"/>
              </w:rPr>
              <w:t xml:space="preserve"> </w:t>
            </w:r>
            <w:r w:rsidRPr="00FA5477">
              <w:rPr>
                <w:sz w:val="20"/>
              </w:rPr>
              <w:t xml:space="preserve">solicitudes de financiamiento adaptadas a los portafolios enfocados y </w:t>
            </w:r>
            <w:r w:rsidRPr="00FA5477">
              <w:rPr>
                <w:rFonts w:ascii="Arial" w:hAnsi="Arial"/>
                <w:b/>
                <w:i/>
                <w:sz w:val="20"/>
              </w:rPr>
              <w:t xml:space="preserve">obligatoria </w:t>
            </w:r>
            <w:r w:rsidRPr="00FA5477">
              <w:rPr>
                <w:sz w:val="20"/>
              </w:rPr>
              <w:t>para las solicitudes</w:t>
            </w:r>
            <w:r w:rsidRPr="00FA5477">
              <w:rPr>
                <w:spacing w:val="1"/>
                <w:sz w:val="20"/>
              </w:rPr>
              <w:t xml:space="preserve"> </w:t>
            </w:r>
            <w:r w:rsidRPr="00FA5477">
              <w:rPr>
                <w:sz w:val="20"/>
              </w:rPr>
              <w:t>adaptadas</w:t>
            </w:r>
            <w:r w:rsidRPr="00FA5477">
              <w:rPr>
                <w:spacing w:val="-1"/>
                <w:sz w:val="20"/>
              </w:rPr>
              <w:t xml:space="preserve"> </w:t>
            </w:r>
            <w:r w:rsidRPr="00FA5477">
              <w:rPr>
                <w:sz w:val="20"/>
              </w:rPr>
              <w:t>al financiamiento</w:t>
            </w:r>
            <w:r w:rsidRPr="00FA5477">
              <w:rPr>
                <w:spacing w:val="-1"/>
                <w:sz w:val="20"/>
              </w:rPr>
              <w:t xml:space="preserve"> </w:t>
            </w:r>
            <w:r w:rsidRPr="00FA5477">
              <w:rPr>
                <w:sz w:val="20"/>
              </w:rPr>
              <w:t>de</w:t>
            </w:r>
            <w:r w:rsidRPr="00FA5477">
              <w:rPr>
                <w:spacing w:val="1"/>
                <w:sz w:val="20"/>
              </w:rPr>
              <w:t xml:space="preserve"> </w:t>
            </w:r>
            <w:r w:rsidRPr="00FA5477">
              <w:rPr>
                <w:sz w:val="20"/>
              </w:rPr>
              <w:t>transición)</w:t>
            </w:r>
          </w:p>
        </w:tc>
      </w:tr>
      <w:tr w:rsidR="000F3D1A" w:rsidRPr="00FA5477" w14:paraId="725F0771" w14:textId="77777777">
        <w:trPr>
          <w:trHeight w:val="446"/>
        </w:trPr>
        <w:tc>
          <w:tcPr>
            <w:tcW w:w="622" w:type="dxa"/>
            <w:tcBorders>
              <w:left w:val="nil"/>
              <w:bottom w:val="nil"/>
            </w:tcBorders>
          </w:tcPr>
          <w:p w14:paraId="739B85A8" w14:textId="19517DB3" w:rsidR="000F3D1A" w:rsidRPr="00FA5477" w:rsidRDefault="009E4255">
            <w:pPr>
              <w:pStyle w:val="TableParagraph"/>
              <w:spacing w:before="89"/>
              <w:ind w:left="170"/>
              <w:rPr>
                <w:rFonts w:ascii="Segoe UI Symbol" w:hAnsi="Segoe UI Symbol"/>
                <w:sz w:val="20"/>
              </w:rPr>
            </w:pPr>
            <w:r w:rsidRPr="00FA5477">
              <w:rPr>
                <w:rFonts w:ascii="MS Gothic" w:eastAsia="MS Gothic" w:hAnsi="MS Gothic" w:hint="eastAsia"/>
                <w:w w:val="99"/>
                <w:sz w:val="20"/>
              </w:rPr>
              <w:t>☒</w:t>
            </w:r>
          </w:p>
        </w:tc>
        <w:tc>
          <w:tcPr>
            <w:tcW w:w="9472" w:type="dxa"/>
            <w:tcBorders>
              <w:bottom w:val="nil"/>
              <w:right w:val="nil"/>
            </w:tcBorders>
          </w:tcPr>
          <w:p w14:paraId="306373D2" w14:textId="77777777" w:rsidR="000F3D1A" w:rsidRPr="00FA5477" w:rsidRDefault="008B2B26">
            <w:pPr>
              <w:pStyle w:val="TableParagraph"/>
              <w:spacing w:before="107"/>
              <w:ind w:left="141"/>
              <w:rPr>
                <w:sz w:val="20"/>
              </w:rPr>
            </w:pPr>
            <w:r w:rsidRPr="00FA5477">
              <w:rPr>
                <w:sz w:val="20"/>
              </w:rPr>
              <w:t>Lista</w:t>
            </w:r>
            <w:r w:rsidRPr="00FA5477">
              <w:rPr>
                <w:spacing w:val="-3"/>
                <w:sz w:val="20"/>
              </w:rPr>
              <w:t xml:space="preserve"> </w:t>
            </w:r>
            <w:r w:rsidRPr="00FA5477">
              <w:rPr>
                <w:sz w:val="20"/>
              </w:rPr>
              <w:t>de</w:t>
            </w:r>
            <w:r w:rsidRPr="00FA5477">
              <w:rPr>
                <w:spacing w:val="-5"/>
                <w:sz w:val="20"/>
              </w:rPr>
              <w:t xml:space="preserve"> </w:t>
            </w:r>
            <w:r w:rsidRPr="00FA5477">
              <w:rPr>
                <w:sz w:val="20"/>
              </w:rPr>
              <w:t>abreviaturas,</w:t>
            </w:r>
            <w:r w:rsidRPr="00FA5477">
              <w:rPr>
                <w:spacing w:val="-4"/>
                <w:sz w:val="20"/>
              </w:rPr>
              <w:t xml:space="preserve"> </w:t>
            </w:r>
            <w:r w:rsidRPr="00FA5477">
              <w:rPr>
                <w:sz w:val="20"/>
              </w:rPr>
              <w:t>siglas</w:t>
            </w:r>
            <w:r w:rsidRPr="00FA5477">
              <w:rPr>
                <w:spacing w:val="-3"/>
                <w:sz w:val="20"/>
              </w:rPr>
              <w:t xml:space="preserve"> </w:t>
            </w:r>
            <w:r w:rsidRPr="00FA5477">
              <w:rPr>
                <w:sz w:val="20"/>
              </w:rPr>
              <w:t>y</w:t>
            </w:r>
            <w:r w:rsidRPr="00FA5477">
              <w:rPr>
                <w:spacing w:val="-4"/>
                <w:sz w:val="20"/>
              </w:rPr>
              <w:t xml:space="preserve"> </w:t>
            </w:r>
            <w:r w:rsidRPr="00FA5477">
              <w:rPr>
                <w:sz w:val="20"/>
              </w:rPr>
              <w:t>anexos</w:t>
            </w:r>
          </w:p>
        </w:tc>
      </w:tr>
    </w:tbl>
    <w:p w14:paraId="42AD772E" w14:textId="77777777" w:rsidR="000F3D1A" w:rsidRPr="00FA5477" w:rsidRDefault="008B2B26">
      <w:pPr>
        <w:spacing w:before="119"/>
        <w:ind w:left="132"/>
        <w:rPr>
          <w:rFonts w:ascii="Arial" w:hAnsi="Arial"/>
          <w:b/>
        </w:rPr>
      </w:pPr>
      <w:r w:rsidRPr="00FA5477">
        <w:rPr>
          <w:rFonts w:ascii="Arial" w:hAnsi="Arial"/>
          <w:b/>
        </w:rPr>
        <w:t>Documentos</w:t>
      </w:r>
      <w:r w:rsidRPr="00FA5477">
        <w:rPr>
          <w:rFonts w:ascii="Arial" w:hAnsi="Arial"/>
          <w:b/>
          <w:spacing w:val="-2"/>
        </w:rPr>
        <w:t xml:space="preserve"> </w:t>
      </w:r>
      <w:r w:rsidRPr="00FA5477">
        <w:rPr>
          <w:rFonts w:ascii="Arial" w:hAnsi="Arial"/>
          <w:b/>
        </w:rPr>
        <w:t>evaluados</w:t>
      </w:r>
      <w:r w:rsidRPr="00FA5477">
        <w:rPr>
          <w:rFonts w:ascii="Arial" w:hAnsi="Arial"/>
          <w:b/>
          <w:spacing w:val="-2"/>
        </w:rPr>
        <w:t xml:space="preserve"> </w:t>
      </w:r>
      <w:r w:rsidRPr="00FA5477">
        <w:rPr>
          <w:rFonts w:ascii="Arial" w:hAnsi="Arial"/>
          <w:b/>
        </w:rPr>
        <w:t>por</w:t>
      </w:r>
      <w:r w:rsidRPr="00FA5477">
        <w:rPr>
          <w:rFonts w:ascii="Arial" w:hAnsi="Arial"/>
          <w:b/>
          <w:spacing w:val="-2"/>
        </w:rPr>
        <w:t xml:space="preserve"> </w:t>
      </w:r>
      <w:r w:rsidRPr="00FA5477">
        <w:rPr>
          <w:rFonts w:ascii="Arial" w:hAnsi="Arial"/>
          <w:b/>
        </w:rPr>
        <w:t>la</w:t>
      </w:r>
      <w:r w:rsidRPr="00FA5477">
        <w:rPr>
          <w:rFonts w:ascii="Arial" w:hAnsi="Arial"/>
          <w:b/>
          <w:spacing w:val="-2"/>
        </w:rPr>
        <w:t xml:space="preserve"> </w:t>
      </w:r>
      <w:r w:rsidRPr="00FA5477">
        <w:rPr>
          <w:rFonts w:ascii="Arial" w:hAnsi="Arial"/>
          <w:b/>
        </w:rPr>
        <w:t>Secretaría</w:t>
      </w:r>
      <w:r w:rsidRPr="00FA5477">
        <w:rPr>
          <w:rFonts w:ascii="Arial" w:hAnsi="Arial"/>
          <w:b/>
          <w:spacing w:val="-3"/>
        </w:rPr>
        <w:t xml:space="preserve"> </w:t>
      </w:r>
      <w:r w:rsidRPr="00FA5477">
        <w:rPr>
          <w:rFonts w:ascii="Arial" w:hAnsi="Arial"/>
          <w:b/>
        </w:rPr>
        <w:t>del</w:t>
      </w:r>
      <w:r w:rsidRPr="00FA5477">
        <w:rPr>
          <w:rFonts w:ascii="Arial" w:hAnsi="Arial"/>
          <w:b/>
          <w:spacing w:val="-5"/>
        </w:rPr>
        <w:t xml:space="preserve"> </w:t>
      </w:r>
      <w:r w:rsidRPr="00FA5477">
        <w:rPr>
          <w:rFonts w:ascii="Arial" w:hAnsi="Arial"/>
          <w:b/>
        </w:rPr>
        <w:t>Fondo</w:t>
      </w:r>
      <w:r w:rsidRPr="00FA5477">
        <w:rPr>
          <w:rFonts w:ascii="Arial" w:hAnsi="Arial"/>
          <w:b/>
          <w:spacing w:val="-1"/>
        </w:rPr>
        <w:t xml:space="preserve"> </w:t>
      </w:r>
      <w:r w:rsidRPr="00FA5477">
        <w:rPr>
          <w:rFonts w:ascii="Arial" w:hAnsi="Arial"/>
          <w:b/>
        </w:rPr>
        <w:t>Mundial</w:t>
      </w:r>
    </w:p>
    <w:tbl>
      <w:tblPr>
        <w:tblStyle w:val="TableNormal1"/>
        <w:tblW w:w="0" w:type="auto"/>
        <w:tblInd w:w="139" w:type="dxa"/>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Layout w:type="fixed"/>
        <w:tblLook w:val="01E0" w:firstRow="1" w:lastRow="1" w:firstColumn="1" w:lastColumn="1" w:noHBand="0" w:noVBand="0"/>
      </w:tblPr>
      <w:tblGrid>
        <w:gridCol w:w="622"/>
        <w:gridCol w:w="9472"/>
      </w:tblGrid>
      <w:tr w:rsidR="000F3D1A" w:rsidRPr="00FA5477" w14:paraId="4FFA6256" w14:textId="77777777">
        <w:trPr>
          <w:trHeight w:val="424"/>
        </w:trPr>
        <w:tc>
          <w:tcPr>
            <w:tcW w:w="622" w:type="dxa"/>
            <w:tcBorders>
              <w:top w:val="nil"/>
              <w:left w:val="nil"/>
            </w:tcBorders>
          </w:tcPr>
          <w:p w14:paraId="13C206BE" w14:textId="3FAC8547" w:rsidR="000F3D1A" w:rsidRPr="00FA5477" w:rsidRDefault="009E4255">
            <w:pPr>
              <w:pStyle w:val="TableParagraph"/>
              <w:spacing w:before="79"/>
              <w:ind w:left="170"/>
              <w:rPr>
                <w:rFonts w:ascii="Segoe UI Symbol" w:hAnsi="Segoe UI Symbol"/>
                <w:sz w:val="20"/>
              </w:rPr>
            </w:pPr>
            <w:r w:rsidRPr="00FA5477">
              <w:rPr>
                <w:rFonts w:ascii="MS Gothic" w:eastAsia="MS Gothic" w:hAnsi="MS Gothic" w:hint="eastAsia"/>
                <w:w w:val="99"/>
                <w:sz w:val="20"/>
              </w:rPr>
              <w:t>☒</w:t>
            </w:r>
          </w:p>
        </w:tc>
        <w:tc>
          <w:tcPr>
            <w:tcW w:w="9472" w:type="dxa"/>
            <w:tcBorders>
              <w:top w:val="nil"/>
              <w:right w:val="nil"/>
            </w:tcBorders>
          </w:tcPr>
          <w:p w14:paraId="15895123" w14:textId="32A6D214" w:rsidR="000F3D1A" w:rsidRPr="00FA5477" w:rsidRDefault="008B2B26">
            <w:pPr>
              <w:pStyle w:val="TableParagraph"/>
              <w:spacing w:before="95"/>
              <w:ind w:left="141"/>
              <w:rPr>
                <w:sz w:val="20"/>
              </w:rPr>
            </w:pPr>
            <w:r w:rsidRPr="00FA5477">
              <w:rPr>
                <w:sz w:val="20"/>
              </w:rPr>
              <w:t>Anexo</w:t>
            </w:r>
            <w:r w:rsidRPr="00FA5477">
              <w:rPr>
                <w:spacing w:val="-4"/>
                <w:sz w:val="20"/>
              </w:rPr>
              <w:t xml:space="preserve"> </w:t>
            </w:r>
            <w:r w:rsidRPr="00FA5477">
              <w:rPr>
                <w:sz w:val="20"/>
              </w:rPr>
              <w:t>de</w:t>
            </w:r>
            <w:r w:rsidRPr="00FA5477">
              <w:rPr>
                <w:spacing w:val="-4"/>
                <w:sz w:val="20"/>
              </w:rPr>
              <w:t xml:space="preserve"> </w:t>
            </w:r>
            <w:r w:rsidRPr="00FA5477">
              <w:rPr>
                <w:sz w:val="20"/>
              </w:rPr>
              <w:t>prioridades</w:t>
            </w:r>
            <w:r w:rsidRPr="00FA5477">
              <w:rPr>
                <w:spacing w:val="-5"/>
                <w:sz w:val="20"/>
              </w:rPr>
              <w:t xml:space="preserve"> </w:t>
            </w:r>
            <w:r w:rsidRPr="00FA5477">
              <w:rPr>
                <w:sz w:val="20"/>
              </w:rPr>
              <w:t>de</w:t>
            </w:r>
            <w:r w:rsidRPr="00FA5477">
              <w:rPr>
                <w:spacing w:val="-3"/>
                <w:sz w:val="20"/>
              </w:rPr>
              <w:t xml:space="preserve"> </w:t>
            </w:r>
            <w:r w:rsidRPr="00FA5477">
              <w:rPr>
                <w:sz w:val="20"/>
              </w:rPr>
              <w:t>financiamiento</w:t>
            </w:r>
            <w:r w:rsidRPr="00FA5477">
              <w:rPr>
                <w:spacing w:val="-4"/>
                <w:sz w:val="20"/>
              </w:rPr>
              <w:t xml:space="preserve"> </w:t>
            </w:r>
            <w:r w:rsidRPr="00FA5477">
              <w:rPr>
                <w:sz w:val="20"/>
              </w:rPr>
              <w:t>de</w:t>
            </w:r>
            <w:r w:rsidRPr="00FA5477">
              <w:rPr>
                <w:spacing w:val="-4"/>
                <w:sz w:val="20"/>
              </w:rPr>
              <w:t xml:space="preserve"> </w:t>
            </w:r>
            <w:r w:rsidRPr="00FA5477">
              <w:rPr>
                <w:sz w:val="20"/>
              </w:rPr>
              <w:t>la</w:t>
            </w:r>
            <w:r w:rsidRPr="00FA5477">
              <w:rPr>
                <w:spacing w:val="-5"/>
                <w:sz w:val="20"/>
              </w:rPr>
              <w:t xml:space="preserve"> </w:t>
            </w:r>
            <w:r w:rsidRPr="00FA5477">
              <w:rPr>
                <w:sz w:val="20"/>
              </w:rPr>
              <w:t>sociedad</w:t>
            </w:r>
            <w:r w:rsidRPr="00FA5477">
              <w:rPr>
                <w:spacing w:val="-4"/>
                <w:sz w:val="20"/>
              </w:rPr>
              <w:t xml:space="preserve"> </w:t>
            </w:r>
            <w:r w:rsidRPr="00FA5477">
              <w:rPr>
                <w:sz w:val="20"/>
              </w:rPr>
              <w:t>civil</w:t>
            </w:r>
            <w:r w:rsidRPr="00FA5477">
              <w:rPr>
                <w:spacing w:val="-6"/>
                <w:sz w:val="20"/>
              </w:rPr>
              <w:t xml:space="preserve"> </w:t>
            </w:r>
            <w:r w:rsidRPr="00FA5477">
              <w:rPr>
                <w:sz w:val="20"/>
              </w:rPr>
              <w:t>y</w:t>
            </w:r>
            <w:r w:rsidRPr="00FA5477">
              <w:rPr>
                <w:spacing w:val="-2"/>
                <w:sz w:val="20"/>
              </w:rPr>
              <w:t xml:space="preserve"> </w:t>
            </w:r>
            <w:r w:rsidRPr="00FA5477">
              <w:rPr>
                <w:sz w:val="20"/>
              </w:rPr>
              <w:t>las</w:t>
            </w:r>
            <w:r w:rsidRPr="00FA5477">
              <w:rPr>
                <w:spacing w:val="-5"/>
                <w:sz w:val="20"/>
              </w:rPr>
              <w:t xml:space="preserve"> </w:t>
            </w:r>
            <w:r w:rsidRPr="00FA5477">
              <w:rPr>
                <w:sz w:val="20"/>
              </w:rPr>
              <w:t>comunidades</w:t>
            </w:r>
          </w:p>
        </w:tc>
      </w:tr>
      <w:tr w:rsidR="000F3D1A" w:rsidRPr="00FA5477" w14:paraId="4C578813" w14:textId="77777777">
        <w:trPr>
          <w:trHeight w:val="426"/>
        </w:trPr>
        <w:tc>
          <w:tcPr>
            <w:tcW w:w="622" w:type="dxa"/>
            <w:tcBorders>
              <w:left w:val="nil"/>
            </w:tcBorders>
          </w:tcPr>
          <w:p w14:paraId="539B670A" w14:textId="0E846F3A" w:rsidR="000F3D1A" w:rsidRPr="00FA5477" w:rsidRDefault="00E81295">
            <w:pPr>
              <w:pStyle w:val="TableParagraph"/>
              <w:spacing w:before="85"/>
              <w:ind w:left="155"/>
              <w:rPr>
                <w:rFonts w:ascii="MS Gothic" w:hAnsi="MS Gothic"/>
                <w:sz w:val="20"/>
              </w:rPr>
            </w:pPr>
            <w:r w:rsidRPr="00FA5477">
              <w:rPr>
                <w:rFonts w:ascii="MS Gothic" w:eastAsia="MS Gothic" w:hAnsi="MS Gothic" w:hint="eastAsia"/>
                <w:w w:val="99"/>
                <w:sz w:val="20"/>
              </w:rPr>
              <w:t>☒</w:t>
            </w:r>
          </w:p>
        </w:tc>
        <w:tc>
          <w:tcPr>
            <w:tcW w:w="9472" w:type="dxa"/>
            <w:tcBorders>
              <w:right w:val="nil"/>
            </w:tcBorders>
          </w:tcPr>
          <w:p w14:paraId="0BCCD6C2" w14:textId="44D60AF8" w:rsidR="000F3D1A" w:rsidRPr="00FA5477" w:rsidRDefault="008B2B26">
            <w:pPr>
              <w:pStyle w:val="TableParagraph"/>
              <w:spacing w:before="98"/>
              <w:ind w:left="141"/>
              <w:rPr>
                <w:sz w:val="20"/>
              </w:rPr>
            </w:pPr>
            <w:r w:rsidRPr="00FA5477">
              <w:rPr>
                <w:sz w:val="20"/>
              </w:rPr>
              <w:t>Descripción</w:t>
            </w:r>
            <w:r w:rsidRPr="00FA5477">
              <w:rPr>
                <w:spacing w:val="-3"/>
                <w:sz w:val="20"/>
              </w:rPr>
              <w:t xml:space="preserve"> </w:t>
            </w:r>
            <w:r w:rsidRPr="00FA5477">
              <w:rPr>
                <w:sz w:val="20"/>
              </w:rPr>
              <w:t>del</w:t>
            </w:r>
            <w:r w:rsidRPr="00FA5477">
              <w:rPr>
                <w:spacing w:val="-6"/>
                <w:sz w:val="20"/>
              </w:rPr>
              <w:t xml:space="preserve"> </w:t>
            </w:r>
            <w:r w:rsidRPr="00FA5477">
              <w:rPr>
                <w:sz w:val="20"/>
              </w:rPr>
              <w:t>diálogo</w:t>
            </w:r>
            <w:r w:rsidRPr="00FA5477">
              <w:rPr>
                <w:spacing w:val="-5"/>
                <w:sz w:val="20"/>
              </w:rPr>
              <w:t xml:space="preserve"> </w:t>
            </w:r>
            <w:r w:rsidRPr="00FA5477">
              <w:rPr>
                <w:sz w:val="20"/>
              </w:rPr>
              <w:t>de</w:t>
            </w:r>
            <w:r w:rsidRPr="00FA5477">
              <w:rPr>
                <w:spacing w:val="-3"/>
                <w:sz w:val="20"/>
              </w:rPr>
              <w:t xml:space="preserve"> </w:t>
            </w:r>
            <w:r w:rsidRPr="00FA5477">
              <w:rPr>
                <w:sz w:val="20"/>
              </w:rPr>
              <w:t>país</w:t>
            </w:r>
          </w:p>
        </w:tc>
      </w:tr>
      <w:tr w:rsidR="000F3D1A" w:rsidRPr="00FA5477" w14:paraId="1A7AAA85" w14:textId="77777777">
        <w:trPr>
          <w:trHeight w:val="424"/>
        </w:trPr>
        <w:tc>
          <w:tcPr>
            <w:tcW w:w="622" w:type="dxa"/>
            <w:tcBorders>
              <w:left w:val="nil"/>
            </w:tcBorders>
          </w:tcPr>
          <w:p w14:paraId="550C1233" w14:textId="5E9D8510" w:rsidR="000F3D1A" w:rsidRPr="00FA5477" w:rsidRDefault="009E4255">
            <w:pPr>
              <w:pStyle w:val="TableParagraph"/>
              <w:spacing w:before="79"/>
              <w:ind w:left="170"/>
              <w:rPr>
                <w:rFonts w:ascii="Segoe UI Symbol" w:hAnsi="Segoe UI Symbol"/>
                <w:sz w:val="20"/>
              </w:rPr>
            </w:pPr>
            <w:r w:rsidRPr="00FA5477">
              <w:rPr>
                <w:rFonts w:ascii="MS Gothic" w:eastAsia="MS Gothic" w:hAnsi="MS Gothic" w:hint="eastAsia"/>
                <w:w w:val="99"/>
                <w:sz w:val="20"/>
              </w:rPr>
              <w:t>☒</w:t>
            </w:r>
          </w:p>
        </w:tc>
        <w:tc>
          <w:tcPr>
            <w:tcW w:w="9472" w:type="dxa"/>
            <w:tcBorders>
              <w:right w:val="nil"/>
            </w:tcBorders>
          </w:tcPr>
          <w:p w14:paraId="4B230B70" w14:textId="626FA226" w:rsidR="000F3D1A" w:rsidRPr="00FA5477" w:rsidRDefault="008B2B26">
            <w:pPr>
              <w:pStyle w:val="TableParagraph"/>
              <w:spacing w:before="98"/>
              <w:ind w:left="141"/>
              <w:rPr>
                <w:sz w:val="20"/>
              </w:rPr>
            </w:pPr>
            <w:r w:rsidRPr="00FA5477">
              <w:rPr>
                <w:sz w:val="20"/>
              </w:rPr>
              <w:t>Aprobación</w:t>
            </w:r>
            <w:r w:rsidRPr="00FA5477">
              <w:rPr>
                <w:spacing w:val="-5"/>
                <w:sz w:val="20"/>
              </w:rPr>
              <w:t xml:space="preserve"> </w:t>
            </w:r>
            <w:r w:rsidRPr="00FA5477">
              <w:rPr>
                <w:sz w:val="20"/>
              </w:rPr>
              <w:t>de</w:t>
            </w:r>
            <w:r w:rsidRPr="00FA5477">
              <w:rPr>
                <w:spacing w:val="-2"/>
                <w:sz w:val="20"/>
              </w:rPr>
              <w:t xml:space="preserve"> </w:t>
            </w:r>
            <w:r w:rsidRPr="00FA5477">
              <w:rPr>
                <w:sz w:val="20"/>
              </w:rPr>
              <w:t>la</w:t>
            </w:r>
            <w:r w:rsidRPr="00FA5477">
              <w:rPr>
                <w:spacing w:val="-3"/>
                <w:sz w:val="20"/>
              </w:rPr>
              <w:t xml:space="preserve"> </w:t>
            </w:r>
            <w:r w:rsidRPr="00FA5477">
              <w:rPr>
                <w:sz w:val="20"/>
              </w:rPr>
              <w:t>solicitud</w:t>
            </w:r>
            <w:r w:rsidRPr="00FA5477">
              <w:rPr>
                <w:spacing w:val="-4"/>
                <w:sz w:val="20"/>
              </w:rPr>
              <w:t xml:space="preserve"> </w:t>
            </w:r>
            <w:r w:rsidRPr="00FA5477">
              <w:rPr>
                <w:sz w:val="20"/>
              </w:rPr>
              <w:t>de</w:t>
            </w:r>
            <w:r w:rsidRPr="00FA5477">
              <w:rPr>
                <w:spacing w:val="-5"/>
                <w:sz w:val="20"/>
              </w:rPr>
              <w:t xml:space="preserve"> </w:t>
            </w:r>
            <w:r w:rsidRPr="00FA5477">
              <w:rPr>
                <w:sz w:val="20"/>
              </w:rPr>
              <w:t>financiamiento</w:t>
            </w:r>
            <w:r w:rsidRPr="00FA5477">
              <w:rPr>
                <w:spacing w:val="-4"/>
                <w:sz w:val="20"/>
              </w:rPr>
              <w:t xml:space="preserve"> </w:t>
            </w:r>
            <w:r w:rsidRPr="00FA5477">
              <w:rPr>
                <w:sz w:val="20"/>
              </w:rPr>
              <w:t>por</w:t>
            </w:r>
            <w:r w:rsidRPr="00FA5477">
              <w:rPr>
                <w:spacing w:val="-4"/>
                <w:sz w:val="20"/>
              </w:rPr>
              <w:t xml:space="preserve"> </w:t>
            </w:r>
            <w:r w:rsidRPr="00FA5477">
              <w:rPr>
                <w:sz w:val="20"/>
              </w:rPr>
              <w:t>parte</w:t>
            </w:r>
            <w:r w:rsidRPr="00FA5477">
              <w:rPr>
                <w:spacing w:val="-3"/>
                <w:sz w:val="20"/>
              </w:rPr>
              <w:t xml:space="preserve"> </w:t>
            </w:r>
            <w:r w:rsidRPr="00FA5477">
              <w:rPr>
                <w:sz w:val="20"/>
              </w:rPr>
              <w:t>del</w:t>
            </w:r>
            <w:r w:rsidRPr="00FA5477">
              <w:rPr>
                <w:spacing w:val="2"/>
                <w:sz w:val="20"/>
              </w:rPr>
              <w:t xml:space="preserve"> </w:t>
            </w:r>
            <w:r w:rsidRPr="00FA5477">
              <w:rPr>
                <w:sz w:val="20"/>
              </w:rPr>
              <w:t>MCP</w:t>
            </w:r>
          </w:p>
        </w:tc>
      </w:tr>
      <w:tr w:rsidR="000F3D1A" w:rsidRPr="00FA5477" w14:paraId="2ACE73A5" w14:textId="77777777">
        <w:trPr>
          <w:trHeight w:val="427"/>
        </w:trPr>
        <w:tc>
          <w:tcPr>
            <w:tcW w:w="622" w:type="dxa"/>
            <w:tcBorders>
              <w:left w:val="nil"/>
            </w:tcBorders>
          </w:tcPr>
          <w:p w14:paraId="6EEC7A31" w14:textId="049754F2" w:rsidR="000F3D1A" w:rsidRPr="00FA5477" w:rsidRDefault="009E4255">
            <w:pPr>
              <w:pStyle w:val="TableParagraph"/>
              <w:spacing w:before="85"/>
              <w:ind w:left="155"/>
              <w:rPr>
                <w:rFonts w:ascii="MS Gothic" w:hAnsi="MS Gothic"/>
                <w:sz w:val="20"/>
              </w:rPr>
            </w:pPr>
            <w:r w:rsidRPr="00FA5477">
              <w:rPr>
                <w:rFonts w:ascii="MS Gothic" w:eastAsia="MS Gothic" w:hAnsi="MS Gothic" w:hint="eastAsia"/>
                <w:w w:val="99"/>
                <w:sz w:val="20"/>
              </w:rPr>
              <w:t>☒</w:t>
            </w:r>
          </w:p>
        </w:tc>
        <w:tc>
          <w:tcPr>
            <w:tcW w:w="9472" w:type="dxa"/>
            <w:tcBorders>
              <w:right w:val="nil"/>
            </w:tcBorders>
          </w:tcPr>
          <w:p w14:paraId="0118ADC1" w14:textId="6FAC6A10" w:rsidR="000F3D1A" w:rsidRPr="00FA5477" w:rsidRDefault="008B2B26">
            <w:pPr>
              <w:pStyle w:val="TableParagraph"/>
              <w:spacing w:before="98"/>
              <w:ind w:left="141"/>
              <w:rPr>
                <w:sz w:val="20"/>
              </w:rPr>
            </w:pPr>
            <w:r w:rsidRPr="00FA5477">
              <w:rPr>
                <w:sz w:val="20"/>
              </w:rPr>
              <w:t>Declaración</w:t>
            </w:r>
            <w:r w:rsidRPr="00FA5477">
              <w:rPr>
                <w:spacing w:val="-4"/>
                <w:sz w:val="20"/>
              </w:rPr>
              <w:t xml:space="preserve"> </w:t>
            </w:r>
            <w:r w:rsidRPr="00FA5477">
              <w:rPr>
                <w:sz w:val="20"/>
              </w:rPr>
              <w:t>de</w:t>
            </w:r>
            <w:r w:rsidRPr="00FA5477">
              <w:rPr>
                <w:spacing w:val="-6"/>
                <w:sz w:val="20"/>
              </w:rPr>
              <w:t xml:space="preserve"> </w:t>
            </w:r>
            <w:r w:rsidRPr="00FA5477">
              <w:rPr>
                <w:sz w:val="20"/>
              </w:rPr>
              <w:t>conformidad</w:t>
            </w:r>
            <w:r w:rsidRPr="00FA5477">
              <w:rPr>
                <w:spacing w:val="-4"/>
                <w:sz w:val="20"/>
              </w:rPr>
              <w:t xml:space="preserve"> </w:t>
            </w:r>
            <w:r w:rsidRPr="00FA5477">
              <w:rPr>
                <w:sz w:val="20"/>
              </w:rPr>
              <w:t>del</w:t>
            </w:r>
            <w:r w:rsidRPr="00FA5477">
              <w:rPr>
                <w:spacing w:val="-6"/>
                <w:sz w:val="20"/>
              </w:rPr>
              <w:t xml:space="preserve"> </w:t>
            </w:r>
            <w:r w:rsidRPr="00FA5477">
              <w:rPr>
                <w:sz w:val="20"/>
              </w:rPr>
              <w:t>MCP</w:t>
            </w:r>
          </w:p>
        </w:tc>
      </w:tr>
      <w:tr w:rsidR="000F3D1A" w:rsidRPr="00FA5477" w14:paraId="1AED1D5B" w14:textId="77777777">
        <w:trPr>
          <w:trHeight w:val="427"/>
        </w:trPr>
        <w:tc>
          <w:tcPr>
            <w:tcW w:w="622" w:type="dxa"/>
            <w:tcBorders>
              <w:left w:val="nil"/>
            </w:tcBorders>
          </w:tcPr>
          <w:p w14:paraId="4D375310" w14:textId="77777777" w:rsidR="000F3D1A" w:rsidRPr="00FA5477" w:rsidRDefault="008B2B26">
            <w:pPr>
              <w:pStyle w:val="TableParagraph"/>
              <w:spacing w:before="79"/>
              <w:ind w:left="170"/>
              <w:rPr>
                <w:rFonts w:ascii="Segoe UI Symbol" w:hAnsi="Segoe UI Symbol"/>
                <w:sz w:val="20"/>
              </w:rPr>
            </w:pPr>
            <w:r w:rsidRPr="00FA5477">
              <w:rPr>
                <w:rFonts w:ascii="Segoe UI Symbol" w:hAnsi="Segoe UI Symbol"/>
                <w:w w:val="99"/>
                <w:sz w:val="20"/>
              </w:rPr>
              <w:t>☐</w:t>
            </w:r>
          </w:p>
        </w:tc>
        <w:tc>
          <w:tcPr>
            <w:tcW w:w="9472" w:type="dxa"/>
            <w:tcBorders>
              <w:right w:val="nil"/>
            </w:tcBorders>
          </w:tcPr>
          <w:p w14:paraId="5E7A7526" w14:textId="446DD4FC" w:rsidR="000F3D1A" w:rsidRPr="00FA5477" w:rsidRDefault="008B2B26">
            <w:pPr>
              <w:pStyle w:val="TableParagraph"/>
              <w:spacing w:before="98"/>
              <w:ind w:left="141"/>
              <w:rPr>
                <w:sz w:val="20"/>
              </w:rPr>
            </w:pPr>
            <w:r w:rsidRPr="00FA5477">
              <w:rPr>
                <w:sz w:val="20"/>
              </w:rPr>
              <w:t>Documentación</w:t>
            </w:r>
            <w:r w:rsidRPr="00FA5477">
              <w:rPr>
                <w:spacing w:val="-6"/>
                <w:sz w:val="20"/>
              </w:rPr>
              <w:t xml:space="preserve"> </w:t>
            </w:r>
            <w:r w:rsidRPr="00FA5477">
              <w:rPr>
                <w:sz w:val="20"/>
              </w:rPr>
              <w:t>de</w:t>
            </w:r>
            <w:r w:rsidRPr="00FA5477">
              <w:rPr>
                <w:spacing w:val="-6"/>
                <w:sz w:val="20"/>
              </w:rPr>
              <w:t xml:space="preserve"> </w:t>
            </w:r>
            <w:r w:rsidRPr="00FA5477">
              <w:rPr>
                <w:sz w:val="20"/>
              </w:rPr>
              <w:t>los</w:t>
            </w:r>
            <w:r w:rsidRPr="00FA5477">
              <w:rPr>
                <w:spacing w:val="-6"/>
                <w:sz w:val="20"/>
              </w:rPr>
              <w:t xml:space="preserve"> </w:t>
            </w:r>
            <w:r w:rsidRPr="00FA5477">
              <w:rPr>
                <w:sz w:val="20"/>
              </w:rPr>
              <w:t>requisitos</w:t>
            </w:r>
            <w:r w:rsidRPr="00FA5477">
              <w:rPr>
                <w:spacing w:val="-6"/>
                <w:sz w:val="20"/>
              </w:rPr>
              <w:t xml:space="preserve"> </w:t>
            </w:r>
            <w:r w:rsidRPr="00FA5477">
              <w:rPr>
                <w:sz w:val="20"/>
              </w:rPr>
              <w:t>de</w:t>
            </w:r>
            <w:r w:rsidRPr="00FA5477">
              <w:rPr>
                <w:spacing w:val="-6"/>
                <w:sz w:val="20"/>
              </w:rPr>
              <w:t xml:space="preserve"> </w:t>
            </w:r>
            <w:r w:rsidRPr="00FA5477">
              <w:rPr>
                <w:sz w:val="20"/>
              </w:rPr>
              <w:t>cofinanciamiento</w:t>
            </w:r>
          </w:p>
        </w:tc>
      </w:tr>
      <w:tr w:rsidR="000F3D1A" w:rsidRPr="00FA5477" w14:paraId="1628400B" w14:textId="77777777">
        <w:trPr>
          <w:trHeight w:val="424"/>
        </w:trPr>
        <w:tc>
          <w:tcPr>
            <w:tcW w:w="622" w:type="dxa"/>
            <w:tcBorders>
              <w:left w:val="nil"/>
              <w:bottom w:val="nil"/>
            </w:tcBorders>
          </w:tcPr>
          <w:p w14:paraId="158BEAC7" w14:textId="77777777" w:rsidR="000F3D1A" w:rsidRPr="00FA5477" w:rsidRDefault="008B2B26">
            <w:pPr>
              <w:pStyle w:val="TableParagraph"/>
              <w:spacing w:before="83"/>
              <w:ind w:left="155"/>
              <w:rPr>
                <w:rFonts w:ascii="MS Gothic" w:hAnsi="MS Gothic"/>
                <w:sz w:val="20"/>
              </w:rPr>
            </w:pPr>
            <w:r w:rsidRPr="00FA5477">
              <w:rPr>
                <w:rFonts w:ascii="MS Gothic" w:hAnsi="MS Gothic"/>
                <w:w w:val="99"/>
                <w:sz w:val="20"/>
              </w:rPr>
              <w:t>☐</w:t>
            </w:r>
          </w:p>
        </w:tc>
        <w:tc>
          <w:tcPr>
            <w:tcW w:w="9472" w:type="dxa"/>
            <w:tcBorders>
              <w:bottom w:val="nil"/>
              <w:right w:val="nil"/>
            </w:tcBorders>
          </w:tcPr>
          <w:p w14:paraId="33BA890B" w14:textId="77777777" w:rsidR="000F3D1A" w:rsidRPr="00FA5477" w:rsidRDefault="008B2B26">
            <w:pPr>
              <w:pStyle w:val="TableParagraph"/>
              <w:spacing w:before="95"/>
              <w:ind w:left="141"/>
              <w:rPr>
                <w:sz w:val="20"/>
              </w:rPr>
            </w:pPr>
            <w:r w:rsidRPr="00FA5477">
              <w:rPr>
                <w:sz w:val="20"/>
              </w:rPr>
              <w:t>Evaluación</w:t>
            </w:r>
            <w:r w:rsidRPr="00FA5477">
              <w:rPr>
                <w:spacing w:val="-6"/>
                <w:sz w:val="20"/>
              </w:rPr>
              <w:t xml:space="preserve"> </w:t>
            </w:r>
            <w:r w:rsidRPr="00FA5477">
              <w:rPr>
                <w:sz w:val="20"/>
              </w:rPr>
              <w:t>de</w:t>
            </w:r>
            <w:r w:rsidRPr="00FA5477">
              <w:rPr>
                <w:spacing w:val="-6"/>
                <w:sz w:val="20"/>
              </w:rPr>
              <w:t xml:space="preserve"> </w:t>
            </w:r>
            <w:r w:rsidRPr="00FA5477">
              <w:rPr>
                <w:sz w:val="20"/>
              </w:rPr>
              <w:t>riesgos</w:t>
            </w:r>
            <w:r w:rsidRPr="00FA5477">
              <w:rPr>
                <w:spacing w:val="-4"/>
                <w:sz w:val="20"/>
              </w:rPr>
              <w:t xml:space="preserve"> </w:t>
            </w:r>
            <w:r w:rsidRPr="00FA5477">
              <w:rPr>
                <w:sz w:val="20"/>
              </w:rPr>
              <w:t>de</w:t>
            </w:r>
            <w:r w:rsidRPr="00FA5477">
              <w:rPr>
                <w:spacing w:val="-5"/>
                <w:sz w:val="20"/>
              </w:rPr>
              <w:t xml:space="preserve"> </w:t>
            </w:r>
            <w:r w:rsidRPr="00FA5477">
              <w:rPr>
                <w:sz w:val="20"/>
              </w:rPr>
              <w:t>explotación,</w:t>
            </w:r>
            <w:r w:rsidRPr="00FA5477">
              <w:rPr>
                <w:spacing w:val="-4"/>
                <w:sz w:val="20"/>
              </w:rPr>
              <w:t xml:space="preserve"> </w:t>
            </w:r>
            <w:r w:rsidRPr="00FA5477">
              <w:rPr>
                <w:sz w:val="20"/>
              </w:rPr>
              <w:t>abuso</w:t>
            </w:r>
            <w:r w:rsidRPr="00FA5477">
              <w:rPr>
                <w:spacing w:val="-6"/>
                <w:sz w:val="20"/>
              </w:rPr>
              <w:t xml:space="preserve"> </w:t>
            </w:r>
            <w:r w:rsidRPr="00FA5477">
              <w:rPr>
                <w:sz w:val="20"/>
              </w:rPr>
              <w:t>y</w:t>
            </w:r>
            <w:r w:rsidRPr="00FA5477">
              <w:rPr>
                <w:spacing w:val="-4"/>
                <w:sz w:val="20"/>
              </w:rPr>
              <w:t xml:space="preserve"> </w:t>
            </w:r>
            <w:r w:rsidRPr="00FA5477">
              <w:rPr>
                <w:sz w:val="20"/>
              </w:rPr>
              <w:t>acoso</w:t>
            </w:r>
            <w:r w:rsidRPr="00FA5477">
              <w:rPr>
                <w:spacing w:val="-4"/>
                <w:sz w:val="20"/>
              </w:rPr>
              <w:t xml:space="preserve"> </w:t>
            </w:r>
            <w:r w:rsidRPr="00FA5477">
              <w:rPr>
                <w:sz w:val="20"/>
              </w:rPr>
              <w:t>sexuales</w:t>
            </w:r>
            <w:r w:rsidRPr="00FA5477">
              <w:rPr>
                <w:spacing w:val="-5"/>
                <w:sz w:val="20"/>
              </w:rPr>
              <w:t xml:space="preserve"> </w:t>
            </w:r>
            <w:r w:rsidRPr="00FA5477">
              <w:rPr>
                <w:sz w:val="20"/>
              </w:rPr>
              <w:t>(opcional)</w:t>
            </w:r>
          </w:p>
        </w:tc>
      </w:tr>
    </w:tbl>
    <w:p w14:paraId="212D9FB1" w14:textId="77777777" w:rsidR="000F3D1A" w:rsidRPr="00FA5477" w:rsidRDefault="000F3D1A">
      <w:pPr>
        <w:pStyle w:val="Textoindependiente"/>
        <w:rPr>
          <w:rFonts w:ascii="Arial"/>
          <w:b/>
          <w:sz w:val="20"/>
        </w:rPr>
      </w:pPr>
    </w:p>
    <w:p w14:paraId="6E541DE4" w14:textId="77777777" w:rsidR="000F3D1A" w:rsidRPr="00FA5477" w:rsidRDefault="000F3D1A">
      <w:pPr>
        <w:pStyle w:val="Textoindependiente"/>
        <w:rPr>
          <w:rFonts w:ascii="Arial"/>
          <w:b/>
          <w:sz w:val="20"/>
        </w:rPr>
      </w:pPr>
    </w:p>
    <w:p w14:paraId="2C0BB6CE" w14:textId="77777777" w:rsidR="000F3D1A" w:rsidRPr="00FA5477" w:rsidRDefault="000F3D1A">
      <w:pPr>
        <w:pStyle w:val="Textoindependiente"/>
        <w:rPr>
          <w:rFonts w:ascii="Arial"/>
          <w:b/>
          <w:sz w:val="20"/>
        </w:rPr>
      </w:pPr>
    </w:p>
    <w:p w14:paraId="5870C3CB" w14:textId="77777777" w:rsidR="000F3D1A" w:rsidRPr="00FA5477" w:rsidRDefault="000F3D1A">
      <w:pPr>
        <w:pStyle w:val="Textoindependiente"/>
        <w:rPr>
          <w:rFonts w:ascii="Arial"/>
          <w:b/>
          <w:sz w:val="20"/>
        </w:rPr>
      </w:pPr>
    </w:p>
    <w:p w14:paraId="79141D1B" w14:textId="77777777" w:rsidR="000F3D1A" w:rsidRPr="00FA5477" w:rsidRDefault="000F3D1A">
      <w:pPr>
        <w:pStyle w:val="Textoindependiente"/>
        <w:rPr>
          <w:rFonts w:ascii="Arial"/>
          <w:b/>
          <w:sz w:val="20"/>
        </w:rPr>
      </w:pPr>
    </w:p>
    <w:p w14:paraId="13AD9743" w14:textId="77777777" w:rsidR="000F3D1A" w:rsidRPr="00FA5477" w:rsidRDefault="000F3D1A">
      <w:pPr>
        <w:pStyle w:val="Textoindependiente"/>
        <w:rPr>
          <w:rFonts w:ascii="Arial"/>
          <w:b/>
          <w:sz w:val="20"/>
        </w:rPr>
      </w:pPr>
    </w:p>
    <w:p w14:paraId="0590A1F6" w14:textId="77777777" w:rsidR="000F3D1A" w:rsidRPr="00FA5477" w:rsidRDefault="000F3D1A">
      <w:pPr>
        <w:pStyle w:val="Textoindependiente"/>
        <w:rPr>
          <w:rFonts w:ascii="Arial"/>
          <w:b/>
          <w:sz w:val="20"/>
        </w:rPr>
      </w:pPr>
    </w:p>
    <w:p w14:paraId="18A20BD3" w14:textId="7DE463DB" w:rsidR="000F3D1A" w:rsidRPr="00FA5477" w:rsidRDefault="00526060">
      <w:pPr>
        <w:pStyle w:val="Textoindependiente"/>
        <w:spacing w:before="9"/>
        <w:rPr>
          <w:rFonts w:ascii="Arial"/>
          <w:b/>
          <w:sz w:val="29"/>
        </w:rPr>
      </w:pPr>
      <w:r w:rsidRPr="00FA5477">
        <w:rPr>
          <w:noProof/>
        </w:rPr>
        <mc:AlternateContent>
          <mc:Choice Requires="wps">
            <w:drawing>
              <wp:anchor distT="0" distB="0" distL="0" distR="0" simplePos="0" relativeHeight="487590400" behindDoc="1" locked="0" layoutInCell="1" allowOverlap="1" wp14:anchorId="72DDAF4B" wp14:editId="081738A2">
                <wp:simplePos x="0" y="0"/>
                <wp:positionH relativeFrom="page">
                  <wp:posOffset>541020</wp:posOffset>
                </wp:positionH>
                <wp:positionV relativeFrom="paragraph">
                  <wp:posOffset>242570</wp:posOffset>
                </wp:positionV>
                <wp:extent cx="1828800" cy="7620"/>
                <wp:effectExtent l="0" t="0" r="0" b="0"/>
                <wp:wrapTopAndBottom/>
                <wp:docPr id="199984420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5000D" id="Rectángulo 7" o:spid="_x0000_s1026" style="position:absolute;margin-left:42.6pt;margin-top:19.1pt;width:2in;height:.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" fillcolor="black" stroked="f">
                <w10:wrap type="topAndBottom" anchorx="page"/>
              </v:rect>
            </w:pict>
          </mc:Fallback>
        </mc:AlternateContent>
      </w:r>
    </w:p>
    <w:p w14:paraId="1BAC4CA3" w14:textId="77777777" w:rsidR="000F3D1A" w:rsidRDefault="008B2B26">
      <w:pPr>
        <w:spacing w:before="63"/>
        <w:ind w:left="132"/>
        <w:rPr>
          <w:sz w:val="16"/>
        </w:rPr>
      </w:pPr>
      <w:r w:rsidRPr="00FA5477">
        <w:rPr>
          <w:sz w:val="16"/>
          <w:vertAlign w:val="superscript"/>
        </w:rPr>
        <w:t>2</w:t>
      </w:r>
      <w:r w:rsidRPr="00FA5477">
        <w:rPr>
          <w:sz w:val="16"/>
        </w:rPr>
        <w:t xml:space="preserve"> Instrucciones de la solicitud de financiamiento adaptada a los portafolios enfocados -</w:t>
      </w:r>
      <w:r w:rsidRPr="00FA5477">
        <w:rPr>
          <w:spacing w:val="1"/>
          <w:sz w:val="16"/>
        </w:rPr>
        <w:t xml:space="preserve"> </w:t>
      </w:r>
      <w:hyperlink r:id="rId19">
        <w:r w:rsidRPr="00FA5477">
          <w:rPr>
            <w:color w:val="2D4DF8"/>
            <w:spacing w:val="-1"/>
            <w:sz w:val="16"/>
            <w:u w:val="single" w:color="2D4DF8"/>
          </w:rPr>
          <w:t>https://www.theglobalfund.org/media/8845/fundingrequest_focusedportfolio_instructions_es.pd</w:t>
        </w:r>
        <w:r w:rsidRPr="00FA5477">
          <w:rPr>
            <w:color w:val="2D4DF8"/>
            <w:spacing w:val="-1"/>
            <w:sz w:val="16"/>
          </w:rPr>
          <w:t>f</w:t>
        </w:r>
      </w:hyperlink>
    </w:p>
    <w:sectPr w:rsidR="000F3D1A">
      <w:pgSz w:w="11910" w:h="16840"/>
      <w:pgMar w:top="760" w:right="700" w:bottom="1240" w:left="720" w:header="0" w:footer="10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00ACB" w14:textId="77777777" w:rsidR="004C2318" w:rsidRPr="00FA5477" w:rsidRDefault="004C2318">
      <w:r w:rsidRPr="00FA5477">
        <w:separator/>
      </w:r>
    </w:p>
  </w:endnote>
  <w:endnote w:type="continuationSeparator" w:id="0">
    <w:p w14:paraId="3293D8E7" w14:textId="77777777" w:rsidR="004C2318" w:rsidRPr="00FA5477" w:rsidRDefault="004C2318">
      <w:r w:rsidRPr="00FA54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DEFD" w14:textId="4A714B7F" w:rsidR="000F3D1A" w:rsidRPr="00FA5477" w:rsidRDefault="006447CE">
    <w:pPr>
      <w:pStyle w:val="Textoindependiente"/>
      <w:spacing w:line="14" w:lineRule="auto"/>
      <w:rPr>
        <w:sz w:val="20"/>
      </w:rPr>
    </w:pPr>
    <w:r w:rsidRPr="00FA5477">
      <w:rPr>
        <w:noProof/>
      </w:rPr>
      <w:drawing>
        <wp:anchor distT="0" distB="0" distL="0" distR="0" simplePos="0" relativeHeight="251654144" behindDoc="1" locked="0" layoutInCell="1" allowOverlap="1" wp14:anchorId="1567906C" wp14:editId="74B66F7B">
          <wp:simplePos x="0" y="0"/>
          <wp:positionH relativeFrom="page">
            <wp:posOffset>557530</wp:posOffset>
          </wp:positionH>
          <wp:positionV relativeFrom="page">
            <wp:posOffset>7006590</wp:posOffset>
          </wp:positionV>
          <wp:extent cx="1462405" cy="146685"/>
          <wp:effectExtent l="0" t="0" r="4445" b="5715"/>
          <wp:wrapNone/>
          <wp:docPr id="205460102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 cstate="print"/>
                  <a:stretch>
                    <a:fillRect/>
                  </a:stretch>
                </pic:blipFill>
                <pic:spPr>
                  <a:xfrm>
                    <a:off x="0" y="0"/>
                    <a:ext cx="1462405" cy="146685"/>
                  </a:xfrm>
                  <a:prstGeom prst="rect">
                    <a:avLst/>
                  </a:prstGeom>
                </pic:spPr>
              </pic:pic>
            </a:graphicData>
          </a:graphic>
        </wp:anchor>
      </w:drawing>
    </w:r>
    <w:r w:rsidR="00526060" w:rsidRPr="00FA5477">
      <w:rPr>
        <w:noProof/>
      </w:rPr>
      <mc:AlternateContent>
        <mc:Choice Requires="wps">
          <w:drawing>
            <wp:anchor distT="0" distB="0" distL="114300" distR="114300" simplePos="0" relativeHeight="487300096" behindDoc="1" locked="0" layoutInCell="1" allowOverlap="1" wp14:anchorId="65FF87CC" wp14:editId="1932BC5F">
              <wp:simplePos x="0" y="0"/>
              <wp:positionH relativeFrom="margin">
                <wp:align>center</wp:align>
              </wp:positionH>
              <wp:positionV relativeFrom="bottomMargin">
                <wp:align>top</wp:align>
              </wp:positionV>
              <wp:extent cx="2628900" cy="348615"/>
              <wp:effectExtent l="0" t="0" r="0" b="0"/>
              <wp:wrapNone/>
              <wp:docPr id="1883353651"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8615"/>
                      </a:xfrm>
                      <a:prstGeom prst="rect">
                        <a:avLst/>
                      </a:prstGeom>
                      <a:noFill/>
                      <a:ln>
                        <a:noFill/>
                      </a:ln>
                    </wps:spPr>
                    <wps:txbx>
                      <w:txbxContent>
                        <w:p w14:paraId="721B6D7F" w14:textId="77777777" w:rsidR="000F3D1A" w:rsidRPr="00FA5477" w:rsidRDefault="008B2B26">
                          <w:pPr>
                            <w:spacing w:before="20"/>
                            <w:ind w:left="245" w:hanging="226"/>
                            <w:rPr>
                              <w:rFonts w:ascii="Arial Black"/>
                              <w:sz w:val="18"/>
                            </w:rPr>
                          </w:pPr>
                          <w:r w:rsidRPr="00FA5477">
                            <w:rPr>
                              <w:rFonts w:ascii="Arial Black"/>
                              <w:sz w:val="18"/>
                            </w:rPr>
                            <w:t>Formulario de solicitud de financiamiento</w:t>
                          </w:r>
                          <w:r w:rsidRPr="00FA5477">
                            <w:rPr>
                              <w:rFonts w:ascii="Arial Black"/>
                              <w:spacing w:val="-59"/>
                              <w:sz w:val="18"/>
                            </w:rPr>
                            <w:t xml:space="preserve"> </w:t>
                          </w:r>
                          <w:r w:rsidRPr="00FA5477">
                            <w:rPr>
                              <w:rFonts w:ascii="Arial Black"/>
                              <w:sz w:val="18"/>
                            </w:rPr>
                            <w:t>adaptada</w:t>
                          </w:r>
                          <w:r w:rsidRPr="00FA5477">
                            <w:rPr>
                              <w:rFonts w:ascii="Arial Black"/>
                              <w:spacing w:val="-2"/>
                              <w:sz w:val="18"/>
                            </w:rPr>
                            <w:t xml:space="preserve"> </w:t>
                          </w:r>
                          <w:r w:rsidRPr="00FA5477">
                            <w:rPr>
                              <w:rFonts w:ascii="Arial Black"/>
                              <w:sz w:val="18"/>
                            </w:rPr>
                            <w:t>a</w:t>
                          </w:r>
                          <w:r w:rsidRPr="00FA5477">
                            <w:rPr>
                              <w:rFonts w:ascii="Arial Black"/>
                              <w:spacing w:val="-1"/>
                              <w:sz w:val="18"/>
                            </w:rPr>
                            <w:t xml:space="preserve"> </w:t>
                          </w:r>
                          <w:r w:rsidRPr="00FA5477">
                            <w:rPr>
                              <w:rFonts w:ascii="Arial Black"/>
                              <w:sz w:val="18"/>
                            </w:rPr>
                            <w:t>los</w:t>
                          </w:r>
                          <w:r w:rsidRPr="00FA5477">
                            <w:rPr>
                              <w:rFonts w:ascii="Arial Black"/>
                              <w:spacing w:val="-1"/>
                              <w:sz w:val="18"/>
                            </w:rPr>
                            <w:t xml:space="preserve"> </w:t>
                          </w:r>
                          <w:r w:rsidRPr="00FA5477">
                            <w:rPr>
                              <w:rFonts w:ascii="Arial Black"/>
                              <w:sz w:val="18"/>
                            </w:rPr>
                            <w:t>portafolios</w:t>
                          </w:r>
                          <w:r w:rsidRPr="00FA5477">
                            <w:rPr>
                              <w:rFonts w:ascii="Arial Black"/>
                              <w:spacing w:val="-1"/>
                              <w:sz w:val="18"/>
                            </w:rPr>
                            <w:t xml:space="preserve"> </w:t>
                          </w:r>
                          <w:r w:rsidRPr="00FA5477">
                            <w:rPr>
                              <w:rFonts w:ascii="Arial Black"/>
                              <w:sz w:val="18"/>
                            </w:rPr>
                            <w:t>enfocados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FF87CC" id="_x0000_t202" coordsize="21600,21600" o:spt="202" path="m,l,21600r21600,l21600,xe">
              <v:stroke joinstyle="miter"/>
              <v:path gradientshapeok="t" o:connecttype="rect"/>
            </v:shapetype>
            <v:shape id="Cuadro de texto 6" o:spid="_x0000_s1027" type="#_x0000_t202" style="position:absolute;margin-left:0;margin-top:0;width:207pt;height:27.45pt;z-index:-16016384;visibility:visible;mso-wrap-style:square;mso-width-percent:0;mso-height-percent:0;mso-wrap-distance-left:9pt;mso-wrap-distance-top:0;mso-wrap-distance-right:9pt;mso-wrap-distance-bottom:0;mso-position-horizontal:center;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" filled="f" stroked="f">
              <v:textbox inset="0,0,0,0">
                <w:txbxContent>
                  <w:p w14:paraId="721B6D7F" w14:textId="77777777" w:rsidR="000F3D1A" w:rsidRPr="00FA5477" w:rsidRDefault="008B2B26">
                    <w:pPr>
                      <w:spacing w:before="20"/>
                      <w:ind w:left="245" w:hanging="226"/>
                      <w:rPr>
                        <w:rFonts w:ascii="Arial Black"/>
                        <w:sz w:val="18"/>
                      </w:rPr>
                    </w:pPr>
                    <w:r w:rsidRPr="00FA5477">
                      <w:rPr>
                        <w:rFonts w:ascii="Arial Black"/>
                        <w:sz w:val="18"/>
                      </w:rPr>
                      <w:t>Formulario de solicitud de financiamiento</w:t>
                    </w:r>
                    <w:r w:rsidRPr="00FA5477">
                      <w:rPr>
                        <w:rFonts w:ascii="Arial Black"/>
                        <w:spacing w:val="-59"/>
                        <w:sz w:val="18"/>
                      </w:rPr>
                      <w:t xml:space="preserve"> </w:t>
                    </w:r>
                    <w:r w:rsidRPr="00FA5477">
                      <w:rPr>
                        <w:rFonts w:ascii="Arial Black"/>
                        <w:sz w:val="18"/>
                      </w:rPr>
                      <w:t>adaptada</w:t>
                    </w:r>
                    <w:r w:rsidRPr="00FA5477">
                      <w:rPr>
                        <w:rFonts w:ascii="Arial Black"/>
                        <w:spacing w:val="-2"/>
                        <w:sz w:val="18"/>
                      </w:rPr>
                      <w:t xml:space="preserve"> </w:t>
                    </w:r>
                    <w:r w:rsidRPr="00FA5477">
                      <w:rPr>
                        <w:rFonts w:ascii="Arial Black"/>
                        <w:sz w:val="18"/>
                      </w:rPr>
                      <w:t>a</w:t>
                    </w:r>
                    <w:r w:rsidRPr="00FA5477">
                      <w:rPr>
                        <w:rFonts w:ascii="Arial Black"/>
                        <w:spacing w:val="-1"/>
                        <w:sz w:val="18"/>
                      </w:rPr>
                      <w:t xml:space="preserve"> </w:t>
                    </w:r>
                    <w:r w:rsidRPr="00FA5477">
                      <w:rPr>
                        <w:rFonts w:ascii="Arial Black"/>
                        <w:sz w:val="18"/>
                      </w:rPr>
                      <w:t>los</w:t>
                    </w:r>
                    <w:r w:rsidRPr="00FA5477">
                      <w:rPr>
                        <w:rFonts w:ascii="Arial Black"/>
                        <w:spacing w:val="-1"/>
                        <w:sz w:val="18"/>
                      </w:rPr>
                      <w:t xml:space="preserve"> </w:t>
                    </w:r>
                    <w:r w:rsidRPr="00FA5477">
                      <w:rPr>
                        <w:rFonts w:ascii="Arial Black"/>
                        <w:sz w:val="18"/>
                      </w:rPr>
                      <w:t>portafolios</w:t>
                    </w:r>
                    <w:r w:rsidRPr="00FA5477">
                      <w:rPr>
                        <w:rFonts w:ascii="Arial Black"/>
                        <w:spacing w:val="-1"/>
                        <w:sz w:val="18"/>
                      </w:rPr>
                      <w:t xml:space="preserve"> </w:t>
                    </w:r>
                    <w:r w:rsidRPr="00FA5477">
                      <w:rPr>
                        <w:rFonts w:ascii="Arial Black"/>
                        <w:sz w:val="18"/>
                      </w:rPr>
                      <w:t>enfocados</w:t>
                    </w:r>
                  </w:p>
                </w:txbxContent>
              </v:textbox>
              <w10:wrap anchorx="margin" anchory="margin"/>
            </v:shape>
          </w:pict>
        </mc:Fallback>
      </mc:AlternateContent>
    </w:r>
    <w:r w:rsidR="00526060" w:rsidRPr="00FA5477">
      <w:rPr>
        <w:noProof/>
      </w:rPr>
      <mc:AlternateContent>
        <mc:Choice Requires="wps">
          <w:drawing>
            <wp:anchor distT="0" distB="0" distL="114300" distR="114300" simplePos="0" relativeHeight="487299584" behindDoc="1" locked="0" layoutInCell="1" allowOverlap="1" wp14:anchorId="39E2E655" wp14:editId="51FE18E3">
              <wp:simplePos x="0" y="0"/>
              <wp:positionH relativeFrom="margin">
                <wp:align>center</wp:align>
              </wp:positionH>
              <wp:positionV relativeFrom="margin">
                <wp:align>bottom</wp:align>
              </wp:positionV>
              <wp:extent cx="9546590" cy="6350"/>
              <wp:effectExtent l="0" t="0" r="0" b="0"/>
              <wp:wrapNone/>
              <wp:docPr id="1980743394"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46590"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6FFEF" id="Rectángulo 5" o:spid="_x0000_s1026" style="position:absolute;margin-left:0;margin-top:0;width:751.7pt;height:.5pt;z-index:-16016896;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" fillcolor="black" stroked="f">
              <w10:wrap anchorx="margin" anchory="margin"/>
            </v:rect>
          </w:pict>
        </mc:Fallback>
      </mc:AlternateContent>
    </w:r>
    <w:r w:rsidR="00526060" w:rsidRPr="00FA5477">
      <w:rPr>
        <w:noProof/>
      </w:rPr>
      <mc:AlternateContent>
        <mc:Choice Requires="wps">
          <w:drawing>
            <wp:anchor distT="0" distB="0" distL="114300" distR="114300" simplePos="0" relativeHeight="487300608" behindDoc="1" locked="0" layoutInCell="1" allowOverlap="1" wp14:anchorId="4CB417FE" wp14:editId="7F04624A">
              <wp:simplePos x="0" y="0"/>
              <wp:positionH relativeFrom="page">
                <wp:posOffset>9006205</wp:posOffset>
              </wp:positionH>
              <wp:positionV relativeFrom="page">
                <wp:posOffset>7019290</wp:posOffset>
              </wp:positionV>
              <wp:extent cx="1144905" cy="186690"/>
              <wp:effectExtent l="0" t="0" r="0" b="0"/>
              <wp:wrapNone/>
              <wp:docPr id="158734870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186690"/>
                      </a:xfrm>
                      <a:prstGeom prst="rect">
                        <a:avLst/>
                      </a:prstGeom>
                      <a:noFill/>
                      <a:ln>
                        <a:noFill/>
                      </a:ln>
                    </wps:spPr>
                    <wps:txbx>
                      <w:txbxContent>
                        <w:p w14:paraId="5EC6712E" w14:textId="1050689D" w:rsidR="000F3D1A" w:rsidRPr="00FA5477" w:rsidRDefault="008B2B26">
                          <w:pPr>
                            <w:spacing w:before="20"/>
                            <w:ind w:left="20"/>
                            <w:rPr>
                              <w:rFonts w:ascii="Arial Black" w:hAnsi="Arial Black"/>
                              <w:sz w:val="18"/>
                            </w:rPr>
                          </w:pPr>
                          <w:r w:rsidRPr="00FA5477">
                            <w:rPr>
                              <w:rFonts w:ascii="Arial Black" w:hAnsi="Arial Black"/>
                              <w:sz w:val="18"/>
                            </w:rPr>
                            <w:t>Página</w:t>
                          </w:r>
                          <w:r w:rsidRPr="00FA5477">
                            <w:rPr>
                              <w:rFonts w:ascii="Arial Black" w:hAnsi="Arial Black"/>
                              <w:spacing w:val="-2"/>
                              <w:sz w:val="18"/>
                            </w:rPr>
                            <w:t xml:space="preserve"> </w:t>
                          </w:r>
                          <w:r w:rsidRPr="00FA5477">
                            <w:fldChar w:fldCharType="begin"/>
                          </w:r>
                          <w:r w:rsidRPr="00FA5477">
                            <w:rPr>
                              <w:rFonts w:ascii="Arial Black" w:hAnsi="Arial Black"/>
                              <w:sz w:val="18"/>
                            </w:rPr>
                            <w:instrText xml:space="preserve"> PAGE </w:instrText>
                          </w:r>
                          <w:r w:rsidRPr="00FA5477">
                            <w:fldChar w:fldCharType="separate"/>
                          </w:r>
                          <w:r w:rsidRPr="00FA5477">
                            <w:t>2</w:t>
                          </w:r>
                          <w:r w:rsidRPr="00FA5477">
                            <w:fldChar w:fldCharType="end"/>
                          </w:r>
                          <w:r w:rsidRPr="00FA5477">
                            <w:rPr>
                              <w:rFonts w:ascii="Arial Black" w:hAnsi="Arial Black"/>
                              <w:spacing w:val="-2"/>
                              <w:sz w:val="18"/>
                            </w:rPr>
                            <w:t xml:space="preserve"> </w:t>
                          </w:r>
                          <w:r w:rsidRPr="00FA5477">
                            <w:rPr>
                              <w:rFonts w:ascii="Arial Black" w:hAnsi="Arial Black"/>
                              <w:sz w:val="18"/>
                            </w:rPr>
                            <w:t>de</w:t>
                          </w:r>
                          <w:r w:rsidRPr="00FA5477">
                            <w:rPr>
                              <w:rFonts w:ascii="Arial Black" w:hAnsi="Arial Black"/>
                              <w:spacing w:val="-3"/>
                              <w:sz w:val="18"/>
                            </w:rPr>
                            <w:t xml:space="preserve"> </w:t>
                          </w:r>
                          <w:r w:rsidR="00420910" w:rsidRPr="00FA5477">
                            <w:rPr>
                              <w:rFonts w:ascii="Arial Black" w:hAnsi="Arial Black"/>
                              <w:sz w:val="18"/>
                            </w:rPr>
                            <w:t>3</w:t>
                          </w:r>
                          <w:r w:rsidR="00744B92">
                            <w:rPr>
                              <w:rFonts w:ascii="Arial Black" w:hAnsi="Arial Black"/>
                              <w:sz w:val="1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417FE" id="Cuadro de texto 4" o:spid="_x0000_s1028" type="#_x0000_t202" style="position:absolute;margin-left:709.15pt;margin-top:552.7pt;width:90.15pt;height:14.7pt;z-index:-1601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" filled="f" stroked="f">
              <v:textbox inset="0,0,0,0">
                <w:txbxContent>
                  <w:p w14:paraId="5EC6712E" w14:textId="1050689D" w:rsidR="000F3D1A" w:rsidRPr="00FA5477" w:rsidRDefault="008B2B26">
                    <w:pPr>
                      <w:spacing w:before="20"/>
                      <w:ind w:left="20"/>
                      <w:rPr>
                        <w:rFonts w:ascii="Arial Black" w:hAnsi="Arial Black"/>
                        <w:sz w:val="18"/>
                      </w:rPr>
                    </w:pPr>
                    <w:r w:rsidRPr="00FA5477">
                      <w:rPr>
                        <w:rFonts w:ascii="Arial Black" w:hAnsi="Arial Black"/>
                        <w:sz w:val="18"/>
                      </w:rPr>
                      <w:t>Página</w:t>
                    </w:r>
                    <w:r w:rsidRPr="00FA5477">
                      <w:rPr>
                        <w:rFonts w:ascii="Arial Black" w:hAnsi="Arial Black"/>
                        <w:spacing w:val="-2"/>
                        <w:sz w:val="18"/>
                      </w:rPr>
                      <w:t xml:space="preserve"> </w:t>
                    </w:r>
                    <w:r w:rsidRPr="00FA5477">
                      <w:fldChar w:fldCharType="begin"/>
                    </w:r>
                    <w:r w:rsidRPr="00FA5477">
                      <w:rPr>
                        <w:rFonts w:ascii="Arial Black" w:hAnsi="Arial Black"/>
                        <w:sz w:val="18"/>
                      </w:rPr>
                      <w:instrText xml:space="preserve"> PAGE </w:instrText>
                    </w:r>
                    <w:r w:rsidRPr="00FA5477">
                      <w:fldChar w:fldCharType="separate"/>
                    </w:r>
                    <w:r w:rsidRPr="00FA5477">
                      <w:t>2</w:t>
                    </w:r>
                    <w:r w:rsidRPr="00FA5477">
                      <w:fldChar w:fldCharType="end"/>
                    </w:r>
                    <w:r w:rsidRPr="00FA5477">
                      <w:rPr>
                        <w:rFonts w:ascii="Arial Black" w:hAnsi="Arial Black"/>
                        <w:spacing w:val="-2"/>
                        <w:sz w:val="18"/>
                      </w:rPr>
                      <w:t xml:space="preserve"> </w:t>
                    </w:r>
                    <w:r w:rsidRPr="00FA5477">
                      <w:rPr>
                        <w:rFonts w:ascii="Arial Black" w:hAnsi="Arial Black"/>
                        <w:sz w:val="18"/>
                      </w:rPr>
                      <w:t>de</w:t>
                    </w:r>
                    <w:r w:rsidRPr="00FA5477">
                      <w:rPr>
                        <w:rFonts w:ascii="Arial Black" w:hAnsi="Arial Black"/>
                        <w:spacing w:val="-3"/>
                        <w:sz w:val="18"/>
                      </w:rPr>
                      <w:t xml:space="preserve"> </w:t>
                    </w:r>
                    <w:r w:rsidR="00420910" w:rsidRPr="00FA5477">
                      <w:rPr>
                        <w:rFonts w:ascii="Arial Black" w:hAnsi="Arial Black"/>
                        <w:sz w:val="18"/>
                      </w:rPr>
                      <w:t>3</w:t>
                    </w:r>
                    <w:r w:rsidR="00744B92">
                      <w:rPr>
                        <w:rFonts w:ascii="Arial Black" w:hAnsi="Arial Black"/>
                        <w:sz w:val="18"/>
                      </w:rPr>
                      <w:t>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A0736" w14:textId="12008831" w:rsidR="000F3D1A" w:rsidRPr="00FA5477" w:rsidRDefault="00526060">
    <w:pPr>
      <w:pStyle w:val="Textoindependiente"/>
      <w:spacing w:line="14" w:lineRule="auto"/>
      <w:rPr>
        <w:sz w:val="20"/>
      </w:rPr>
    </w:pPr>
    <w:r w:rsidRPr="00FA5477">
      <w:rPr>
        <w:noProof/>
      </w:rPr>
      <mc:AlternateContent>
        <mc:Choice Requires="wps">
          <w:drawing>
            <wp:anchor distT="0" distB="0" distL="114300" distR="114300" simplePos="0" relativeHeight="487301632" behindDoc="1" locked="0" layoutInCell="1" allowOverlap="1" wp14:anchorId="190F806C" wp14:editId="72FDE9D5">
              <wp:simplePos x="0" y="0"/>
              <wp:positionH relativeFrom="margin">
                <wp:align>center</wp:align>
              </wp:positionH>
              <wp:positionV relativeFrom="page">
                <wp:posOffset>10063480</wp:posOffset>
              </wp:positionV>
              <wp:extent cx="6482715" cy="6350"/>
              <wp:effectExtent l="0" t="0" r="0" b="0"/>
              <wp:wrapNone/>
              <wp:docPr id="2070024722"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2715" cy="6350"/>
                      </a:xfrm>
                      <a:custGeom>
                        <a:avLst/>
                        <a:gdLst>
                          <a:gd name="T0" fmla="+- 0 6083 852"/>
                          <a:gd name="T1" fmla="*/ T0 w 10209"/>
                          <a:gd name="T2" fmla="+- 0 15504 15504"/>
                          <a:gd name="T3" fmla="*/ 15504 h 10"/>
                          <a:gd name="T4" fmla="+- 0 6073 852"/>
                          <a:gd name="T5" fmla="*/ T4 w 10209"/>
                          <a:gd name="T6" fmla="+- 0 15504 15504"/>
                          <a:gd name="T7" fmla="*/ 15504 h 10"/>
                          <a:gd name="T8" fmla="+- 0 852 852"/>
                          <a:gd name="T9" fmla="*/ T8 w 10209"/>
                          <a:gd name="T10" fmla="+- 0 15504 15504"/>
                          <a:gd name="T11" fmla="*/ 15504 h 10"/>
                          <a:gd name="T12" fmla="+- 0 852 852"/>
                          <a:gd name="T13" fmla="*/ T12 w 10209"/>
                          <a:gd name="T14" fmla="+- 0 15514 15504"/>
                          <a:gd name="T15" fmla="*/ 15514 h 10"/>
                          <a:gd name="T16" fmla="+- 0 6073 852"/>
                          <a:gd name="T17" fmla="*/ T16 w 10209"/>
                          <a:gd name="T18" fmla="+- 0 15514 15504"/>
                          <a:gd name="T19" fmla="*/ 15514 h 10"/>
                          <a:gd name="T20" fmla="+- 0 6083 852"/>
                          <a:gd name="T21" fmla="*/ T20 w 10209"/>
                          <a:gd name="T22" fmla="+- 0 15514 15504"/>
                          <a:gd name="T23" fmla="*/ 15514 h 10"/>
                          <a:gd name="T24" fmla="+- 0 6083 852"/>
                          <a:gd name="T25" fmla="*/ T24 w 10209"/>
                          <a:gd name="T26" fmla="+- 0 15504 15504"/>
                          <a:gd name="T27" fmla="*/ 15504 h 10"/>
                          <a:gd name="T28" fmla="+- 0 8819 852"/>
                          <a:gd name="T29" fmla="*/ T28 w 10209"/>
                          <a:gd name="T30" fmla="+- 0 15504 15504"/>
                          <a:gd name="T31" fmla="*/ 15504 h 10"/>
                          <a:gd name="T32" fmla="+- 0 8809 852"/>
                          <a:gd name="T33" fmla="*/ T32 w 10209"/>
                          <a:gd name="T34" fmla="+- 0 15504 15504"/>
                          <a:gd name="T35" fmla="*/ 15504 h 10"/>
                          <a:gd name="T36" fmla="+- 0 6083 852"/>
                          <a:gd name="T37" fmla="*/ T36 w 10209"/>
                          <a:gd name="T38" fmla="+- 0 15504 15504"/>
                          <a:gd name="T39" fmla="*/ 15504 h 10"/>
                          <a:gd name="T40" fmla="+- 0 6083 852"/>
                          <a:gd name="T41" fmla="*/ T40 w 10209"/>
                          <a:gd name="T42" fmla="+- 0 15514 15504"/>
                          <a:gd name="T43" fmla="*/ 15514 h 10"/>
                          <a:gd name="T44" fmla="+- 0 8809 852"/>
                          <a:gd name="T45" fmla="*/ T44 w 10209"/>
                          <a:gd name="T46" fmla="+- 0 15514 15504"/>
                          <a:gd name="T47" fmla="*/ 15514 h 10"/>
                          <a:gd name="T48" fmla="+- 0 8819 852"/>
                          <a:gd name="T49" fmla="*/ T48 w 10209"/>
                          <a:gd name="T50" fmla="+- 0 15514 15504"/>
                          <a:gd name="T51" fmla="*/ 15514 h 10"/>
                          <a:gd name="T52" fmla="+- 0 8819 852"/>
                          <a:gd name="T53" fmla="*/ T52 w 10209"/>
                          <a:gd name="T54" fmla="+- 0 15504 15504"/>
                          <a:gd name="T55" fmla="*/ 15504 h 10"/>
                          <a:gd name="T56" fmla="+- 0 11061 852"/>
                          <a:gd name="T57" fmla="*/ T56 w 10209"/>
                          <a:gd name="T58" fmla="+- 0 15504 15504"/>
                          <a:gd name="T59" fmla="*/ 15504 h 10"/>
                          <a:gd name="T60" fmla="+- 0 8819 852"/>
                          <a:gd name="T61" fmla="*/ T60 w 10209"/>
                          <a:gd name="T62" fmla="+- 0 15504 15504"/>
                          <a:gd name="T63" fmla="*/ 15504 h 10"/>
                          <a:gd name="T64" fmla="+- 0 8819 852"/>
                          <a:gd name="T65" fmla="*/ T64 w 10209"/>
                          <a:gd name="T66" fmla="+- 0 15514 15504"/>
                          <a:gd name="T67" fmla="*/ 15514 h 10"/>
                          <a:gd name="T68" fmla="+- 0 11061 852"/>
                          <a:gd name="T69" fmla="*/ T68 w 10209"/>
                          <a:gd name="T70" fmla="+- 0 15514 15504"/>
                          <a:gd name="T71" fmla="*/ 15514 h 10"/>
                          <a:gd name="T72" fmla="+- 0 11061 852"/>
                          <a:gd name="T73" fmla="*/ T72 w 10209"/>
                          <a:gd name="T74" fmla="+- 0 15504 15504"/>
                          <a:gd name="T75" fmla="*/ 15504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209" h="10">
                            <a:moveTo>
                              <a:pt x="5231" y="0"/>
                            </a:moveTo>
                            <a:lnTo>
                              <a:pt x="5221" y="0"/>
                            </a:lnTo>
                            <a:lnTo>
                              <a:pt x="0" y="0"/>
                            </a:lnTo>
                            <a:lnTo>
                              <a:pt x="0" y="10"/>
                            </a:lnTo>
                            <a:lnTo>
                              <a:pt x="5221" y="10"/>
                            </a:lnTo>
                            <a:lnTo>
                              <a:pt x="5231" y="10"/>
                            </a:lnTo>
                            <a:lnTo>
                              <a:pt x="5231" y="0"/>
                            </a:lnTo>
                            <a:close/>
                            <a:moveTo>
                              <a:pt x="7967" y="0"/>
                            </a:moveTo>
                            <a:lnTo>
                              <a:pt x="7957" y="0"/>
                            </a:lnTo>
                            <a:lnTo>
                              <a:pt x="5231" y="0"/>
                            </a:lnTo>
                            <a:lnTo>
                              <a:pt x="5231" y="10"/>
                            </a:lnTo>
                            <a:lnTo>
                              <a:pt x="7957" y="10"/>
                            </a:lnTo>
                            <a:lnTo>
                              <a:pt x="7967" y="10"/>
                            </a:lnTo>
                            <a:lnTo>
                              <a:pt x="7967" y="0"/>
                            </a:lnTo>
                            <a:close/>
                            <a:moveTo>
                              <a:pt x="10209" y="0"/>
                            </a:moveTo>
                            <a:lnTo>
                              <a:pt x="7967" y="0"/>
                            </a:lnTo>
                            <a:lnTo>
                              <a:pt x="7967" y="10"/>
                            </a:lnTo>
                            <a:lnTo>
                              <a:pt x="10209" y="10"/>
                            </a:lnTo>
                            <a:lnTo>
                              <a:pt x="10209"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709B2" id="Forma libre: forma 3" o:spid="_x0000_s1026" style="position:absolute;margin-left:0;margin-top:792.4pt;width:510.45pt;height:.5pt;z-index:-1601484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coordsize="102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" path="m5231,r-10,l,,,10r5221,l5231,10r,-10xm7967,r-10,l5231,r,10l7957,10r10,l7967,xm10209,l7967,r,10l10209,10r,-10xe" fillcolor="black" stroked="f">
              <v:path arrowok="t" o:connecttype="custom" o:connectlocs="3321685,9845040;3315335,9845040;0,9845040;0,9851390;3315335,9851390;3321685,9851390;3321685,9845040;5059045,9845040;5052695,9845040;3321685,9845040;3321685,9851390;5052695,9851390;5059045,9851390;5059045,9845040;6482715,9845040;5059045,9845040;5059045,9851390;6482715,9851390;6482715,9845040" o:connectangles="0,0,0,0,0,0,0,0,0,0,0,0,0,0,0,0,0,0,0"/>
              <w10:wrap anchorx="margin" anchory="page"/>
            </v:shape>
          </w:pict>
        </mc:Fallback>
      </mc:AlternateContent>
    </w:r>
    <w:r w:rsidRPr="00FA5477">
      <w:rPr>
        <w:noProof/>
      </w:rPr>
      <mc:AlternateContent>
        <mc:Choice Requires="wps">
          <w:drawing>
            <wp:anchor distT="0" distB="0" distL="114300" distR="114300" simplePos="0" relativeHeight="487302144" behindDoc="1" locked="0" layoutInCell="1" allowOverlap="1" wp14:anchorId="13B8A6B8" wp14:editId="096ACF2E">
              <wp:simplePos x="0" y="0"/>
              <wp:positionH relativeFrom="margin">
                <wp:align>right</wp:align>
              </wp:positionH>
              <wp:positionV relativeFrom="page">
                <wp:posOffset>10062845</wp:posOffset>
              </wp:positionV>
              <wp:extent cx="1071245" cy="186690"/>
              <wp:effectExtent l="0" t="0" r="0" b="0"/>
              <wp:wrapNone/>
              <wp:docPr id="2801986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245" cy="186690"/>
                      </a:xfrm>
                      <a:prstGeom prst="rect">
                        <a:avLst/>
                      </a:prstGeom>
                      <a:noFill/>
                      <a:ln>
                        <a:noFill/>
                      </a:ln>
                    </wps:spPr>
                    <wps:txbx>
                      <w:txbxContent>
                        <w:p w14:paraId="1E4F9D43" w14:textId="29D5E4D9" w:rsidR="000F3D1A" w:rsidRPr="00FA5477" w:rsidRDefault="008B2B26">
                          <w:pPr>
                            <w:spacing w:before="20"/>
                            <w:ind w:left="20"/>
                            <w:rPr>
                              <w:rFonts w:ascii="Arial Black" w:hAnsi="Arial Black"/>
                              <w:sz w:val="18"/>
                            </w:rPr>
                          </w:pPr>
                          <w:r w:rsidRPr="00FA5477">
                            <w:rPr>
                              <w:rFonts w:ascii="Arial Black" w:hAnsi="Arial Black"/>
                              <w:sz w:val="18"/>
                            </w:rPr>
                            <w:t>Página</w:t>
                          </w:r>
                          <w:r w:rsidRPr="00FA5477">
                            <w:rPr>
                              <w:rFonts w:ascii="Arial Black" w:hAnsi="Arial Black"/>
                              <w:spacing w:val="-3"/>
                              <w:sz w:val="18"/>
                            </w:rPr>
                            <w:t xml:space="preserve"> </w:t>
                          </w:r>
                          <w:r w:rsidRPr="00FA5477">
                            <w:fldChar w:fldCharType="begin"/>
                          </w:r>
                          <w:r w:rsidRPr="00FA5477">
                            <w:rPr>
                              <w:rFonts w:ascii="Arial Black" w:hAnsi="Arial Black"/>
                              <w:sz w:val="18"/>
                            </w:rPr>
                            <w:instrText xml:space="preserve"> PAGE </w:instrText>
                          </w:r>
                          <w:r w:rsidRPr="00FA5477">
                            <w:fldChar w:fldCharType="separate"/>
                          </w:r>
                          <w:r w:rsidRPr="00FA5477">
                            <w:t>4</w:t>
                          </w:r>
                          <w:r w:rsidRPr="00FA5477">
                            <w:fldChar w:fldCharType="end"/>
                          </w:r>
                          <w:r w:rsidRPr="00FA5477">
                            <w:rPr>
                              <w:rFonts w:ascii="Arial Black" w:hAnsi="Arial Black"/>
                              <w:spacing w:val="-2"/>
                              <w:sz w:val="18"/>
                            </w:rPr>
                            <w:t xml:space="preserve"> </w:t>
                          </w:r>
                          <w:r w:rsidRPr="00FA5477">
                            <w:rPr>
                              <w:rFonts w:ascii="Arial Black" w:hAnsi="Arial Black"/>
                              <w:sz w:val="18"/>
                            </w:rPr>
                            <w:t>de</w:t>
                          </w:r>
                          <w:r w:rsidRPr="00FA5477">
                            <w:rPr>
                              <w:rFonts w:ascii="Arial Black" w:hAnsi="Arial Black"/>
                              <w:spacing w:val="-3"/>
                              <w:sz w:val="18"/>
                            </w:rPr>
                            <w:t xml:space="preserve"> </w:t>
                          </w:r>
                          <w:r w:rsidR="00420910" w:rsidRPr="00FA5477">
                            <w:rPr>
                              <w:rFonts w:ascii="Arial Black" w:hAnsi="Arial Black"/>
                              <w:sz w:val="18"/>
                            </w:rPr>
                            <w:t>3</w:t>
                          </w:r>
                          <w:r w:rsidR="00744B92">
                            <w:rPr>
                              <w:rFonts w:ascii="Arial Black" w:hAnsi="Arial Black"/>
                              <w:sz w:val="1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B8A6B8" id="_x0000_t202" coordsize="21600,21600" o:spt="202" path="m,l,21600r21600,l21600,xe">
              <v:stroke joinstyle="miter"/>
              <v:path gradientshapeok="t" o:connecttype="rect"/>
            </v:shapetype>
            <v:shape id="Cuadro de texto 2" o:spid="_x0000_s1029" type="#_x0000_t202" style="position:absolute;margin-left:33.15pt;margin-top:792.35pt;width:84.35pt;height:14.7pt;z-index:-1601433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" filled="f" stroked="f">
              <v:textbox inset="0,0,0,0">
                <w:txbxContent>
                  <w:p w14:paraId="1E4F9D43" w14:textId="29D5E4D9" w:rsidR="000F3D1A" w:rsidRPr="00FA5477" w:rsidRDefault="008B2B26">
                    <w:pPr>
                      <w:spacing w:before="20"/>
                      <w:ind w:left="20"/>
                      <w:rPr>
                        <w:rFonts w:ascii="Arial Black" w:hAnsi="Arial Black"/>
                        <w:sz w:val="18"/>
                      </w:rPr>
                    </w:pPr>
                    <w:r w:rsidRPr="00FA5477">
                      <w:rPr>
                        <w:rFonts w:ascii="Arial Black" w:hAnsi="Arial Black"/>
                        <w:sz w:val="18"/>
                      </w:rPr>
                      <w:t>Página</w:t>
                    </w:r>
                    <w:r w:rsidRPr="00FA5477">
                      <w:rPr>
                        <w:rFonts w:ascii="Arial Black" w:hAnsi="Arial Black"/>
                        <w:spacing w:val="-3"/>
                        <w:sz w:val="18"/>
                      </w:rPr>
                      <w:t xml:space="preserve"> </w:t>
                    </w:r>
                    <w:r w:rsidRPr="00FA5477">
                      <w:fldChar w:fldCharType="begin"/>
                    </w:r>
                    <w:r w:rsidRPr="00FA5477">
                      <w:rPr>
                        <w:rFonts w:ascii="Arial Black" w:hAnsi="Arial Black"/>
                        <w:sz w:val="18"/>
                      </w:rPr>
                      <w:instrText xml:space="preserve"> PAGE </w:instrText>
                    </w:r>
                    <w:r w:rsidRPr="00FA5477">
                      <w:fldChar w:fldCharType="separate"/>
                    </w:r>
                    <w:r w:rsidRPr="00FA5477">
                      <w:t>4</w:t>
                    </w:r>
                    <w:r w:rsidRPr="00FA5477">
                      <w:fldChar w:fldCharType="end"/>
                    </w:r>
                    <w:r w:rsidRPr="00FA5477">
                      <w:rPr>
                        <w:rFonts w:ascii="Arial Black" w:hAnsi="Arial Black"/>
                        <w:spacing w:val="-2"/>
                        <w:sz w:val="18"/>
                      </w:rPr>
                      <w:t xml:space="preserve"> </w:t>
                    </w:r>
                    <w:r w:rsidRPr="00FA5477">
                      <w:rPr>
                        <w:rFonts w:ascii="Arial Black" w:hAnsi="Arial Black"/>
                        <w:sz w:val="18"/>
                      </w:rPr>
                      <w:t>de</w:t>
                    </w:r>
                    <w:r w:rsidRPr="00FA5477">
                      <w:rPr>
                        <w:rFonts w:ascii="Arial Black" w:hAnsi="Arial Black"/>
                        <w:spacing w:val="-3"/>
                        <w:sz w:val="18"/>
                      </w:rPr>
                      <w:t xml:space="preserve"> </w:t>
                    </w:r>
                    <w:r w:rsidR="00420910" w:rsidRPr="00FA5477">
                      <w:rPr>
                        <w:rFonts w:ascii="Arial Black" w:hAnsi="Arial Black"/>
                        <w:sz w:val="18"/>
                      </w:rPr>
                      <w:t>3</w:t>
                    </w:r>
                    <w:r w:rsidR="00744B92">
                      <w:rPr>
                        <w:rFonts w:ascii="Arial Black" w:hAnsi="Arial Black"/>
                        <w:sz w:val="18"/>
                      </w:rPr>
                      <w:t>6</w:t>
                    </w:r>
                  </w:p>
                </w:txbxContent>
              </v:textbox>
              <w10:wrap anchorx="margin" anchory="page"/>
            </v:shape>
          </w:pict>
        </mc:Fallback>
      </mc:AlternateContent>
    </w:r>
    <w:r w:rsidR="00B0496E" w:rsidRPr="00FA5477">
      <w:rPr>
        <w:noProof/>
      </w:rPr>
      <w:drawing>
        <wp:anchor distT="0" distB="0" distL="0" distR="0" simplePos="0" relativeHeight="251661312" behindDoc="1" locked="0" layoutInCell="1" allowOverlap="1" wp14:anchorId="74565145" wp14:editId="10DC4EE9">
          <wp:simplePos x="0" y="0"/>
          <wp:positionH relativeFrom="margin">
            <wp:align>left</wp:align>
          </wp:positionH>
          <wp:positionV relativeFrom="page">
            <wp:posOffset>10064115</wp:posOffset>
          </wp:positionV>
          <wp:extent cx="1684185" cy="184873"/>
          <wp:effectExtent l="0" t="0" r="0" b="5715"/>
          <wp:wrapNone/>
          <wp:docPr id="552113054"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 cstate="print"/>
                  <a:stretch>
                    <a:fillRect/>
                  </a:stretch>
                </pic:blipFill>
                <pic:spPr>
                  <a:xfrm>
                    <a:off x="0" y="0"/>
                    <a:ext cx="1684185" cy="184873"/>
                  </a:xfrm>
                  <a:prstGeom prst="rect">
                    <a:avLst/>
                  </a:prstGeom>
                </pic:spPr>
              </pic:pic>
            </a:graphicData>
          </a:graphic>
        </wp:anchor>
      </w:drawing>
    </w:r>
    <w:r w:rsidRPr="00FA5477">
      <w:rPr>
        <w:noProof/>
      </w:rPr>
      <mc:AlternateContent>
        <mc:Choice Requires="wps">
          <w:drawing>
            <wp:anchor distT="0" distB="0" distL="114300" distR="114300" simplePos="0" relativeHeight="487302656" behindDoc="1" locked="0" layoutInCell="1" allowOverlap="1" wp14:anchorId="683C2C80" wp14:editId="19FC66E1">
              <wp:simplePos x="0" y="0"/>
              <wp:positionH relativeFrom="page">
                <wp:posOffset>528320</wp:posOffset>
              </wp:positionH>
              <wp:positionV relativeFrom="page">
                <wp:posOffset>10309860</wp:posOffset>
              </wp:positionV>
              <wp:extent cx="3117850" cy="124460"/>
              <wp:effectExtent l="0" t="0" r="0" b="0"/>
              <wp:wrapNone/>
              <wp:docPr id="1839452708"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0" cy="124460"/>
                      </a:xfrm>
                      <a:prstGeom prst="rect">
                        <a:avLst/>
                      </a:prstGeom>
                      <a:noFill/>
                      <a:ln>
                        <a:noFill/>
                      </a:ln>
                    </wps:spPr>
                    <wps:txbx>
                      <w:txbxContent>
                        <w:p w14:paraId="0A74BFC1" w14:textId="77777777" w:rsidR="000F3D1A" w:rsidRPr="00FA5477" w:rsidRDefault="008B2B26">
                          <w:pPr>
                            <w:spacing w:before="14"/>
                            <w:ind w:left="20"/>
                            <w:rPr>
                              <w:sz w:val="14"/>
                            </w:rPr>
                          </w:pPr>
                          <w:r w:rsidRPr="00FA5477">
                            <w:rPr>
                              <w:sz w:val="14"/>
                            </w:rPr>
                            <w:t>Formulario</w:t>
                          </w:r>
                          <w:r w:rsidRPr="00FA5477">
                            <w:rPr>
                              <w:spacing w:val="-5"/>
                              <w:sz w:val="14"/>
                            </w:rPr>
                            <w:t xml:space="preserve"> </w:t>
                          </w:r>
                          <w:r w:rsidRPr="00FA5477">
                            <w:rPr>
                              <w:sz w:val="14"/>
                            </w:rPr>
                            <w:t>de</w:t>
                          </w:r>
                          <w:r w:rsidRPr="00FA5477">
                            <w:rPr>
                              <w:spacing w:val="-4"/>
                              <w:sz w:val="14"/>
                            </w:rPr>
                            <w:t xml:space="preserve"> </w:t>
                          </w:r>
                          <w:r w:rsidRPr="00FA5477">
                            <w:rPr>
                              <w:sz w:val="14"/>
                            </w:rPr>
                            <w:t>solicitud</w:t>
                          </w:r>
                          <w:r w:rsidRPr="00FA5477">
                            <w:rPr>
                              <w:spacing w:val="-1"/>
                              <w:sz w:val="14"/>
                            </w:rPr>
                            <w:t xml:space="preserve"> </w:t>
                          </w:r>
                          <w:r w:rsidRPr="00FA5477">
                            <w:rPr>
                              <w:sz w:val="14"/>
                            </w:rPr>
                            <w:t>de</w:t>
                          </w:r>
                          <w:r w:rsidRPr="00FA5477">
                            <w:rPr>
                              <w:spacing w:val="-4"/>
                              <w:sz w:val="14"/>
                            </w:rPr>
                            <w:t xml:space="preserve"> </w:t>
                          </w:r>
                          <w:r w:rsidRPr="00FA5477">
                            <w:rPr>
                              <w:sz w:val="14"/>
                            </w:rPr>
                            <w:t>financiamiento</w:t>
                          </w:r>
                          <w:r w:rsidRPr="00FA5477">
                            <w:rPr>
                              <w:spacing w:val="-4"/>
                              <w:sz w:val="14"/>
                            </w:rPr>
                            <w:t xml:space="preserve"> </w:t>
                          </w:r>
                          <w:r w:rsidRPr="00FA5477">
                            <w:rPr>
                              <w:sz w:val="14"/>
                            </w:rPr>
                            <w:t>adaptada</w:t>
                          </w:r>
                          <w:r w:rsidRPr="00FA5477">
                            <w:rPr>
                              <w:spacing w:val="-3"/>
                              <w:sz w:val="14"/>
                            </w:rPr>
                            <w:t xml:space="preserve"> </w:t>
                          </w:r>
                          <w:r w:rsidRPr="00FA5477">
                            <w:rPr>
                              <w:sz w:val="14"/>
                            </w:rPr>
                            <w:t>a</w:t>
                          </w:r>
                          <w:r w:rsidRPr="00FA5477">
                            <w:rPr>
                              <w:spacing w:val="-4"/>
                              <w:sz w:val="14"/>
                            </w:rPr>
                            <w:t xml:space="preserve"> </w:t>
                          </w:r>
                          <w:r w:rsidRPr="00FA5477">
                            <w:rPr>
                              <w:sz w:val="14"/>
                            </w:rPr>
                            <w:t>los</w:t>
                          </w:r>
                          <w:r w:rsidRPr="00FA5477">
                            <w:rPr>
                              <w:spacing w:val="-4"/>
                              <w:sz w:val="14"/>
                            </w:rPr>
                            <w:t xml:space="preserve"> </w:t>
                          </w:r>
                          <w:r w:rsidRPr="00FA5477">
                            <w:rPr>
                              <w:sz w:val="14"/>
                            </w:rPr>
                            <w:t>portafolios</w:t>
                          </w:r>
                          <w:r w:rsidRPr="00FA5477">
                            <w:rPr>
                              <w:spacing w:val="-2"/>
                              <w:sz w:val="14"/>
                            </w:rPr>
                            <w:t xml:space="preserve"> </w:t>
                          </w:r>
                          <w:r w:rsidRPr="00FA5477">
                            <w:rPr>
                              <w:sz w:val="14"/>
                            </w:rPr>
                            <w:t>enfocados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C2C80" id="Cuadro de texto 1" o:spid="_x0000_s1030" type="#_x0000_t202" style="position:absolute;margin-left:41.6pt;margin-top:811.8pt;width:245.5pt;height:9.8pt;z-index:-1601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" filled="f" stroked="f">
              <v:textbox inset="0,0,0,0">
                <w:txbxContent>
                  <w:p w14:paraId="0A74BFC1" w14:textId="77777777" w:rsidR="000F3D1A" w:rsidRPr="00FA5477" w:rsidRDefault="008B2B26">
                    <w:pPr>
                      <w:spacing w:before="14"/>
                      <w:ind w:left="20"/>
                      <w:rPr>
                        <w:sz w:val="14"/>
                      </w:rPr>
                    </w:pPr>
                    <w:r w:rsidRPr="00FA5477">
                      <w:rPr>
                        <w:sz w:val="14"/>
                      </w:rPr>
                      <w:t>Formulario</w:t>
                    </w:r>
                    <w:r w:rsidRPr="00FA5477">
                      <w:rPr>
                        <w:spacing w:val="-5"/>
                        <w:sz w:val="14"/>
                      </w:rPr>
                      <w:t xml:space="preserve"> </w:t>
                    </w:r>
                    <w:r w:rsidRPr="00FA5477">
                      <w:rPr>
                        <w:sz w:val="14"/>
                      </w:rPr>
                      <w:t>de</w:t>
                    </w:r>
                    <w:r w:rsidRPr="00FA5477">
                      <w:rPr>
                        <w:spacing w:val="-4"/>
                        <w:sz w:val="14"/>
                      </w:rPr>
                      <w:t xml:space="preserve"> </w:t>
                    </w:r>
                    <w:r w:rsidRPr="00FA5477">
                      <w:rPr>
                        <w:sz w:val="14"/>
                      </w:rPr>
                      <w:t>solicitud</w:t>
                    </w:r>
                    <w:r w:rsidRPr="00FA5477">
                      <w:rPr>
                        <w:spacing w:val="-1"/>
                        <w:sz w:val="14"/>
                      </w:rPr>
                      <w:t xml:space="preserve"> </w:t>
                    </w:r>
                    <w:r w:rsidRPr="00FA5477">
                      <w:rPr>
                        <w:sz w:val="14"/>
                      </w:rPr>
                      <w:t>de</w:t>
                    </w:r>
                    <w:r w:rsidRPr="00FA5477">
                      <w:rPr>
                        <w:spacing w:val="-4"/>
                        <w:sz w:val="14"/>
                      </w:rPr>
                      <w:t xml:space="preserve"> </w:t>
                    </w:r>
                    <w:r w:rsidRPr="00FA5477">
                      <w:rPr>
                        <w:sz w:val="14"/>
                      </w:rPr>
                      <w:t>financiamiento</w:t>
                    </w:r>
                    <w:r w:rsidRPr="00FA5477">
                      <w:rPr>
                        <w:spacing w:val="-4"/>
                        <w:sz w:val="14"/>
                      </w:rPr>
                      <w:t xml:space="preserve"> </w:t>
                    </w:r>
                    <w:r w:rsidRPr="00FA5477">
                      <w:rPr>
                        <w:sz w:val="14"/>
                      </w:rPr>
                      <w:t>adaptada</w:t>
                    </w:r>
                    <w:r w:rsidRPr="00FA5477">
                      <w:rPr>
                        <w:spacing w:val="-3"/>
                        <w:sz w:val="14"/>
                      </w:rPr>
                      <w:t xml:space="preserve"> </w:t>
                    </w:r>
                    <w:r w:rsidRPr="00FA5477">
                      <w:rPr>
                        <w:sz w:val="14"/>
                      </w:rPr>
                      <w:t>a</w:t>
                    </w:r>
                    <w:r w:rsidRPr="00FA5477">
                      <w:rPr>
                        <w:spacing w:val="-4"/>
                        <w:sz w:val="14"/>
                      </w:rPr>
                      <w:t xml:space="preserve"> </w:t>
                    </w:r>
                    <w:r w:rsidRPr="00FA5477">
                      <w:rPr>
                        <w:sz w:val="14"/>
                      </w:rPr>
                      <w:t>los</w:t>
                    </w:r>
                    <w:r w:rsidRPr="00FA5477">
                      <w:rPr>
                        <w:spacing w:val="-4"/>
                        <w:sz w:val="14"/>
                      </w:rPr>
                      <w:t xml:space="preserve"> </w:t>
                    </w:r>
                    <w:r w:rsidRPr="00FA5477">
                      <w:rPr>
                        <w:sz w:val="14"/>
                      </w:rPr>
                      <w:t>portafolios</w:t>
                    </w:r>
                    <w:r w:rsidRPr="00FA5477">
                      <w:rPr>
                        <w:spacing w:val="-2"/>
                        <w:sz w:val="14"/>
                      </w:rPr>
                      <w:t xml:space="preserve"> </w:t>
                    </w:r>
                    <w:r w:rsidRPr="00FA5477">
                      <w:rPr>
                        <w:sz w:val="14"/>
                      </w:rPr>
                      <w:t>enfocados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ECF8A" w14:textId="77777777" w:rsidR="004C2318" w:rsidRPr="00FA5477" w:rsidRDefault="004C2318">
      <w:r w:rsidRPr="00FA5477">
        <w:separator/>
      </w:r>
    </w:p>
  </w:footnote>
  <w:footnote w:type="continuationSeparator" w:id="0">
    <w:p w14:paraId="1E371CBD" w14:textId="77777777" w:rsidR="004C2318" w:rsidRPr="00FA5477" w:rsidRDefault="004C2318">
      <w:r w:rsidRPr="00FA5477">
        <w:continuationSeparator/>
      </w:r>
    </w:p>
  </w:footnote>
  <w:footnote w:id="1">
    <w:p w14:paraId="62F3CF05" w14:textId="164DC0F5" w:rsidR="00E716AA" w:rsidRPr="00FA5477" w:rsidRDefault="00E716AA" w:rsidP="009B7171">
      <w:pPr>
        <w:pStyle w:val="Textonotapie"/>
        <w:spacing w:after="60"/>
        <w:ind w:left="284" w:hanging="284"/>
        <w:rPr>
          <w:sz w:val="16"/>
          <w:szCs w:val="16"/>
        </w:rPr>
      </w:pPr>
      <w:r w:rsidRPr="00FA5477">
        <w:rPr>
          <w:rStyle w:val="Refdenotaalpie"/>
          <w:sz w:val="16"/>
          <w:szCs w:val="16"/>
        </w:rPr>
        <w:footnoteRef/>
      </w:r>
      <w:r w:rsidRPr="00FA5477">
        <w:rPr>
          <w:sz w:val="16"/>
          <w:szCs w:val="16"/>
        </w:rPr>
        <w:t xml:space="preserve"> </w:t>
      </w:r>
      <w:r w:rsidRPr="00FA5477">
        <w:rPr>
          <w:sz w:val="16"/>
          <w:szCs w:val="16"/>
          <w:lang w:bidi="es-ES"/>
        </w:rPr>
        <w:t>Las clínicas de vigilancia centinela de infecciones de transmisión sexual (VICITS) son una estrategia</w:t>
      </w:r>
      <w:r w:rsidRPr="00FA5477" w:rsidDel="004E31E4">
        <w:rPr>
          <w:sz w:val="16"/>
          <w:szCs w:val="16"/>
          <w:lang w:bidi="es-ES"/>
        </w:rPr>
        <w:t xml:space="preserve"> </w:t>
      </w:r>
      <w:r w:rsidRPr="00FA5477">
        <w:rPr>
          <w:sz w:val="16"/>
          <w:szCs w:val="16"/>
          <w:lang w:bidi="es-ES"/>
        </w:rPr>
        <w:t>implementada desde 2011 en el país para mejorar el acceso de integrantes de poblaciones clave a la promoción, prevención, atención, diagnóstico, tratamiento</w:t>
      </w:r>
      <w:r w:rsidR="00DB22E8" w:rsidRPr="00FA5477">
        <w:rPr>
          <w:sz w:val="16"/>
          <w:szCs w:val="16"/>
          <w:lang w:bidi="es-ES"/>
        </w:rPr>
        <w:t xml:space="preserve"> de</w:t>
      </w:r>
      <w:r w:rsidRPr="00FA5477">
        <w:rPr>
          <w:sz w:val="16"/>
          <w:szCs w:val="16"/>
          <w:lang w:bidi="es-ES"/>
        </w:rPr>
        <w:t xml:space="preserve"> ITS/VIH. En ellas, personal entrenado</w:t>
      </w:r>
      <w:r w:rsidR="001F63A5" w:rsidRPr="00FA5477">
        <w:rPr>
          <w:sz w:val="16"/>
          <w:szCs w:val="16"/>
          <w:lang w:bidi="es-ES"/>
        </w:rPr>
        <w:t xml:space="preserve"> y sensibilizado</w:t>
      </w:r>
      <w:r w:rsidRPr="00FA5477">
        <w:rPr>
          <w:sz w:val="16"/>
          <w:szCs w:val="16"/>
          <w:lang w:bidi="es-ES"/>
        </w:rPr>
        <w:t xml:space="preserve"> brinda atención integral con enfoque de género, de derechos humanos, libre de estigma y discriminación a poblaciones clave</w:t>
      </w:r>
      <w:r w:rsidR="001F63A5" w:rsidRPr="00FA5477">
        <w:rPr>
          <w:sz w:val="16"/>
          <w:szCs w:val="16"/>
          <w:lang w:bidi="es-ES"/>
        </w:rPr>
        <w:t>, valorando actitudes y prácticas</w:t>
      </w:r>
      <w:r w:rsidRPr="00FA5477">
        <w:rPr>
          <w:sz w:val="16"/>
          <w:szCs w:val="16"/>
          <w:lang w:bidi="es-ES"/>
        </w:rPr>
        <w:t>.</w:t>
      </w:r>
      <w:r w:rsidR="001F63A5" w:rsidRPr="00FA5477">
        <w:rPr>
          <w:sz w:val="16"/>
          <w:szCs w:val="16"/>
          <w:lang w:bidi="es-ES"/>
        </w:rPr>
        <w:t xml:space="preserve"> [</w:t>
      </w:r>
      <w:r w:rsidR="002B53C0" w:rsidRPr="00FA5477">
        <w:rPr>
          <w:sz w:val="16"/>
          <w:szCs w:val="16"/>
          <w:lang w:bidi="es-ES"/>
        </w:rPr>
        <w:t xml:space="preserve">Anexo 3 </w:t>
      </w:r>
      <w:r w:rsidR="001F63A5" w:rsidRPr="00FA5477">
        <w:rPr>
          <w:sz w:val="16"/>
          <w:szCs w:val="16"/>
          <w:lang w:bidi="es-ES"/>
        </w:rPr>
        <w:t xml:space="preserve">Lineamientos Técnicos de Clínicas VICITS; </w:t>
      </w:r>
      <w:r w:rsidR="002B53C0" w:rsidRPr="00FA5477">
        <w:rPr>
          <w:sz w:val="16"/>
          <w:szCs w:val="16"/>
          <w:lang w:bidi="es-ES"/>
        </w:rPr>
        <w:t xml:space="preserve">Anexo 4 </w:t>
      </w:r>
      <w:r w:rsidR="001F63A5" w:rsidRPr="00FA5477">
        <w:rPr>
          <w:sz w:val="16"/>
          <w:szCs w:val="16"/>
          <w:lang w:bidi="es-ES"/>
        </w:rPr>
        <w:t>Informe Nacional de Situación 2022, página 21]</w:t>
      </w:r>
    </w:p>
  </w:footnote>
  <w:footnote w:id="2">
    <w:p w14:paraId="4642B4EC" w14:textId="7CD993FF" w:rsidR="00E716AA" w:rsidRPr="00FA5477" w:rsidRDefault="00E716AA" w:rsidP="009B7171">
      <w:pPr>
        <w:pStyle w:val="Textonotapie"/>
        <w:ind w:left="284" w:hanging="284"/>
      </w:pPr>
      <w:r w:rsidRPr="00FA5477">
        <w:rPr>
          <w:rStyle w:val="Refdenotaalpie"/>
          <w:sz w:val="16"/>
          <w:szCs w:val="16"/>
        </w:rPr>
        <w:footnoteRef/>
      </w:r>
      <w:r w:rsidRPr="00FA5477">
        <w:rPr>
          <w:sz w:val="16"/>
          <w:szCs w:val="16"/>
        </w:rPr>
        <w:t xml:space="preserve"> Las clínicas amigables s</w:t>
      </w:r>
      <w:r w:rsidRPr="00FA5477">
        <w:rPr>
          <w:sz w:val="16"/>
          <w:szCs w:val="16"/>
          <w:lang w:bidi="es-ES"/>
        </w:rPr>
        <w:t xml:space="preserve">on espacios creados para brindar atención a nivel comunitario libre de estigma y discriminación, a poblaciones clave, para ampliar la cobertura de las VICITS, ofertando los mismos servicios que estas, incluyendo el diagnóstico de </w:t>
      </w:r>
      <w:r w:rsidR="0020340A" w:rsidRPr="00FA5477">
        <w:rPr>
          <w:sz w:val="16"/>
          <w:szCs w:val="16"/>
          <w:lang w:bidi="es-ES"/>
        </w:rPr>
        <w:t>ITS,</w:t>
      </w:r>
      <w:r w:rsidRPr="00FA5477">
        <w:rPr>
          <w:sz w:val="16"/>
          <w:szCs w:val="16"/>
          <w:lang w:bidi="es-ES"/>
        </w:rPr>
        <w:t xml:space="preserve"> pero con tecnología de menor complejidad. Cuentan con capacidad de reportar la misma información epidemiológica que las VICITS.</w:t>
      </w:r>
      <w:r w:rsidR="002B53C0" w:rsidRPr="00FA5477">
        <w:rPr>
          <w:sz w:val="16"/>
          <w:szCs w:val="16"/>
          <w:lang w:bidi="es-ES"/>
        </w:rPr>
        <w:t xml:space="preserve"> [Anexo </w:t>
      </w:r>
      <w:r w:rsidR="003E091E" w:rsidRPr="00FA5477">
        <w:rPr>
          <w:sz w:val="16"/>
          <w:szCs w:val="16"/>
          <w:lang w:bidi="es-ES"/>
        </w:rPr>
        <w:t>5</w:t>
      </w:r>
      <w:r w:rsidR="002B53C0" w:rsidRPr="00FA5477">
        <w:rPr>
          <w:sz w:val="16"/>
          <w:szCs w:val="16"/>
          <w:lang w:bidi="es-ES"/>
        </w:rPr>
        <w:t xml:space="preserve"> Plan Estratégico Nacional Multisectorial 2022-2027, página 27]</w:t>
      </w:r>
    </w:p>
  </w:footnote>
  <w:footnote w:id="3">
    <w:p w14:paraId="4F8D09AE" w14:textId="7C27DFA3" w:rsidR="00DA6F5E" w:rsidRPr="00FA5477" w:rsidRDefault="00DA6F5E">
      <w:pPr>
        <w:pStyle w:val="Textonotapie"/>
        <w:rPr>
          <w:sz w:val="16"/>
          <w:szCs w:val="16"/>
        </w:rPr>
      </w:pPr>
      <w:r w:rsidRPr="00FA5477">
        <w:rPr>
          <w:rStyle w:val="Refdenotaalpie"/>
          <w:sz w:val="16"/>
          <w:szCs w:val="16"/>
        </w:rPr>
        <w:footnoteRef/>
      </w:r>
      <w:r w:rsidRPr="00FA5477">
        <w:rPr>
          <w:sz w:val="16"/>
          <w:szCs w:val="16"/>
        </w:rPr>
        <w:t xml:space="preserve"> Este documento por razones de seguridad </w:t>
      </w:r>
      <w:r w:rsidR="00FF5B54" w:rsidRPr="00FA5477">
        <w:rPr>
          <w:sz w:val="16"/>
          <w:szCs w:val="16"/>
        </w:rPr>
        <w:t xml:space="preserve">no es de </w:t>
      </w:r>
      <w:r w:rsidRPr="00FA5477">
        <w:rPr>
          <w:sz w:val="16"/>
          <w:szCs w:val="16"/>
        </w:rPr>
        <w:t>acceso público</w:t>
      </w:r>
      <w:r w:rsidR="00FF5B54" w:rsidRPr="00FA5477">
        <w:rPr>
          <w:sz w:val="16"/>
          <w:szCs w:val="16"/>
        </w:rPr>
        <w:t>, exclusivo de uso institucional</w:t>
      </w:r>
      <w:r w:rsidRPr="00FA5477">
        <w:rPr>
          <w:sz w:val="16"/>
          <w:szCs w:val="16"/>
        </w:rPr>
        <w:t>.</w:t>
      </w:r>
    </w:p>
  </w:footnote>
  <w:footnote w:id="4">
    <w:p w14:paraId="359F9DC9" w14:textId="19128377" w:rsidR="006D5382" w:rsidRPr="00FA5477" w:rsidRDefault="006D5382">
      <w:pPr>
        <w:pStyle w:val="Textonotapie"/>
        <w:rPr>
          <w:sz w:val="16"/>
          <w:szCs w:val="16"/>
        </w:rPr>
      </w:pPr>
      <w:r w:rsidRPr="00FA5477">
        <w:rPr>
          <w:rStyle w:val="Refdenotaalpie"/>
          <w:sz w:val="16"/>
          <w:szCs w:val="16"/>
        </w:rPr>
        <w:footnoteRef/>
      </w:r>
      <w:r w:rsidRPr="00FA5477">
        <w:rPr>
          <w:sz w:val="16"/>
          <w:szCs w:val="16"/>
        </w:rPr>
        <w:t xml:space="preserve"> Informe Nacional de Situación 2022, página 31.</w:t>
      </w:r>
      <w:r w:rsidR="00933169" w:rsidRPr="00FA5477">
        <w:rPr>
          <w:sz w:val="16"/>
          <w:szCs w:val="16"/>
        </w:rPr>
        <w:t xml:space="preserve"> [Anexo</w:t>
      </w:r>
      <w:r w:rsidR="00933169" w:rsidRPr="00FA5477">
        <w:t xml:space="preserve"> </w:t>
      </w:r>
      <w:r w:rsidR="006D4AFF" w:rsidRPr="00FA5477">
        <w:rPr>
          <w:sz w:val="16"/>
          <w:szCs w:val="16"/>
        </w:rPr>
        <w:t>4</w:t>
      </w:r>
      <w:r w:rsidR="00933169" w:rsidRPr="00FA5477">
        <w:rPr>
          <w:sz w:val="16"/>
          <w:szCs w:val="16"/>
        </w:rPr>
        <w:t>]</w:t>
      </w:r>
    </w:p>
  </w:footnote>
  <w:footnote w:id="5">
    <w:p w14:paraId="27BA51AA" w14:textId="764A3C07" w:rsidR="000D20FF" w:rsidRPr="00FA5477" w:rsidRDefault="000D20FF">
      <w:pPr>
        <w:pStyle w:val="Textonotapie"/>
      </w:pPr>
      <w:r w:rsidRPr="00FA5477">
        <w:rPr>
          <w:rStyle w:val="Refdenotaalpie"/>
          <w:sz w:val="16"/>
          <w:szCs w:val="16"/>
        </w:rPr>
        <w:footnoteRef/>
      </w:r>
      <w:r w:rsidRPr="00FA5477">
        <w:rPr>
          <w:sz w:val="16"/>
          <w:szCs w:val="16"/>
        </w:rPr>
        <w:t xml:space="preserve"> PENM 2022-2027. Página 22, figura 11.</w:t>
      </w:r>
      <w:r w:rsidR="00823927" w:rsidRPr="00FA5477">
        <w:rPr>
          <w:sz w:val="16"/>
          <w:szCs w:val="16"/>
        </w:rPr>
        <w:t xml:space="preserve"> [Anexo</w:t>
      </w:r>
      <w:r w:rsidR="00823927" w:rsidRPr="00FA5477">
        <w:t xml:space="preserve"> </w:t>
      </w:r>
      <w:r w:rsidR="00823927" w:rsidRPr="00FA5477">
        <w:rPr>
          <w:sz w:val="16"/>
          <w:szCs w:val="16"/>
        </w:rPr>
        <w:t>5]</w:t>
      </w:r>
    </w:p>
  </w:footnote>
  <w:footnote w:id="6">
    <w:p w14:paraId="7A5CE5A3" w14:textId="685869FF" w:rsidR="00114110" w:rsidRPr="00FA5477" w:rsidRDefault="00114110">
      <w:pPr>
        <w:pStyle w:val="Textonotapie"/>
        <w:rPr>
          <w:sz w:val="16"/>
          <w:szCs w:val="16"/>
        </w:rPr>
      </w:pPr>
      <w:r w:rsidRPr="00FA5477">
        <w:rPr>
          <w:rStyle w:val="Refdenotaalpie"/>
          <w:sz w:val="16"/>
          <w:szCs w:val="16"/>
        </w:rPr>
        <w:footnoteRef/>
      </w:r>
      <w:r w:rsidRPr="00FA5477">
        <w:rPr>
          <w:sz w:val="16"/>
          <w:szCs w:val="16"/>
        </w:rPr>
        <w:t xml:space="preserve"> PENM 2022-2027. Página 31 y 32.</w:t>
      </w:r>
      <w:r w:rsidR="00A44DD0" w:rsidRPr="00FA5477">
        <w:rPr>
          <w:sz w:val="16"/>
          <w:szCs w:val="16"/>
        </w:rPr>
        <w:t xml:space="preserve"> [Anexo</w:t>
      </w:r>
      <w:r w:rsidR="00A44DD0" w:rsidRPr="00FA5477">
        <w:t xml:space="preserve"> </w:t>
      </w:r>
      <w:r w:rsidR="00A44DD0" w:rsidRPr="00FA5477">
        <w:rPr>
          <w:sz w:val="16"/>
          <w:szCs w:val="16"/>
        </w:rPr>
        <w:t>5]</w:t>
      </w:r>
    </w:p>
  </w:footnote>
  <w:footnote w:id="7">
    <w:p w14:paraId="41ACCA5C" w14:textId="48BE269E" w:rsidR="000B0968" w:rsidRPr="00FA5477" w:rsidRDefault="000B0968">
      <w:pPr>
        <w:pStyle w:val="Textonotapie"/>
      </w:pPr>
      <w:r w:rsidRPr="00FA5477">
        <w:rPr>
          <w:rStyle w:val="Refdenotaalpie"/>
          <w:sz w:val="16"/>
          <w:szCs w:val="16"/>
        </w:rPr>
        <w:footnoteRef/>
      </w:r>
      <w:r w:rsidRPr="00FA5477">
        <w:rPr>
          <w:sz w:val="16"/>
          <w:szCs w:val="16"/>
        </w:rPr>
        <w:t xml:space="preserve"> </w:t>
      </w:r>
      <w:r w:rsidR="00325783" w:rsidRPr="00FA5477">
        <w:rPr>
          <w:sz w:val="16"/>
          <w:szCs w:val="16"/>
        </w:rPr>
        <w:t>Plan Estratégico Nacional Multisectorial para el control de Tuberculosis en El Salvador 2025-2029. P</w:t>
      </w:r>
      <w:r w:rsidRPr="00FA5477">
        <w:rPr>
          <w:sz w:val="16"/>
          <w:szCs w:val="16"/>
        </w:rPr>
        <w:t>áginas 50 a 52</w:t>
      </w:r>
      <w:r w:rsidR="00325783" w:rsidRPr="00FA5477">
        <w:rPr>
          <w:sz w:val="16"/>
          <w:szCs w:val="16"/>
        </w:rPr>
        <w:t xml:space="preserve"> [Anexo 1.2-</w:t>
      </w:r>
      <w:r w:rsidR="009F52C5" w:rsidRPr="00FA5477">
        <w:rPr>
          <w:sz w:val="16"/>
          <w:szCs w:val="16"/>
        </w:rPr>
        <w:t>1</w:t>
      </w:r>
      <w:r w:rsidR="00325783" w:rsidRPr="00FA5477">
        <w:rPr>
          <w:sz w:val="16"/>
          <w:szCs w:val="16"/>
        </w:rPr>
        <w:t>]</w:t>
      </w:r>
    </w:p>
  </w:footnote>
  <w:footnote w:id="8">
    <w:p w14:paraId="1F7CAD48" w14:textId="1D2E900B" w:rsidR="000E2C84" w:rsidRPr="00FA5477" w:rsidRDefault="000E2C84">
      <w:pPr>
        <w:pStyle w:val="Textonotapie"/>
        <w:rPr>
          <w:sz w:val="16"/>
          <w:szCs w:val="16"/>
        </w:rPr>
      </w:pPr>
      <w:r w:rsidRPr="00FA5477">
        <w:rPr>
          <w:rStyle w:val="Refdenotaalpie"/>
          <w:sz w:val="16"/>
          <w:szCs w:val="16"/>
        </w:rPr>
        <w:footnoteRef/>
      </w:r>
      <w:r w:rsidRPr="00FA5477">
        <w:rPr>
          <w:sz w:val="16"/>
          <w:szCs w:val="16"/>
        </w:rPr>
        <w:t xml:space="preserve"> Carta de asignación. [Anexo 1</w:t>
      </w:r>
      <w:r w:rsidR="005A1DC9" w:rsidRPr="00FA5477">
        <w:rPr>
          <w:sz w:val="16"/>
          <w:szCs w:val="16"/>
        </w:rPr>
        <w:t>0</w:t>
      </w:r>
      <w:r w:rsidRPr="00FA5477">
        <w:rPr>
          <w:sz w:val="16"/>
          <w:szCs w:val="16"/>
        </w:rPr>
        <w:t>]</w:t>
      </w:r>
    </w:p>
  </w:footnote>
  <w:footnote w:id="9">
    <w:p w14:paraId="7556EF1C" w14:textId="66E37AA4" w:rsidR="00DB63FE" w:rsidRPr="00FA5477" w:rsidRDefault="00DB63FE" w:rsidP="00F00444">
      <w:pPr>
        <w:pStyle w:val="Textonotapie"/>
        <w:ind w:left="284" w:hanging="284"/>
      </w:pPr>
      <w:r w:rsidRPr="00FA5477">
        <w:rPr>
          <w:rStyle w:val="Refdenotaalpie"/>
          <w:sz w:val="16"/>
          <w:szCs w:val="16"/>
        </w:rPr>
        <w:footnoteRef/>
      </w:r>
      <w:r w:rsidRPr="00FA5477">
        <w:rPr>
          <w:sz w:val="16"/>
          <w:szCs w:val="16"/>
        </w:rPr>
        <w:t xml:space="preserve"> </w:t>
      </w:r>
      <w:r w:rsidR="008743E1" w:rsidRPr="00FA5477">
        <w:rPr>
          <w:sz w:val="16"/>
          <w:szCs w:val="16"/>
        </w:rPr>
        <w:t>El presupuesto de paquetes de prevención de las tres poblaciones clave más el presupuesto para realización de pruebas de PCR con financiamiento de Fondo Mundial para para poblaciones clave usuarias de VICITS suma US$8,089,642</w:t>
      </w:r>
      <w:r w:rsidRPr="00FA5477">
        <w:rPr>
          <w:sz w:val="16"/>
          <w:szCs w:val="16"/>
        </w:rPr>
        <w:t>.</w:t>
      </w:r>
    </w:p>
  </w:footnote>
  <w:footnote w:id="10">
    <w:p w14:paraId="53F3B016" w14:textId="75A96B49" w:rsidR="00407BD6" w:rsidRPr="00FA5477" w:rsidRDefault="00407BD6">
      <w:pPr>
        <w:pStyle w:val="Textonotapie"/>
        <w:rPr>
          <w:sz w:val="16"/>
          <w:szCs w:val="16"/>
        </w:rPr>
      </w:pPr>
      <w:r w:rsidRPr="00FA5477">
        <w:rPr>
          <w:rStyle w:val="Refdenotaalpie"/>
          <w:sz w:val="16"/>
          <w:szCs w:val="16"/>
        </w:rPr>
        <w:footnoteRef/>
      </w:r>
      <w:r w:rsidRPr="00FA5477">
        <w:rPr>
          <w:sz w:val="16"/>
          <w:szCs w:val="16"/>
        </w:rPr>
        <w:t xml:space="preserve"> Índice de Estigma en Personas que viven con VIH. INDEX PVIH 2.0 El Salvador 2023, página 27.</w:t>
      </w:r>
      <w:r w:rsidR="008E074E" w:rsidRPr="00FA5477">
        <w:rPr>
          <w:sz w:val="16"/>
          <w:szCs w:val="16"/>
        </w:rPr>
        <w:t xml:space="preserve"> [Anexo 12]</w:t>
      </w:r>
    </w:p>
  </w:footnote>
  <w:footnote w:id="11">
    <w:p w14:paraId="5DC99B00" w14:textId="0BBD5334" w:rsidR="00680AE0" w:rsidRPr="00FA5477" w:rsidRDefault="00680AE0">
      <w:pPr>
        <w:pStyle w:val="Textonotapie"/>
      </w:pPr>
      <w:r w:rsidRPr="00FA5477">
        <w:rPr>
          <w:rStyle w:val="Refdenotaalpie"/>
          <w:sz w:val="16"/>
          <w:szCs w:val="16"/>
        </w:rPr>
        <w:footnoteRef/>
      </w:r>
      <w:r w:rsidRPr="00FA5477">
        <w:rPr>
          <w:sz w:val="16"/>
          <w:szCs w:val="16"/>
        </w:rPr>
        <w:t xml:space="preserve"> Estrategia Nacional de Sostenibilidad, Plan para la sostenibilidad del VIH 2022-2026</w:t>
      </w:r>
      <w:r w:rsidR="00B5653B" w:rsidRPr="00FA5477">
        <w:rPr>
          <w:sz w:val="16"/>
          <w:szCs w:val="16"/>
        </w:rPr>
        <w:t xml:space="preserve"> (documento aún no publicado)</w:t>
      </w:r>
      <w:r w:rsidRPr="00FA5477">
        <w:rPr>
          <w:sz w:val="16"/>
          <w:szCs w:val="16"/>
        </w:rPr>
        <w:t>, página 38</w:t>
      </w:r>
      <w:r w:rsidR="00656DE8" w:rsidRPr="00FA5477">
        <w:rPr>
          <w:sz w:val="16"/>
          <w:szCs w:val="16"/>
        </w:rPr>
        <w:t xml:space="preserve"> [Anexo 1</w:t>
      </w:r>
      <w:r w:rsidR="008F5EA6" w:rsidRPr="00FA5477">
        <w:rPr>
          <w:sz w:val="16"/>
          <w:szCs w:val="16"/>
        </w:rPr>
        <w:t>8</w:t>
      </w:r>
      <w:r w:rsidR="00656DE8" w:rsidRPr="00FA5477">
        <w:rPr>
          <w:sz w:val="16"/>
          <w:szCs w:val="16"/>
        </w:rPr>
        <w:t>]</w:t>
      </w:r>
    </w:p>
  </w:footnote>
  <w:footnote w:id="12">
    <w:p w14:paraId="48949C6D" w14:textId="64693378" w:rsidR="00B40EEE" w:rsidRPr="00FA5477" w:rsidRDefault="00B40EEE">
      <w:pPr>
        <w:pStyle w:val="Textonotapie"/>
        <w:rPr>
          <w:sz w:val="16"/>
          <w:szCs w:val="16"/>
        </w:rPr>
      </w:pPr>
      <w:r w:rsidRPr="00FA5477">
        <w:rPr>
          <w:rStyle w:val="Refdenotaalpie"/>
          <w:sz w:val="16"/>
          <w:szCs w:val="16"/>
        </w:rPr>
        <w:footnoteRef/>
      </w:r>
      <w:r w:rsidRPr="00FA5477">
        <w:rPr>
          <w:sz w:val="16"/>
          <w:szCs w:val="16"/>
        </w:rPr>
        <w:t xml:space="preserve"> Plan estratégico naciona</w:t>
      </w:r>
      <w:r w:rsidR="00656DE8" w:rsidRPr="00FA5477">
        <w:rPr>
          <w:sz w:val="16"/>
          <w:szCs w:val="16"/>
        </w:rPr>
        <w:t>l</w:t>
      </w:r>
      <w:r w:rsidRPr="00FA5477">
        <w:rPr>
          <w:sz w:val="16"/>
          <w:szCs w:val="16"/>
        </w:rPr>
        <w:t xml:space="preserve"> multisectorial de VIH 2022-2027. página 67</w:t>
      </w:r>
      <w:r w:rsidR="00656DE8" w:rsidRPr="00FA5477">
        <w:rPr>
          <w:sz w:val="16"/>
          <w:szCs w:val="16"/>
        </w:rPr>
        <w:t xml:space="preserve"> [Anexo 5]</w:t>
      </w:r>
    </w:p>
  </w:footnote>
  <w:footnote w:id="13">
    <w:p w14:paraId="2036D4BE" w14:textId="32E8795B" w:rsidR="00B40EEE" w:rsidRPr="00FA5477" w:rsidRDefault="00B40EEE">
      <w:pPr>
        <w:pStyle w:val="Textonotapie"/>
      </w:pPr>
      <w:r w:rsidRPr="00FA5477">
        <w:rPr>
          <w:rStyle w:val="Refdenotaalpie"/>
        </w:rPr>
        <w:footnoteRef/>
      </w:r>
      <w:r w:rsidRPr="00FA5477">
        <w:t xml:space="preserve"> </w:t>
      </w:r>
      <w:r w:rsidRPr="00FA5477">
        <w:rPr>
          <w:sz w:val="16"/>
          <w:szCs w:val="16"/>
        </w:rPr>
        <w:t>Plan estratégico naciona</w:t>
      </w:r>
      <w:r w:rsidR="00656DE8" w:rsidRPr="00FA5477">
        <w:rPr>
          <w:sz w:val="16"/>
          <w:szCs w:val="16"/>
        </w:rPr>
        <w:t>l</w:t>
      </w:r>
      <w:r w:rsidRPr="00FA5477">
        <w:rPr>
          <w:sz w:val="16"/>
          <w:szCs w:val="16"/>
        </w:rPr>
        <w:t xml:space="preserve"> multisectorial de VIH 2022-2027. página 26</w:t>
      </w:r>
      <w:r w:rsidR="00656DE8" w:rsidRPr="00FA5477">
        <w:rPr>
          <w:sz w:val="16"/>
          <w:szCs w:val="16"/>
        </w:rPr>
        <w:t xml:space="preserve"> [Anexo 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07ED"/>
    <w:multiLevelType w:val="hybridMultilevel"/>
    <w:tmpl w:val="4A728178"/>
    <w:lvl w:ilvl="0" w:tplc="0C162838">
      <w:start w:val="1"/>
      <w:numFmt w:val="lowerLetter"/>
      <w:lvlText w:val="%1)"/>
      <w:lvlJc w:val="left"/>
      <w:pPr>
        <w:ind w:left="1154" w:hanging="360"/>
      </w:pPr>
      <w:rPr>
        <w:rFonts w:hint="default"/>
        <w:b w:val="0"/>
      </w:rPr>
    </w:lvl>
    <w:lvl w:ilvl="1" w:tplc="440A0019" w:tentative="1">
      <w:start w:val="1"/>
      <w:numFmt w:val="lowerLetter"/>
      <w:lvlText w:val="%2."/>
      <w:lvlJc w:val="left"/>
      <w:pPr>
        <w:ind w:left="1874" w:hanging="360"/>
      </w:pPr>
    </w:lvl>
    <w:lvl w:ilvl="2" w:tplc="440A001B" w:tentative="1">
      <w:start w:val="1"/>
      <w:numFmt w:val="lowerRoman"/>
      <w:lvlText w:val="%3."/>
      <w:lvlJc w:val="right"/>
      <w:pPr>
        <w:ind w:left="2594" w:hanging="180"/>
      </w:pPr>
    </w:lvl>
    <w:lvl w:ilvl="3" w:tplc="440A000F" w:tentative="1">
      <w:start w:val="1"/>
      <w:numFmt w:val="decimal"/>
      <w:lvlText w:val="%4."/>
      <w:lvlJc w:val="left"/>
      <w:pPr>
        <w:ind w:left="3314" w:hanging="360"/>
      </w:pPr>
    </w:lvl>
    <w:lvl w:ilvl="4" w:tplc="440A0019" w:tentative="1">
      <w:start w:val="1"/>
      <w:numFmt w:val="lowerLetter"/>
      <w:lvlText w:val="%5."/>
      <w:lvlJc w:val="left"/>
      <w:pPr>
        <w:ind w:left="4034" w:hanging="360"/>
      </w:pPr>
    </w:lvl>
    <w:lvl w:ilvl="5" w:tplc="440A001B" w:tentative="1">
      <w:start w:val="1"/>
      <w:numFmt w:val="lowerRoman"/>
      <w:lvlText w:val="%6."/>
      <w:lvlJc w:val="right"/>
      <w:pPr>
        <w:ind w:left="4754" w:hanging="180"/>
      </w:pPr>
    </w:lvl>
    <w:lvl w:ilvl="6" w:tplc="440A000F" w:tentative="1">
      <w:start w:val="1"/>
      <w:numFmt w:val="decimal"/>
      <w:lvlText w:val="%7."/>
      <w:lvlJc w:val="left"/>
      <w:pPr>
        <w:ind w:left="5474" w:hanging="360"/>
      </w:pPr>
    </w:lvl>
    <w:lvl w:ilvl="7" w:tplc="440A0019" w:tentative="1">
      <w:start w:val="1"/>
      <w:numFmt w:val="lowerLetter"/>
      <w:lvlText w:val="%8."/>
      <w:lvlJc w:val="left"/>
      <w:pPr>
        <w:ind w:left="6194" w:hanging="360"/>
      </w:pPr>
    </w:lvl>
    <w:lvl w:ilvl="8" w:tplc="440A001B" w:tentative="1">
      <w:start w:val="1"/>
      <w:numFmt w:val="lowerRoman"/>
      <w:lvlText w:val="%9."/>
      <w:lvlJc w:val="right"/>
      <w:pPr>
        <w:ind w:left="6914" w:hanging="180"/>
      </w:pPr>
    </w:lvl>
  </w:abstractNum>
  <w:abstractNum w:abstractNumId="1" w15:restartNumberingAfterBreak="0">
    <w:nsid w:val="041D7DB5"/>
    <w:multiLevelType w:val="hybridMultilevel"/>
    <w:tmpl w:val="8B08312E"/>
    <w:lvl w:ilvl="0" w:tplc="4C0A0003">
      <w:start w:val="1"/>
      <w:numFmt w:val="bullet"/>
      <w:lvlText w:val="o"/>
      <w:lvlJc w:val="left"/>
      <w:pPr>
        <w:ind w:left="960" w:hanging="360"/>
      </w:pPr>
      <w:rPr>
        <w:rFonts w:ascii="Courier New" w:hAnsi="Courier New" w:cs="Courier New" w:hint="default"/>
      </w:rPr>
    </w:lvl>
    <w:lvl w:ilvl="1" w:tplc="4C0A0003" w:tentative="1">
      <w:start w:val="1"/>
      <w:numFmt w:val="bullet"/>
      <w:lvlText w:val="o"/>
      <w:lvlJc w:val="left"/>
      <w:pPr>
        <w:ind w:left="1680" w:hanging="360"/>
      </w:pPr>
      <w:rPr>
        <w:rFonts w:ascii="Courier New" w:hAnsi="Courier New" w:cs="Courier New" w:hint="default"/>
      </w:rPr>
    </w:lvl>
    <w:lvl w:ilvl="2" w:tplc="4C0A0005" w:tentative="1">
      <w:start w:val="1"/>
      <w:numFmt w:val="bullet"/>
      <w:lvlText w:val=""/>
      <w:lvlJc w:val="left"/>
      <w:pPr>
        <w:ind w:left="2400" w:hanging="360"/>
      </w:pPr>
      <w:rPr>
        <w:rFonts w:ascii="Wingdings" w:hAnsi="Wingdings" w:hint="default"/>
      </w:rPr>
    </w:lvl>
    <w:lvl w:ilvl="3" w:tplc="4C0A0001" w:tentative="1">
      <w:start w:val="1"/>
      <w:numFmt w:val="bullet"/>
      <w:lvlText w:val=""/>
      <w:lvlJc w:val="left"/>
      <w:pPr>
        <w:ind w:left="3120" w:hanging="360"/>
      </w:pPr>
      <w:rPr>
        <w:rFonts w:ascii="Symbol" w:hAnsi="Symbol" w:hint="default"/>
      </w:rPr>
    </w:lvl>
    <w:lvl w:ilvl="4" w:tplc="4C0A0003" w:tentative="1">
      <w:start w:val="1"/>
      <w:numFmt w:val="bullet"/>
      <w:lvlText w:val="o"/>
      <w:lvlJc w:val="left"/>
      <w:pPr>
        <w:ind w:left="3840" w:hanging="360"/>
      </w:pPr>
      <w:rPr>
        <w:rFonts w:ascii="Courier New" w:hAnsi="Courier New" w:cs="Courier New" w:hint="default"/>
      </w:rPr>
    </w:lvl>
    <w:lvl w:ilvl="5" w:tplc="4C0A0005" w:tentative="1">
      <w:start w:val="1"/>
      <w:numFmt w:val="bullet"/>
      <w:lvlText w:val=""/>
      <w:lvlJc w:val="left"/>
      <w:pPr>
        <w:ind w:left="4560" w:hanging="360"/>
      </w:pPr>
      <w:rPr>
        <w:rFonts w:ascii="Wingdings" w:hAnsi="Wingdings" w:hint="default"/>
      </w:rPr>
    </w:lvl>
    <w:lvl w:ilvl="6" w:tplc="4C0A0001" w:tentative="1">
      <w:start w:val="1"/>
      <w:numFmt w:val="bullet"/>
      <w:lvlText w:val=""/>
      <w:lvlJc w:val="left"/>
      <w:pPr>
        <w:ind w:left="5280" w:hanging="360"/>
      </w:pPr>
      <w:rPr>
        <w:rFonts w:ascii="Symbol" w:hAnsi="Symbol" w:hint="default"/>
      </w:rPr>
    </w:lvl>
    <w:lvl w:ilvl="7" w:tplc="4C0A0003" w:tentative="1">
      <w:start w:val="1"/>
      <w:numFmt w:val="bullet"/>
      <w:lvlText w:val="o"/>
      <w:lvlJc w:val="left"/>
      <w:pPr>
        <w:ind w:left="6000" w:hanging="360"/>
      </w:pPr>
      <w:rPr>
        <w:rFonts w:ascii="Courier New" w:hAnsi="Courier New" w:cs="Courier New" w:hint="default"/>
      </w:rPr>
    </w:lvl>
    <w:lvl w:ilvl="8" w:tplc="4C0A0005" w:tentative="1">
      <w:start w:val="1"/>
      <w:numFmt w:val="bullet"/>
      <w:lvlText w:val=""/>
      <w:lvlJc w:val="left"/>
      <w:pPr>
        <w:ind w:left="6720" w:hanging="360"/>
      </w:pPr>
      <w:rPr>
        <w:rFonts w:ascii="Wingdings" w:hAnsi="Wingdings" w:hint="default"/>
      </w:rPr>
    </w:lvl>
  </w:abstractNum>
  <w:abstractNum w:abstractNumId="2" w15:restartNumberingAfterBreak="0">
    <w:nsid w:val="053862B1"/>
    <w:multiLevelType w:val="hybridMultilevel"/>
    <w:tmpl w:val="6B68F7B0"/>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 w15:restartNumberingAfterBreak="0">
    <w:nsid w:val="078077D6"/>
    <w:multiLevelType w:val="hybridMultilevel"/>
    <w:tmpl w:val="3D127052"/>
    <w:lvl w:ilvl="0" w:tplc="66F0699C">
      <w:start w:val="1"/>
      <w:numFmt w:val="lowerLetter"/>
      <w:lvlText w:val="%1."/>
      <w:lvlJc w:val="left"/>
      <w:pPr>
        <w:ind w:left="108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 w15:restartNumberingAfterBreak="0">
    <w:nsid w:val="0C845C7E"/>
    <w:multiLevelType w:val="hybridMultilevel"/>
    <w:tmpl w:val="125A4A9E"/>
    <w:lvl w:ilvl="0" w:tplc="FFFFFFFF">
      <w:start w:val="1"/>
      <w:numFmt w:val="decimal"/>
      <w:lvlText w:val="%1."/>
      <w:lvlJc w:val="left"/>
      <w:pPr>
        <w:ind w:left="910" w:hanging="672"/>
      </w:pPr>
      <w:rPr>
        <w:rFonts w:hint="default"/>
      </w:rPr>
    </w:lvl>
    <w:lvl w:ilvl="1" w:tplc="FFFFFFFF" w:tentative="1">
      <w:start w:val="1"/>
      <w:numFmt w:val="lowerLetter"/>
      <w:lvlText w:val="%2."/>
      <w:lvlJc w:val="left"/>
      <w:pPr>
        <w:ind w:left="1318" w:hanging="360"/>
      </w:pPr>
    </w:lvl>
    <w:lvl w:ilvl="2" w:tplc="FFFFFFFF" w:tentative="1">
      <w:start w:val="1"/>
      <w:numFmt w:val="lowerRoman"/>
      <w:lvlText w:val="%3."/>
      <w:lvlJc w:val="right"/>
      <w:pPr>
        <w:ind w:left="2038" w:hanging="180"/>
      </w:pPr>
    </w:lvl>
    <w:lvl w:ilvl="3" w:tplc="FFFFFFFF" w:tentative="1">
      <w:start w:val="1"/>
      <w:numFmt w:val="decimal"/>
      <w:lvlText w:val="%4."/>
      <w:lvlJc w:val="left"/>
      <w:pPr>
        <w:ind w:left="2758" w:hanging="360"/>
      </w:pPr>
    </w:lvl>
    <w:lvl w:ilvl="4" w:tplc="FFFFFFFF" w:tentative="1">
      <w:start w:val="1"/>
      <w:numFmt w:val="lowerLetter"/>
      <w:lvlText w:val="%5."/>
      <w:lvlJc w:val="left"/>
      <w:pPr>
        <w:ind w:left="3478" w:hanging="360"/>
      </w:pPr>
    </w:lvl>
    <w:lvl w:ilvl="5" w:tplc="FFFFFFFF" w:tentative="1">
      <w:start w:val="1"/>
      <w:numFmt w:val="lowerRoman"/>
      <w:lvlText w:val="%6."/>
      <w:lvlJc w:val="right"/>
      <w:pPr>
        <w:ind w:left="4198" w:hanging="180"/>
      </w:pPr>
    </w:lvl>
    <w:lvl w:ilvl="6" w:tplc="FFFFFFFF" w:tentative="1">
      <w:start w:val="1"/>
      <w:numFmt w:val="decimal"/>
      <w:lvlText w:val="%7."/>
      <w:lvlJc w:val="left"/>
      <w:pPr>
        <w:ind w:left="4918" w:hanging="360"/>
      </w:pPr>
    </w:lvl>
    <w:lvl w:ilvl="7" w:tplc="FFFFFFFF" w:tentative="1">
      <w:start w:val="1"/>
      <w:numFmt w:val="lowerLetter"/>
      <w:lvlText w:val="%8."/>
      <w:lvlJc w:val="left"/>
      <w:pPr>
        <w:ind w:left="5638" w:hanging="360"/>
      </w:pPr>
    </w:lvl>
    <w:lvl w:ilvl="8" w:tplc="FFFFFFFF" w:tentative="1">
      <w:start w:val="1"/>
      <w:numFmt w:val="lowerRoman"/>
      <w:lvlText w:val="%9."/>
      <w:lvlJc w:val="right"/>
      <w:pPr>
        <w:ind w:left="6358" w:hanging="180"/>
      </w:pPr>
    </w:lvl>
  </w:abstractNum>
  <w:abstractNum w:abstractNumId="5" w15:restartNumberingAfterBreak="0">
    <w:nsid w:val="0D7911C1"/>
    <w:multiLevelType w:val="hybridMultilevel"/>
    <w:tmpl w:val="8A0422CE"/>
    <w:lvl w:ilvl="0" w:tplc="4C0A0003">
      <w:start w:val="1"/>
      <w:numFmt w:val="bullet"/>
      <w:lvlText w:val="o"/>
      <w:lvlJc w:val="left"/>
      <w:pPr>
        <w:ind w:left="960" w:hanging="360"/>
      </w:pPr>
      <w:rPr>
        <w:rFonts w:ascii="Courier New" w:hAnsi="Courier New" w:cs="Courier New" w:hint="default"/>
      </w:rPr>
    </w:lvl>
    <w:lvl w:ilvl="1" w:tplc="4C0A0003">
      <w:start w:val="1"/>
      <w:numFmt w:val="bullet"/>
      <w:lvlText w:val="o"/>
      <w:lvlJc w:val="left"/>
      <w:pPr>
        <w:ind w:left="1680" w:hanging="360"/>
      </w:pPr>
      <w:rPr>
        <w:rFonts w:ascii="Courier New" w:hAnsi="Courier New" w:cs="Courier New" w:hint="default"/>
      </w:rPr>
    </w:lvl>
    <w:lvl w:ilvl="2" w:tplc="4C0A0005" w:tentative="1">
      <w:start w:val="1"/>
      <w:numFmt w:val="bullet"/>
      <w:lvlText w:val=""/>
      <w:lvlJc w:val="left"/>
      <w:pPr>
        <w:ind w:left="2400" w:hanging="360"/>
      </w:pPr>
      <w:rPr>
        <w:rFonts w:ascii="Wingdings" w:hAnsi="Wingdings" w:hint="default"/>
      </w:rPr>
    </w:lvl>
    <w:lvl w:ilvl="3" w:tplc="4C0A0001" w:tentative="1">
      <w:start w:val="1"/>
      <w:numFmt w:val="bullet"/>
      <w:lvlText w:val=""/>
      <w:lvlJc w:val="left"/>
      <w:pPr>
        <w:ind w:left="3120" w:hanging="360"/>
      </w:pPr>
      <w:rPr>
        <w:rFonts w:ascii="Symbol" w:hAnsi="Symbol" w:hint="default"/>
      </w:rPr>
    </w:lvl>
    <w:lvl w:ilvl="4" w:tplc="4C0A0003" w:tentative="1">
      <w:start w:val="1"/>
      <w:numFmt w:val="bullet"/>
      <w:lvlText w:val="o"/>
      <w:lvlJc w:val="left"/>
      <w:pPr>
        <w:ind w:left="3840" w:hanging="360"/>
      </w:pPr>
      <w:rPr>
        <w:rFonts w:ascii="Courier New" w:hAnsi="Courier New" w:cs="Courier New" w:hint="default"/>
      </w:rPr>
    </w:lvl>
    <w:lvl w:ilvl="5" w:tplc="4C0A0005" w:tentative="1">
      <w:start w:val="1"/>
      <w:numFmt w:val="bullet"/>
      <w:lvlText w:val=""/>
      <w:lvlJc w:val="left"/>
      <w:pPr>
        <w:ind w:left="4560" w:hanging="360"/>
      </w:pPr>
      <w:rPr>
        <w:rFonts w:ascii="Wingdings" w:hAnsi="Wingdings" w:hint="default"/>
      </w:rPr>
    </w:lvl>
    <w:lvl w:ilvl="6" w:tplc="4C0A0001" w:tentative="1">
      <w:start w:val="1"/>
      <w:numFmt w:val="bullet"/>
      <w:lvlText w:val=""/>
      <w:lvlJc w:val="left"/>
      <w:pPr>
        <w:ind w:left="5280" w:hanging="360"/>
      </w:pPr>
      <w:rPr>
        <w:rFonts w:ascii="Symbol" w:hAnsi="Symbol" w:hint="default"/>
      </w:rPr>
    </w:lvl>
    <w:lvl w:ilvl="7" w:tplc="4C0A0003" w:tentative="1">
      <w:start w:val="1"/>
      <w:numFmt w:val="bullet"/>
      <w:lvlText w:val="o"/>
      <w:lvlJc w:val="left"/>
      <w:pPr>
        <w:ind w:left="6000" w:hanging="360"/>
      </w:pPr>
      <w:rPr>
        <w:rFonts w:ascii="Courier New" w:hAnsi="Courier New" w:cs="Courier New" w:hint="default"/>
      </w:rPr>
    </w:lvl>
    <w:lvl w:ilvl="8" w:tplc="4C0A0005" w:tentative="1">
      <w:start w:val="1"/>
      <w:numFmt w:val="bullet"/>
      <w:lvlText w:val=""/>
      <w:lvlJc w:val="left"/>
      <w:pPr>
        <w:ind w:left="6720" w:hanging="360"/>
      </w:pPr>
      <w:rPr>
        <w:rFonts w:ascii="Wingdings" w:hAnsi="Wingdings" w:hint="default"/>
      </w:rPr>
    </w:lvl>
  </w:abstractNum>
  <w:abstractNum w:abstractNumId="6" w15:restartNumberingAfterBreak="0">
    <w:nsid w:val="0DF21FA6"/>
    <w:multiLevelType w:val="hybridMultilevel"/>
    <w:tmpl w:val="81A2BE52"/>
    <w:lvl w:ilvl="0" w:tplc="316EBC82">
      <w:numFmt w:val="bullet"/>
      <w:lvlText w:val=""/>
      <w:lvlJc w:val="left"/>
      <w:pPr>
        <w:ind w:left="720" w:hanging="360"/>
      </w:pPr>
      <w:rPr>
        <w:rFonts w:ascii="Symbol" w:eastAsia="Arial MT" w:hAnsi="Symbol" w:cs="Arial MT"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7" w15:restartNumberingAfterBreak="0">
    <w:nsid w:val="171C54E7"/>
    <w:multiLevelType w:val="hybridMultilevel"/>
    <w:tmpl w:val="A07080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693AEB"/>
    <w:multiLevelType w:val="hybridMultilevel"/>
    <w:tmpl w:val="05E4368E"/>
    <w:lvl w:ilvl="0" w:tplc="4C0A0001">
      <w:start w:val="1"/>
      <w:numFmt w:val="bullet"/>
      <w:lvlText w:val=""/>
      <w:lvlJc w:val="left"/>
      <w:pPr>
        <w:ind w:left="1996" w:hanging="360"/>
      </w:pPr>
      <w:rPr>
        <w:rFonts w:ascii="Symbol" w:hAnsi="Symbol" w:hint="default"/>
      </w:rPr>
    </w:lvl>
    <w:lvl w:ilvl="1" w:tplc="4C0A0003">
      <w:start w:val="1"/>
      <w:numFmt w:val="bullet"/>
      <w:lvlText w:val="o"/>
      <w:lvlJc w:val="left"/>
      <w:pPr>
        <w:ind w:left="2716" w:hanging="360"/>
      </w:pPr>
      <w:rPr>
        <w:rFonts w:ascii="Courier New" w:hAnsi="Courier New" w:cs="Courier New" w:hint="default"/>
      </w:rPr>
    </w:lvl>
    <w:lvl w:ilvl="2" w:tplc="4C0A0005" w:tentative="1">
      <w:start w:val="1"/>
      <w:numFmt w:val="bullet"/>
      <w:lvlText w:val=""/>
      <w:lvlJc w:val="left"/>
      <w:pPr>
        <w:ind w:left="3436" w:hanging="360"/>
      </w:pPr>
      <w:rPr>
        <w:rFonts w:ascii="Wingdings" w:hAnsi="Wingdings" w:hint="default"/>
      </w:rPr>
    </w:lvl>
    <w:lvl w:ilvl="3" w:tplc="4C0A0001" w:tentative="1">
      <w:start w:val="1"/>
      <w:numFmt w:val="bullet"/>
      <w:lvlText w:val=""/>
      <w:lvlJc w:val="left"/>
      <w:pPr>
        <w:ind w:left="4156" w:hanging="360"/>
      </w:pPr>
      <w:rPr>
        <w:rFonts w:ascii="Symbol" w:hAnsi="Symbol" w:hint="default"/>
      </w:rPr>
    </w:lvl>
    <w:lvl w:ilvl="4" w:tplc="4C0A0003" w:tentative="1">
      <w:start w:val="1"/>
      <w:numFmt w:val="bullet"/>
      <w:lvlText w:val="o"/>
      <w:lvlJc w:val="left"/>
      <w:pPr>
        <w:ind w:left="4876" w:hanging="360"/>
      </w:pPr>
      <w:rPr>
        <w:rFonts w:ascii="Courier New" w:hAnsi="Courier New" w:cs="Courier New" w:hint="default"/>
      </w:rPr>
    </w:lvl>
    <w:lvl w:ilvl="5" w:tplc="4C0A0005" w:tentative="1">
      <w:start w:val="1"/>
      <w:numFmt w:val="bullet"/>
      <w:lvlText w:val=""/>
      <w:lvlJc w:val="left"/>
      <w:pPr>
        <w:ind w:left="5596" w:hanging="360"/>
      </w:pPr>
      <w:rPr>
        <w:rFonts w:ascii="Wingdings" w:hAnsi="Wingdings" w:hint="default"/>
      </w:rPr>
    </w:lvl>
    <w:lvl w:ilvl="6" w:tplc="4C0A0001" w:tentative="1">
      <w:start w:val="1"/>
      <w:numFmt w:val="bullet"/>
      <w:lvlText w:val=""/>
      <w:lvlJc w:val="left"/>
      <w:pPr>
        <w:ind w:left="6316" w:hanging="360"/>
      </w:pPr>
      <w:rPr>
        <w:rFonts w:ascii="Symbol" w:hAnsi="Symbol" w:hint="default"/>
      </w:rPr>
    </w:lvl>
    <w:lvl w:ilvl="7" w:tplc="4C0A0003" w:tentative="1">
      <w:start w:val="1"/>
      <w:numFmt w:val="bullet"/>
      <w:lvlText w:val="o"/>
      <w:lvlJc w:val="left"/>
      <w:pPr>
        <w:ind w:left="7036" w:hanging="360"/>
      </w:pPr>
      <w:rPr>
        <w:rFonts w:ascii="Courier New" w:hAnsi="Courier New" w:cs="Courier New" w:hint="default"/>
      </w:rPr>
    </w:lvl>
    <w:lvl w:ilvl="8" w:tplc="4C0A0005" w:tentative="1">
      <w:start w:val="1"/>
      <w:numFmt w:val="bullet"/>
      <w:lvlText w:val=""/>
      <w:lvlJc w:val="left"/>
      <w:pPr>
        <w:ind w:left="7756" w:hanging="360"/>
      </w:pPr>
      <w:rPr>
        <w:rFonts w:ascii="Wingdings" w:hAnsi="Wingdings" w:hint="default"/>
      </w:rPr>
    </w:lvl>
  </w:abstractNum>
  <w:abstractNum w:abstractNumId="9" w15:restartNumberingAfterBreak="0">
    <w:nsid w:val="20C717B0"/>
    <w:multiLevelType w:val="hybridMultilevel"/>
    <w:tmpl w:val="2F18FBC0"/>
    <w:lvl w:ilvl="0" w:tplc="4C0A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233E4C6C"/>
    <w:multiLevelType w:val="hybridMultilevel"/>
    <w:tmpl w:val="2E4EB188"/>
    <w:lvl w:ilvl="0" w:tplc="6FF459D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4B434E8"/>
    <w:multiLevelType w:val="hybridMultilevel"/>
    <w:tmpl w:val="91EEF830"/>
    <w:lvl w:ilvl="0" w:tplc="D462343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24C555F4"/>
    <w:multiLevelType w:val="hybridMultilevel"/>
    <w:tmpl w:val="B48845C0"/>
    <w:lvl w:ilvl="0" w:tplc="4C0A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AD853F4"/>
    <w:multiLevelType w:val="hybridMultilevel"/>
    <w:tmpl w:val="F788B566"/>
    <w:lvl w:ilvl="0" w:tplc="4C0A0001">
      <w:start w:val="1"/>
      <w:numFmt w:val="bullet"/>
      <w:lvlText w:val=""/>
      <w:lvlJc w:val="left"/>
      <w:pPr>
        <w:ind w:left="1996" w:hanging="360"/>
      </w:pPr>
      <w:rPr>
        <w:rFonts w:ascii="Symbol" w:hAnsi="Symbol" w:hint="default"/>
      </w:rPr>
    </w:lvl>
    <w:lvl w:ilvl="1" w:tplc="4C0A0003" w:tentative="1">
      <w:start w:val="1"/>
      <w:numFmt w:val="bullet"/>
      <w:lvlText w:val="o"/>
      <w:lvlJc w:val="left"/>
      <w:pPr>
        <w:ind w:left="2716" w:hanging="360"/>
      </w:pPr>
      <w:rPr>
        <w:rFonts w:ascii="Courier New" w:hAnsi="Courier New" w:cs="Courier New" w:hint="default"/>
      </w:rPr>
    </w:lvl>
    <w:lvl w:ilvl="2" w:tplc="4C0A0005" w:tentative="1">
      <w:start w:val="1"/>
      <w:numFmt w:val="bullet"/>
      <w:lvlText w:val=""/>
      <w:lvlJc w:val="left"/>
      <w:pPr>
        <w:ind w:left="3436" w:hanging="360"/>
      </w:pPr>
      <w:rPr>
        <w:rFonts w:ascii="Wingdings" w:hAnsi="Wingdings" w:hint="default"/>
      </w:rPr>
    </w:lvl>
    <w:lvl w:ilvl="3" w:tplc="4C0A0001" w:tentative="1">
      <w:start w:val="1"/>
      <w:numFmt w:val="bullet"/>
      <w:lvlText w:val=""/>
      <w:lvlJc w:val="left"/>
      <w:pPr>
        <w:ind w:left="4156" w:hanging="360"/>
      </w:pPr>
      <w:rPr>
        <w:rFonts w:ascii="Symbol" w:hAnsi="Symbol" w:hint="default"/>
      </w:rPr>
    </w:lvl>
    <w:lvl w:ilvl="4" w:tplc="4C0A0003" w:tentative="1">
      <w:start w:val="1"/>
      <w:numFmt w:val="bullet"/>
      <w:lvlText w:val="o"/>
      <w:lvlJc w:val="left"/>
      <w:pPr>
        <w:ind w:left="4876" w:hanging="360"/>
      </w:pPr>
      <w:rPr>
        <w:rFonts w:ascii="Courier New" w:hAnsi="Courier New" w:cs="Courier New" w:hint="default"/>
      </w:rPr>
    </w:lvl>
    <w:lvl w:ilvl="5" w:tplc="4C0A0005" w:tentative="1">
      <w:start w:val="1"/>
      <w:numFmt w:val="bullet"/>
      <w:lvlText w:val=""/>
      <w:lvlJc w:val="left"/>
      <w:pPr>
        <w:ind w:left="5596" w:hanging="360"/>
      </w:pPr>
      <w:rPr>
        <w:rFonts w:ascii="Wingdings" w:hAnsi="Wingdings" w:hint="default"/>
      </w:rPr>
    </w:lvl>
    <w:lvl w:ilvl="6" w:tplc="4C0A0001" w:tentative="1">
      <w:start w:val="1"/>
      <w:numFmt w:val="bullet"/>
      <w:lvlText w:val=""/>
      <w:lvlJc w:val="left"/>
      <w:pPr>
        <w:ind w:left="6316" w:hanging="360"/>
      </w:pPr>
      <w:rPr>
        <w:rFonts w:ascii="Symbol" w:hAnsi="Symbol" w:hint="default"/>
      </w:rPr>
    </w:lvl>
    <w:lvl w:ilvl="7" w:tplc="4C0A0003" w:tentative="1">
      <w:start w:val="1"/>
      <w:numFmt w:val="bullet"/>
      <w:lvlText w:val="o"/>
      <w:lvlJc w:val="left"/>
      <w:pPr>
        <w:ind w:left="7036" w:hanging="360"/>
      </w:pPr>
      <w:rPr>
        <w:rFonts w:ascii="Courier New" w:hAnsi="Courier New" w:cs="Courier New" w:hint="default"/>
      </w:rPr>
    </w:lvl>
    <w:lvl w:ilvl="8" w:tplc="4C0A0005" w:tentative="1">
      <w:start w:val="1"/>
      <w:numFmt w:val="bullet"/>
      <w:lvlText w:val=""/>
      <w:lvlJc w:val="left"/>
      <w:pPr>
        <w:ind w:left="7756" w:hanging="360"/>
      </w:pPr>
      <w:rPr>
        <w:rFonts w:ascii="Wingdings" w:hAnsi="Wingdings" w:hint="default"/>
      </w:rPr>
    </w:lvl>
  </w:abstractNum>
  <w:abstractNum w:abstractNumId="14" w15:restartNumberingAfterBreak="0">
    <w:nsid w:val="2B1B5A7B"/>
    <w:multiLevelType w:val="hybridMultilevel"/>
    <w:tmpl w:val="F52E98E6"/>
    <w:lvl w:ilvl="0" w:tplc="6946416A">
      <w:start w:val="1"/>
      <w:numFmt w:val="decimal"/>
      <w:lvlText w:val="%1-"/>
      <w:lvlJc w:val="left"/>
      <w:pPr>
        <w:ind w:left="1440" w:hanging="360"/>
      </w:pPr>
      <w:rPr>
        <w:rFonts w:hint="default"/>
      </w:rPr>
    </w:lvl>
    <w:lvl w:ilvl="1" w:tplc="4C0A0019" w:tentative="1">
      <w:start w:val="1"/>
      <w:numFmt w:val="lowerLetter"/>
      <w:lvlText w:val="%2."/>
      <w:lvlJc w:val="left"/>
      <w:pPr>
        <w:ind w:left="2160" w:hanging="360"/>
      </w:pPr>
    </w:lvl>
    <w:lvl w:ilvl="2" w:tplc="4C0A001B" w:tentative="1">
      <w:start w:val="1"/>
      <w:numFmt w:val="lowerRoman"/>
      <w:lvlText w:val="%3."/>
      <w:lvlJc w:val="right"/>
      <w:pPr>
        <w:ind w:left="2880" w:hanging="180"/>
      </w:pPr>
    </w:lvl>
    <w:lvl w:ilvl="3" w:tplc="4C0A000F" w:tentative="1">
      <w:start w:val="1"/>
      <w:numFmt w:val="decimal"/>
      <w:lvlText w:val="%4."/>
      <w:lvlJc w:val="left"/>
      <w:pPr>
        <w:ind w:left="3600" w:hanging="360"/>
      </w:pPr>
    </w:lvl>
    <w:lvl w:ilvl="4" w:tplc="4C0A0019" w:tentative="1">
      <w:start w:val="1"/>
      <w:numFmt w:val="lowerLetter"/>
      <w:lvlText w:val="%5."/>
      <w:lvlJc w:val="left"/>
      <w:pPr>
        <w:ind w:left="4320" w:hanging="360"/>
      </w:pPr>
    </w:lvl>
    <w:lvl w:ilvl="5" w:tplc="4C0A001B" w:tentative="1">
      <w:start w:val="1"/>
      <w:numFmt w:val="lowerRoman"/>
      <w:lvlText w:val="%6."/>
      <w:lvlJc w:val="right"/>
      <w:pPr>
        <w:ind w:left="5040" w:hanging="180"/>
      </w:pPr>
    </w:lvl>
    <w:lvl w:ilvl="6" w:tplc="4C0A000F" w:tentative="1">
      <w:start w:val="1"/>
      <w:numFmt w:val="decimal"/>
      <w:lvlText w:val="%7."/>
      <w:lvlJc w:val="left"/>
      <w:pPr>
        <w:ind w:left="5760" w:hanging="360"/>
      </w:pPr>
    </w:lvl>
    <w:lvl w:ilvl="7" w:tplc="4C0A0019" w:tentative="1">
      <w:start w:val="1"/>
      <w:numFmt w:val="lowerLetter"/>
      <w:lvlText w:val="%8."/>
      <w:lvlJc w:val="left"/>
      <w:pPr>
        <w:ind w:left="6480" w:hanging="360"/>
      </w:pPr>
    </w:lvl>
    <w:lvl w:ilvl="8" w:tplc="4C0A001B" w:tentative="1">
      <w:start w:val="1"/>
      <w:numFmt w:val="lowerRoman"/>
      <w:lvlText w:val="%9."/>
      <w:lvlJc w:val="right"/>
      <w:pPr>
        <w:ind w:left="7200" w:hanging="180"/>
      </w:pPr>
    </w:lvl>
  </w:abstractNum>
  <w:abstractNum w:abstractNumId="15" w15:restartNumberingAfterBreak="0">
    <w:nsid w:val="2F4E734A"/>
    <w:multiLevelType w:val="hybridMultilevel"/>
    <w:tmpl w:val="CA5E2F28"/>
    <w:lvl w:ilvl="0" w:tplc="080A0015">
      <w:start w:val="1"/>
      <w:numFmt w:val="upperLetter"/>
      <w:lvlText w:val="%1."/>
      <w:lvlJc w:val="left"/>
      <w:pPr>
        <w:ind w:left="1080" w:hanging="36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2FCA020D"/>
    <w:multiLevelType w:val="hybridMultilevel"/>
    <w:tmpl w:val="3996780E"/>
    <w:lvl w:ilvl="0" w:tplc="440A0015">
      <w:start w:val="1"/>
      <w:numFmt w:val="upp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118103B"/>
    <w:multiLevelType w:val="hybridMultilevel"/>
    <w:tmpl w:val="C43CA732"/>
    <w:lvl w:ilvl="0" w:tplc="4C0A0001">
      <w:start w:val="1"/>
      <w:numFmt w:val="bullet"/>
      <w:lvlText w:val=""/>
      <w:lvlJc w:val="left"/>
      <w:pPr>
        <w:ind w:left="1636" w:hanging="360"/>
      </w:pPr>
      <w:rPr>
        <w:rFonts w:ascii="Symbol" w:hAnsi="Symbol" w:hint="default"/>
      </w:rPr>
    </w:lvl>
    <w:lvl w:ilvl="1" w:tplc="4C0A0003">
      <w:start w:val="1"/>
      <w:numFmt w:val="bullet"/>
      <w:lvlText w:val="o"/>
      <w:lvlJc w:val="left"/>
      <w:pPr>
        <w:ind w:left="2356" w:hanging="360"/>
      </w:pPr>
      <w:rPr>
        <w:rFonts w:ascii="Courier New" w:hAnsi="Courier New" w:cs="Courier New" w:hint="default"/>
      </w:rPr>
    </w:lvl>
    <w:lvl w:ilvl="2" w:tplc="4C0A0005">
      <w:start w:val="1"/>
      <w:numFmt w:val="bullet"/>
      <w:lvlText w:val=""/>
      <w:lvlJc w:val="left"/>
      <w:pPr>
        <w:ind w:left="3076" w:hanging="360"/>
      </w:pPr>
      <w:rPr>
        <w:rFonts w:ascii="Wingdings" w:hAnsi="Wingdings" w:hint="default"/>
      </w:rPr>
    </w:lvl>
    <w:lvl w:ilvl="3" w:tplc="4C0A0001" w:tentative="1">
      <w:start w:val="1"/>
      <w:numFmt w:val="bullet"/>
      <w:lvlText w:val=""/>
      <w:lvlJc w:val="left"/>
      <w:pPr>
        <w:ind w:left="3796" w:hanging="360"/>
      </w:pPr>
      <w:rPr>
        <w:rFonts w:ascii="Symbol" w:hAnsi="Symbol" w:hint="default"/>
      </w:rPr>
    </w:lvl>
    <w:lvl w:ilvl="4" w:tplc="4C0A0003" w:tentative="1">
      <w:start w:val="1"/>
      <w:numFmt w:val="bullet"/>
      <w:lvlText w:val="o"/>
      <w:lvlJc w:val="left"/>
      <w:pPr>
        <w:ind w:left="4516" w:hanging="360"/>
      </w:pPr>
      <w:rPr>
        <w:rFonts w:ascii="Courier New" w:hAnsi="Courier New" w:cs="Courier New" w:hint="default"/>
      </w:rPr>
    </w:lvl>
    <w:lvl w:ilvl="5" w:tplc="4C0A0005" w:tentative="1">
      <w:start w:val="1"/>
      <w:numFmt w:val="bullet"/>
      <w:lvlText w:val=""/>
      <w:lvlJc w:val="left"/>
      <w:pPr>
        <w:ind w:left="5236" w:hanging="360"/>
      </w:pPr>
      <w:rPr>
        <w:rFonts w:ascii="Wingdings" w:hAnsi="Wingdings" w:hint="default"/>
      </w:rPr>
    </w:lvl>
    <w:lvl w:ilvl="6" w:tplc="4C0A0001" w:tentative="1">
      <w:start w:val="1"/>
      <w:numFmt w:val="bullet"/>
      <w:lvlText w:val=""/>
      <w:lvlJc w:val="left"/>
      <w:pPr>
        <w:ind w:left="5956" w:hanging="360"/>
      </w:pPr>
      <w:rPr>
        <w:rFonts w:ascii="Symbol" w:hAnsi="Symbol" w:hint="default"/>
      </w:rPr>
    </w:lvl>
    <w:lvl w:ilvl="7" w:tplc="4C0A0003" w:tentative="1">
      <w:start w:val="1"/>
      <w:numFmt w:val="bullet"/>
      <w:lvlText w:val="o"/>
      <w:lvlJc w:val="left"/>
      <w:pPr>
        <w:ind w:left="6676" w:hanging="360"/>
      </w:pPr>
      <w:rPr>
        <w:rFonts w:ascii="Courier New" w:hAnsi="Courier New" w:cs="Courier New" w:hint="default"/>
      </w:rPr>
    </w:lvl>
    <w:lvl w:ilvl="8" w:tplc="4C0A0005" w:tentative="1">
      <w:start w:val="1"/>
      <w:numFmt w:val="bullet"/>
      <w:lvlText w:val=""/>
      <w:lvlJc w:val="left"/>
      <w:pPr>
        <w:ind w:left="7396" w:hanging="360"/>
      </w:pPr>
      <w:rPr>
        <w:rFonts w:ascii="Wingdings" w:hAnsi="Wingdings" w:hint="default"/>
      </w:rPr>
    </w:lvl>
  </w:abstractNum>
  <w:abstractNum w:abstractNumId="18" w15:restartNumberingAfterBreak="0">
    <w:nsid w:val="32BA5894"/>
    <w:multiLevelType w:val="hybridMultilevel"/>
    <w:tmpl w:val="125A4A9E"/>
    <w:lvl w:ilvl="0" w:tplc="2C80A9F8">
      <w:start w:val="1"/>
      <w:numFmt w:val="decimal"/>
      <w:lvlText w:val="%1."/>
      <w:lvlJc w:val="left"/>
      <w:pPr>
        <w:ind w:left="910" w:hanging="672"/>
      </w:pPr>
      <w:rPr>
        <w:rFonts w:hint="default"/>
      </w:rPr>
    </w:lvl>
    <w:lvl w:ilvl="1" w:tplc="4C0A0019" w:tentative="1">
      <w:start w:val="1"/>
      <w:numFmt w:val="lowerLetter"/>
      <w:lvlText w:val="%2."/>
      <w:lvlJc w:val="left"/>
      <w:pPr>
        <w:ind w:left="1318" w:hanging="360"/>
      </w:pPr>
    </w:lvl>
    <w:lvl w:ilvl="2" w:tplc="4C0A001B" w:tentative="1">
      <w:start w:val="1"/>
      <w:numFmt w:val="lowerRoman"/>
      <w:lvlText w:val="%3."/>
      <w:lvlJc w:val="right"/>
      <w:pPr>
        <w:ind w:left="2038" w:hanging="180"/>
      </w:pPr>
    </w:lvl>
    <w:lvl w:ilvl="3" w:tplc="4C0A000F" w:tentative="1">
      <w:start w:val="1"/>
      <w:numFmt w:val="decimal"/>
      <w:lvlText w:val="%4."/>
      <w:lvlJc w:val="left"/>
      <w:pPr>
        <w:ind w:left="2758" w:hanging="360"/>
      </w:pPr>
    </w:lvl>
    <w:lvl w:ilvl="4" w:tplc="4C0A0019" w:tentative="1">
      <w:start w:val="1"/>
      <w:numFmt w:val="lowerLetter"/>
      <w:lvlText w:val="%5."/>
      <w:lvlJc w:val="left"/>
      <w:pPr>
        <w:ind w:left="3478" w:hanging="360"/>
      </w:pPr>
    </w:lvl>
    <w:lvl w:ilvl="5" w:tplc="4C0A001B" w:tentative="1">
      <w:start w:val="1"/>
      <w:numFmt w:val="lowerRoman"/>
      <w:lvlText w:val="%6."/>
      <w:lvlJc w:val="right"/>
      <w:pPr>
        <w:ind w:left="4198" w:hanging="180"/>
      </w:pPr>
    </w:lvl>
    <w:lvl w:ilvl="6" w:tplc="4C0A000F" w:tentative="1">
      <w:start w:val="1"/>
      <w:numFmt w:val="decimal"/>
      <w:lvlText w:val="%7."/>
      <w:lvlJc w:val="left"/>
      <w:pPr>
        <w:ind w:left="4918" w:hanging="360"/>
      </w:pPr>
    </w:lvl>
    <w:lvl w:ilvl="7" w:tplc="4C0A0019" w:tentative="1">
      <w:start w:val="1"/>
      <w:numFmt w:val="lowerLetter"/>
      <w:lvlText w:val="%8."/>
      <w:lvlJc w:val="left"/>
      <w:pPr>
        <w:ind w:left="5638" w:hanging="360"/>
      </w:pPr>
    </w:lvl>
    <w:lvl w:ilvl="8" w:tplc="4C0A001B" w:tentative="1">
      <w:start w:val="1"/>
      <w:numFmt w:val="lowerRoman"/>
      <w:lvlText w:val="%9."/>
      <w:lvlJc w:val="right"/>
      <w:pPr>
        <w:ind w:left="6358" w:hanging="180"/>
      </w:pPr>
    </w:lvl>
  </w:abstractNum>
  <w:abstractNum w:abstractNumId="19" w15:restartNumberingAfterBreak="0">
    <w:nsid w:val="33E807A4"/>
    <w:multiLevelType w:val="hybridMultilevel"/>
    <w:tmpl w:val="95042D44"/>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0" w15:restartNumberingAfterBreak="0">
    <w:nsid w:val="37DE7262"/>
    <w:multiLevelType w:val="hybridMultilevel"/>
    <w:tmpl w:val="9FF026C2"/>
    <w:lvl w:ilvl="0" w:tplc="4C0A0001">
      <w:start w:val="1"/>
      <w:numFmt w:val="bullet"/>
      <w:lvlText w:val=""/>
      <w:lvlJc w:val="left"/>
      <w:pPr>
        <w:ind w:left="1656" w:hanging="360"/>
      </w:pPr>
      <w:rPr>
        <w:rFonts w:ascii="Symbol" w:hAnsi="Symbol" w:hint="default"/>
      </w:rPr>
    </w:lvl>
    <w:lvl w:ilvl="1" w:tplc="4C0A0003" w:tentative="1">
      <w:start w:val="1"/>
      <w:numFmt w:val="bullet"/>
      <w:lvlText w:val="o"/>
      <w:lvlJc w:val="left"/>
      <w:pPr>
        <w:ind w:left="2376" w:hanging="360"/>
      </w:pPr>
      <w:rPr>
        <w:rFonts w:ascii="Courier New" w:hAnsi="Courier New" w:cs="Courier New" w:hint="default"/>
      </w:rPr>
    </w:lvl>
    <w:lvl w:ilvl="2" w:tplc="4C0A0005" w:tentative="1">
      <w:start w:val="1"/>
      <w:numFmt w:val="bullet"/>
      <w:lvlText w:val=""/>
      <w:lvlJc w:val="left"/>
      <w:pPr>
        <w:ind w:left="3096" w:hanging="360"/>
      </w:pPr>
      <w:rPr>
        <w:rFonts w:ascii="Wingdings" w:hAnsi="Wingdings" w:hint="default"/>
      </w:rPr>
    </w:lvl>
    <w:lvl w:ilvl="3" w:tplc="4C0A0001" w:tentative="1">
      <w:start w:val="1"/>
      <w:numFmt w:val="bullet"/>
      <w:lvlText w:val=""/>
      <w:lvlJc w:val="left"/>
      <w:pPr>
        <w:ind w:left="3816" w:hanging="360"/>
      </w:pPr>
      <w:rPr>
        <w:rFonts w:ascii="Symbol" w:hAnsi="Symbol" w:hint="default"/>
      </w:rPr>
    </w:lvl>
    <w:lvl w:ilvl="4" w:tplc="4C0A0003" w:tentative="1">
      <w:start w:val="1"/>
      <w:numFmt w:val="bullet"/>
      <w:lvlText w:val="o"/>
      <w:lvlJc w:val="left"/>
      <w:pPr>
        <w:ind w:left="4536" w:hanging="360"/>
      </w:pPr>
      <w:rPr>
        <w:rFonts w:ascii="Courier New" w:hAnsi="Courier New" w:cs="Courier New" w:hint="default"/>
      </w:rPr>
    </w:lvl>
    <w:lvl w:ilvl="5" w:tplc="4C0A0005" w:tentative="1">
      <w:start w:val="1"/>
      <w:numFmt w:val="bullet"/>
      <w:lvlText w:val=""/>
      <w:lvlJc w:val="left"/>
      <w:pPr>
        <w:ind w:left="5256" w:hanging="360"/>
      </w:pPr>
      <w:rPr>
        <w:rFonts w:ascii="Wingdings" w:hAnsi="Wingdings" w:hint="default"/>
      </w:rPr>
    </w:lvl>
    <w:lvl w:ilvl="6" w:tplc="4C0A0001" w:tentative="1">
      <w:start w:val="1"/>
      <w:numFmt w:val="bullet"/>
      <w:lvlText w:val=""/>
      <w:lvlJc w:val="left"/>
      <w:pPr>
        <w:ind w:left="5976" w:hanging="360"/>
      </w:pPr>
      <w:rPr>
        <w:rFonts w:ascii="Symbol" w:hAnsi="Symbol" w:hint="default"/>
      </w:rPr>
    </w:lvl>
    <w:lvl w:ilvl="7" w:tplc="4C0A0003" w:tentative="1">
      <w:start w:val="1"/>
      <w:numFmt w:val="bullet"/>
      <w:lvlText w:val="o"/>
      <w:lvlJc w:val="left"/>
      <w:pPr>
        <w:ind w:left="6696" w:hanging="360"/>
      </w:pPr>
      <w:rPr>
        <w:rFonts w:ascii="Courier New" w:hAnsi="Courier New" w:cs="Courier New" w:hint="default"/>
      </w:rPr>
    </w:lvl>
    <w:lvl w:ilvl="8" w:tplc="4C0A0005" w:tentative="1">
      <w:start w:val="1"/>
      <w:numFmt w:val="bullet"/>
      <w:lvlText w:val=""/>
      <w:lvlJc w:val="left"/>
      <w:pPr>
        <w:ind w:left="7416" w:hanging="360"/>
      </w:pPr>
      <w:rPr>
        <w:rFonts w:ascii="Wingdings" w:hAnsi="Wingdings" w:hint="default"/>
      </w:rPr>
    </w:lvl>
  </w:abstractNum>
  <w:abstractNum w:abstractNumId="21" w15:restartNumberingAfterBreak="0">
    <w:nsid w:val="3CC21387"/>
    <w:multiLevelType w:val="hybridMultilevel"/>
    <w:tmpl w:val="D7CA0E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43EE4D07"/>
    <w:multiLevelType w:val="multilevel"/>
    <w:tmpl w:val="82FC9868"/>
    <w:lvl w:ilvl="0">
      <w:start w:val="3"/>
      <w:numFmt w:val="decimal"/>
      <w:lvlText w:val="%1"/>
      <w:lvlJc w:val="left"/>
      <w:pPr>
        <w:ind w:left="938" w:hanging="721"/>
      </w:pPr>
      <w:rPr>
        <w:rFonts w:hint="default"/>
        <w:lang w:val="es-ES" w:eastAsia="en-US" w:bidi="ar-SA"/>
      </w:rPr>
    </w:lvl>
    <w:lvl w:ilvl="1">
      <w:start w:val="1"/>
      <w:numFmt w:val="decimal"/>
      <w:lvlText w:val="%1.%2."/>
      <w:lvlJc w:val="left"/>
      <w:pPr>
        <w:ind w:left="938" w:hanging="721"/>
      </w:pPr>
      <w:rPr>
        <w:rFonts w:ascii="Arial MT" w:eastAsia="Arial MT" w:hAnsi="Arial MT" w:cs="Arial MT" w:hint="default"/>
        <w:w w:val="100"/>
        <w:sz w:val="24"/>
        <w:szCs w:val="24"/>
        <w:lang w:val="es-ES" w:eastAsia="en-US" w:bidi="ar-SA"/>
      </w:rPr>
    </w:lvl>
    <w:lvl w:ilvl="2">
      <w:start w:val="1"/>
      <w:numFmt w:val="upperLetter"/>
      <w:lvlText w:val="%3."/>
      <w:lvlJc w:val="left"/>
      <w:pPr>
        <w:ind w:left="1430" w:hanging="850"/>
      </w:pPr>
      <w:rPr>
        <w:rFonts w:ascii="Arial MT" w:eastAsia="Arial MT" w:hAnsi="Arial MT" w:cs="Arial MT" w:hint="default"/>
        <w:w w:val="100"/>
        <w:sz w:val="24"/>
        <w:szCs w:val="24"/>
        <w:lang w:val="es-ES" w:eastAsia="en-US" w:bidi="ar-SA"/>
      </w:rPr>
    </w:lvl>
    <w:lvl w:ilvl="3">
      <w:numFmt w:val="bullet"/>
      <w:lvlText w:val="•"/>
      <w:lvlJc w:val="left"/>
      <w:pPr>
        <w:ind w:left="3450" w:hanging="850"/>
      </w:pPr>
      <w:rPr>
        <w:rFonts w:hint="default"/>
        <w:lang w:val="es-ES" w:eastAsia="en-US" w:bidi="ar-SA"/>
      </w:rPr>
    </w:lvl>
    <w:lvl w:ilvl="4">
      <w:numFmt w:val="bullet"/>
      <w:lvlText w:val="•"/>
      <w:lvlJc w:val="left"/>
      <w:pPr>
        <w:ind w:left="4455" w:hanging="850"/>
      </w:pPr>
      <w:rPr>
        <w:rFonts w:hint="default"/>
        <w:lang w:val="es-ES" w:eastAsia="en-US" w:bidi="ar-SA"/>
      </w:rPr>
    </w:lvl>
    <w:lvl w:ilvl="5">
      <w:numFmt w:val="bullet"/>
      <w:lvlText w:val="•"/>
      <w:lvlJc w:val="left"/>
      <w:pPr>
        <w:ind w:left="5460" w:hanging="850"/>
      </w:pPr>
      <w:rPr>
        <w:rFonts w:hint="default"/>
        <w:lang w:val="es-ES" w:eastAsia="en-US" w:bidi="ar-SA"/>
      </w:rPr>
    </w:lvl>
    <w:lvl w:ilvl="6">
      <w:numFmt w:val="bullet"/>
      <w:lvlText w:val="•"/>
      <w:lvlJc w:val="left"/>
      <w:pPr>
        <w:ind w:left="6465" w:hanging="850"/>
      </w:pPr>
      <w:rPr>
        <w:rFonts w:hint="default"/>
        <w:lang w:val="es-ES" w:eastAsia="en-US" w:bidi="ar-SA"/>
      </w:rPr>
    </w:lvl>
    <w:lvl w:ilvl="7">
      <w:numFmt w:val="bullet"/>
      <w:lvlText w:val="•"/>
      <w:lvlJc w:val="left"/>
      <w:pPr>
        <w:ind w:left="7470" w:hanging="850"/>
      </w:pPr>
      <w:rPr>
        <w:rFonts w:hint="default"/>
        <w:lang w:val="es-ES" w:eastAsia="en-US" w:bidi="ar-SA"/>
      </w:rPr>
    </w:lvl>
    <w:lvl w:ilvl="8">
      <w:numFmt w:val="bullet"/>
      <w:lvlText w:val="•"/>
      <w:lvlJc w:val="left"/>
      <w:pPr>
        <w:ind w:left="8476" w:hanging="850"/>
      </w:pPr>
      <w:rPr>
        <w:rFonts w:hint="default"/>
        <w:lang w:val="es-ES" w:eastAsia="en-US" w:bidi="ar-SA"/>
      </w:rPr>
    </w:lvl>
  </w:abstractNum>
  <w:abstractNum w:abstractNumId="23" w15:restartNumberingAfterBreak="0">
    <w:nsid w:val="447C0345"/>
    <w:multiLevelType w:val="multilevel"/>
    <w:tmpl w:val="3B5241AC"/>
    <w:lvl w:ilvl="0">
      <w:start w:val="2"/>
      <w:numFmt w:val="decimal"/>
      <w:lvlText w:val="%1"/>
      <w:lvlJc w:val="left"/>
      <w:pPr>
        <w:ind w:left="943" w:hanging="721"/>
      </w:pPr>
      <w:rPr>
        <w:rFonts w:hint="default"/>
        <w:lang w:val="es-ES" w:eastAsia="en-US" w:bidi="ar-SA"/>
      </w:rPr>
    </w:lvl>
    <w:lvl w:ilvl="1">
      <w:start w:val="1"/>
      <w:numFmt w:val="decimal"/>
      <w:lvlText w:val="%1.%2."/>
      <w:lvlJc w:val="left"/>
      <w:pPr>
        <w:ind w:left="943" w:hanging="721"/>
      </w:pPr>
      <w:rPr>
        <w:rFonts w:ascii="Arial MT" w:eastAsia="Arial MT" w:hAnsi="Arial MT" w:cs="Arial MT" w:hint="default"/>
        <w:w w:val="100"/>
        <w:sz w:val="24"/>
        <w:szCs w:val="24"/>
        <w:lang w:val="es-ES" w:eastAsia="en-US" w:bidi="ar-SA"/>
      </w:rPr>
    </w:lvl>
    <w:lvl w:ilvl="2">
      <w:start w:val="1"/>
      <w:numFmt w:val="upperLetter"/>
      <w:lvlText w:val="%3."/>
      <w:lvlJc w:val="left"/>
      <w:pPr>
        <w:ind w:left="1032" w:hanging="449"/>
      </w:pPr>
      <w:rPr>
        <w:rFonts w:ascii="Arial MT" w:eastAsia="Arial MT" w:hAnsi="Arial MT" w:cs="Arial MT" w:hint="default"/>
        <w:w w:val="100"/>
        <w:sz w:val="24"/>
        <w:szCs w:val="24"/>
        <w:lang w:val="es-ES" w:eastAsia="en-US" w:bidi="ar-SA"/>
      </w:rPr>
    </w:lvl>
    <w:lvl w:ilvl="3">
      <w:numFmt w:val="bullet"/>
      <w:lvlText w:val="•"/>
      <w:lvlJc w:val="left"/>
      <w:pPr>
        <w:ind w:left="3139" w:hanging="449"/>
      </w:pPr>
      <w:rPr>
        <w:rFonts w:hint="default"/>
        <w:lang w:val="es-ES" w:eastAsia="en-US" w:bidi="ar-SA"/>
      </w:rPr>
    </w:lvl>
    <w:lvl w:ilvl="4">
      <w:numFmt w:val="bullet"/>
      <w:lvlText w:val="•"/>
      <w:lvlJc w:val="left"/>
      <w:pPr>
        <w:ind w:left="4188" w:hanging="449"/>
      </w:pPr>
      <w:rPr>
        <w:rFonts w:hint="default"/>
        <w:lang w:val="es-ES" w:eastAsia="en-US" w:bidi="ar-SA"/>
      </w:rPr>
    </w:lvl>
    <w:lvl w:ilvl="5">
      <w:numFmt w:val="bullet"/>
      <w:lvlText w:val="•"/>
      <w:lvlJc w:val="left"/>
      <w:pPr>
        <w:ind w:left="5238" w:hanging="449"/>
      </w:pPr>
      <w:rPr>
        <w:rFonts w:hint="default"/>
        <w:lang w:val="es-ES" w:eastAsia="en-US" w:bidi="ar-SA"/>
      </w:rPr>
    </w:lvl>
    <w:lvl w:ilvl="6">
      <w:numFmt w:val="bullet"/>
      <w:lvlText w:val="•"/>
      <w:lvlJc w:val="left"/>
      <w:pPr>
        <w:ind w:left="6288" w:hanging="449"/>
      </w:pPr>
      <w:rPr>
        <w:rFonts w:hint="default"/>
        <w:lang w:val="es-ES" w:eastAsia="en-US" w:bidi="ar-SA"/>
      </w:rPr>
    </w:lvl>
    <w:lvl w:ilvl="7">
      <w:numFmt w:val="bullet"/>
      <w:lvlText w:val="•"/>
      <w:lvlJc w:val="left"/>
      <w:pPr>
        <w:ind w:left="7337" w:hanging="449"/>
      </w:pPr>
      <w:rPr>
        <w:rFonts w:hint="default"/>
        <w:lang w:val="es-ES" w:eastAsia="en-US" w:bidi="ar-SA"/>
      </w:rPr>
    </w:lvl>
    <w:lvl w:ilvl="8">
      <w:numFmt w:val="bullet"/>
      <w:lvlText w:val="•"/>
      <w:lvlJc w:val="left"/>
      <w:pPr>
        <w:ind w:left="8387" w:hanging="449"/>
      </w:pPr>
      <w:rPr>
        <w:rFonts w:hint="default"/>
        <w:lang w:val="es-ES" w:eastAsia="en-US" w:bidi="ar-SA"/>
      </w:rPr>
    </w:lvl>
  </w:abstractNum>
  <w:abstractNum w:abstractNumId="24" w15:restartNumberingAfterBreak="0">
    <w:nsid w:val="485062FA"/>
    <w:multiLevelType w:val="hybridMultilevel"/>
    <w:tmpl w:val="99DE4AC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3234F5"/>
    <w:multiLevelType w:val="hybridMultilevel"/>
    <w:tmpl w:val="255ECA84"/>
    <w:lvl w:ilvl="0" w:tplc="A1FCD4B0">
      <w:numFmt w:val="bullet"/>
      <w:lvlText w:val="•"/>
      <w:lvlJc w:val="left"/>
      <w:pPr>
        <w:ind w:left="720" w:hanging="360"/>
      </w:pPr>
      <w:rPr>
        <w:rFonts w:ascii="Arial MT" w:eastAsia="Arial MT" w:hAnsi="Arial MT" w:cs="Arial MT"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6" w15:restartNumberingAfterBreak="0">
    <w:nsid w:val="4B9D05D9"/>
    <w:multiLevelType w:val="hybridMultilevel"/>
    <w:tmpl w:val="A3242D8E"/>
    <w:lvl w:ilvl="0" w:tplc="CF72CB3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802943"/>
    <w:multiLevelType w:val="hybridMultilevel"/>
    <w:tmpl w:val="EDBE275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F342690"/>
    <w:multiLevelType w:val="hybridMultilevel"/>
    <w:tmpl w:val="28C43090"/>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9" w15:restartNumberingAfterBreak="0">
    <w:nsid w:val="62BB7886"/>
    <w:multiLevelType w:val="hybridMultilevel"/>
    <w:tmpl w:val="A07080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365738D"/>
    <w:multiLevelType w:val="multilevel"/>
    <w:tmpl w:val="ED080586"/>
    <w:lvl w:ilvl="0">
      <w:start w:val="1"/>
      <w:numFmt w:val="decimal"/>
      <w:lvlText w:val="%1"/>
      <w:lvlJc w:val="left"/>
      <w:pPr>
        <w:ind w:left="832" w:hanging="629"/>
      </w:pPr>
      <w:rPr>
        <w:rFonts w:hint="default"/>
        <w:lang w:val="es-ES" w:eastAsia="en-US" w:bidi="ar-SA"/>
      </w:rPr>
    </w:lvl>
    <w:lvl w:ilvl="1">
      <w:start w:val="1"/>
      <w:numFmt w:val="decimal"/>
      <w:lvlText w:val="%1.%2."/>
      <w:lvlJc w:val="left"/>
      <w:pPr>
        <w:ind w:left="832" w:hanging="629"/>
        <w:jc w:val="right"/>
      </w:pPr>
      <w:rPr>
        <w:rFonts w:ascii="Arial MT" w:eastAsia="Arial MT" w:hAnsi="Arial MT" w:cs="Arial MT" w:hint="default"/>
        <w:w w:val="100"/>
        <w:sz w:val="24"/>
        <w:szCs w:val="24"/>
        <w:lang w:val="es-ES" w:eastAsia="en-US" w:bidi="ar-SA"/>
      </w:rPr>
    </w:lvl>
    <w:lvl w:ilvl="2">
      <w:start w:val="1"/>
      <w:numFmt w:val="upperLetter"/>
      <w:lvlText w:val="%3."/>
      <w:lvlJc w:val="left"/>
      <w:pPr>
        <w:ind w:left="832" w:hanging="360"/>
      </w:pPr>
      <w:rPr>
        <w:rFonts w:ascii="Arial MT" w:eastAsia="Arial MT" w:hAnsi="Arial MT" w:cs="Arial MT" w:hint="default"/>
        <w:w w:val="100"/>
        <w:sz w:val="24"/>
        <w:szCs w:val="24"/>
        <w:lang w:val="es-ES" w:eastAsia="en-US" w:bidi="ar-SA"/>
      </w:rPr>
    </w:lvl>
    <w:lvl w:ilvl="3">
      <w:numFmt w:val="bullet"/>
      <w:lvlText w:val="•"/>
      <w:lvlJc w:val="left"/>
      <w:pPr>
        <w:ind w:left="3056" w:hanging="360"/>
      </w:pPr>
      <w:rPr>
        <w:rFonts w:hint="default"/>
        <w:lang w:val="es-ES" w:eastAsia="en-US" w:bidi="ar-SA"/>
      </w:rPr>
    </w:lvl>
    <w:lvl w:ilvl="4">
      <w:numFmt w:val="bullet"/>
      <w:lvlText w:val="•"/>
      <w:lvlJc w:val="left"/>
      <w:pPr>
        <w:ind w:left="4115" w:hanging="360"/>
      </w:pPr>
      <w:rPr>
        <w:rFonts w:hint="default"/>
        <w:lang w:val="es-ES" w:eastAsia="en-US" w:bidi="ar-SA"/>
      </w:rPr>
    </w:lvl>
    <w:lvl w:ilvl="5">
      <w:numFmt w:val="bullet"/>
      <w:lvlText w:val="•"/>
      <w:lvlJc w:val="left"/>
      <w:pPr>
        <w:ind w:left="5173" w:hanging="360"/>
      </w:pPr>
      <w:rPr>
        <w:rFonts w:hint="default"/>
        <w:lang w:val="es-ES" w:eastAsia="en-US" w:bidi="ar-SA"/>
      </w:rPr>
    </w:lvl>
    <w:lvl w:ilvl="6">
      <w:numFmt w:val="bullet"/>
      <w:lvlText w:val="•"/>
      <w:lvlJc w:val="left"/>
      <w:pPr>
        <w:ind w:left="6232" w:hanging="360"/>
      </w:pPr>
      <w:rPr>
        <w:rFonts w:hint="default"/>
        <w:lang w:val="es-ES" w:eastAsia="en-US" w:bidi="ar-SA"/>
      </w:rPr>
    </w:lvl>
    <w:lvl w:ilvl="7">
      <w:numFmt w:val="bullet"/>
      <w:lvlText w:val="•"/>
      <w:lvlJc w:val="left"/>
      <w:pPr>
        <w:ind w:left="7290" w:hanging="360"/>
      </w:pPr>
      <w:rPr>
        <w:rFonts w:hint="default"/>
        <w:lang w:val="es-ES" w:eastAsia="en-US" w:bidi="ar-SA"/>
      </w:rPr>
    </w:lvl>
    <w:lvl w:ilvl="8">
      <w:numFmt w:val="bullet"/>
      <w:lvlText w:val="•"/>
      <w:lvlJc w:val="left"/>
      <w:pPr>
        <w:ind w:left="8349" w:hanging="360"/>
      </w:pPr>
      <w:rPr>
        <w:rFonts w:hint="default"/>
        <w:lang w:val="es-ES" w:eastAsia="en-US" w:bidi="ar-SA"/>
      </w:rPr>
    </w:lvl>
  </w:abstractNum>
  <w:abstractNum w:abstractNumId="31" w15:restartNumberingAfterBreak="0">
    <w:nsid w:val="69621418"/>
    <w:multiLevelType w:val="hybridMultilevel"/>
    <w:tmpl w:val="F632654A"/>
    <w:lvl w:ilvl="0" w:tplc="1884E00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6B305353"/>
    <w:multiLevelType w:val="hybridMultilevel"/>
    <w:tmpl w:val="9DF685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70485199"/>
    <w:multiLevelType w:val="hybridMultilevel"/>
    <w:tmpl w:val="675CCEEA"/>
    <w:lvl w:ilvl="0" w:tplc="080A0001">
      <w:start w:val="1"/>
      <w:numFmt w:val="bullet"/>
      <w:lvlText w:val=""/>
      <w:lvlJc w:val="left"/>
      <w:pPr>
        <w:ind w:left="792" w:hanging="360"/>
      </w:pPr>
      <w:rPr>
        <w:rFonts w:ascii="Symbol" w:hAnsi="Symbol" w:hint="default"/>
      </w:rPr>
    </w:lvl>
    <w:lvl w:ilvl="1" w:tplc="080A0003" w:tentative="1">
      <w:start w:val="1"/>
      <w:numFmt w:val="bullet"/>
      <w:lvlText w:val="o"/>
      <w:lvlJc w:val="left"/>
      <w:pPr>
        <w:ind w:left="1512" w:hanging="360"/>
      </w:pPr>
      <w:rPr>
        <w:rFonts w:ascii="Courier New" w:hAnsi="Courier New" w:cs="Courier New" w:hint="default"/>
      </w:rPr>
    </w:lvl>
    <w:lvl w:ilvl="2" w:tplc="080A0005" w:tentative="1">
      <w:start w:val="1"/>
      <w:numFmt w:val="bullet"/>
      <w:lvlText w:val=""/>
      <w:lvlJc w:val="left"/>
      <w:pPr>
        <w:ind w:left="2232" w:hanging="360"/>
      </w:pPr>
      <w:rPr>
        <w:rFonts w:ascii="Wingdings" w:hAnsi="Wingdings" w:hint="default"/>
      </w:rPr>
    </w:lvl>
    <w:lvl w:ilvl="3" w:tplc="080A0001" w:tentative="1">
      <w:start w:val="1"/>
      <w:numFmt w:val="bullet"/>
      <w:lvlText w:val=""/>
      <w:lvlJc w:val="left"/>
      <w:pPr>
        <w:ind w:left="2952" w:hanging="360"/>
      </w:pPr>
      <w:rPr>
        <w:rFonts w:ascii="Symbol" w:hAnsi="Symbol" w:hint="default"/>
      </w:rPr>
    </w:lvl>
    <w:lvl w:ilvl="4" w:tplc="080A0003" w:tentative="1">
      <w:start w:val="1"/>
      <w:numFmt w:val="bullet"/>
      <w:lvlText w:val="o"/>
      <w:lvlJc w:val="left"/>
      <w:pPr>
        <w:ind w:left="3672" w:hanging="360"/>
      </w:pPr>
      <w:rPr>
        <w:rFonts w:ascii="Courier New" w:hAnsi="Courier New" w:cs="Courier New" w:hint="default"/>
      </w:rPr>
    </w:lvl>
    <w:lvl w:ilvl="5" w:tplc="080A0005" w:tentative="1">
      <w:start w:val="1"/>
      <w:numFmt w:val="bullet"/>
      <w:lvlText w:val=""/>
      <w:lvlJc w:val="left"/>
      <w:pPr>
        <w:ind w:left="4392" w:hanging="360"/>
      </w:pPr>
      <w:rPr>
        <w:rFonts w:ascii="Wingdings" w:hAnsi="Wingdings" w:hint="default"/>
      </w:rPr>
    </w:lvl>
    <w:lvl w:ilvl="6" w:tplc="080A0001" w:tentative="1">
      <w:start w:val="1"/>
      <w:numFmt w:val="bullet"/>
      <w:lvlText w:val=""/>
      <w:lvlJc w:val="left"/>
      <w:pPr>
        <w:ind w:left="5112" w:hanging="360"/>
      </w:pPr>
      <w:rPr>
        <w:rFonts w:ascii="Symbol" w:hAnsi="Symbol" w:hint="default"/>
      </w:rPr>
    </w:lvl>
    <w:lvl w:ilvl="7" w:tplc="080A0003" w:tentative="1">
      <w:start w:val="1"/>
      <w:numFmt w:val="bullet"/>
      <w:lvlText w:val="o"/>
      <w:lvlJc w:val="left"/>
      <w:pPr>
        <w:ind w:left="5832" w:hanging="360"/>
      </w:pPr>
      <w:rPr>
        <w:rFonts w:ascii="Courier New" w:hAnsi="Courier New" w:cs="Courier New" w:hint="default"/>
      </w:rPr>
    </w:lvl>
    <w:lvl w:ilvl="8" w:tplc="080A0005" w:tentative="1">
      <w:start w:val="1"/>
      <w:numFmt w:val="bullet"/>
      <w:lvlText w:val=""/>
      <w:lvlJc w:val="left"/>
      <w:pPr>
        <w:ind w:left="6552" w:hanging="360"/>
      </w:pPr>
      <w:rPr>
        <w:rFonts w:ascii="Wingdings" w:hAnsi="Wingdings" w:hint="default"/>
      </w:rPr>
    </w:lvl>
  </w:abstractNum>
  <w:abstractNum w:abstractNumId="34" w15:restartNumberingAfterBreak="0">
    <w:nsid w:val="76B423CB"/>
    <w:multiLevelType w:val="hybridMultilevel"/>
    <w:tmpl w:val="B8AE86E2"/>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35" w15:restartNumberingAfterBreak="0">
    <w:nsid w:val="7A350D47"/>
    <w:multiLevelType w:val="hybridMultilevel"/>
    <w:tmpl w:val="7EAC0C2A"/>
    <w:lvl w:ilvl="0" w:tplc="C3DA0AD2">
      <w:start w:val="1"/>
      <w:numFmt w:val="lowerLetter"/>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6" w15:restartNumberingAfterBreak="0">
    <w:nsid w:val="7AE46311"/>
    <w:multiLevelType w:val="hybridMultilevel"/>
    <w:tmpl w:val="A19C6C0C"/>
    <w:lvl w:ilvl="0" w:tplc="D8282C66">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D5F6821"/>
    <w:multiLevelType w:val="hybridMultilevel"/>
    <w:tmpl w:val="7B087D50"/>
    <w:lvl w:ilvl="0" w:tplc="080A0019">
      <w:start w:val="2"/>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50152818">
    <w:abstractNumId w:val="22"/>
  </w:num>
  <w:num w:numId="2" w16cid:durableId="1269464637">
    <w:abstractNumId w:val="23"/>
  </w:num>
  <w:num w:numId="3" w16cid:durableId="455224521">
    <w:abstractNumId w:val="30"/>
  </w:num>
  <w:num w:numId="4" w16cid:durableId="1422288352">
    <w:abstractNumId w:val="5"/>
  </w:num>
  <w:num w:numId="5" w16cid:durableId="276453488">
    <w:abstractNumId w:val="1"/>
  </w:num>
  <w:num w:numId="6" w16cid:durableId="1318143251">
    <w:abstractNumId w:val="14"/>
  </w:num>
  <w:num w:numId="7" w16cid:durableId="1807509175">
    <w:abstractNumId w:val="20"/>
  </w:num>
  <w:num w:numId="8" w16cid:durableId="2004115109">
    <w:abstractNumId w:val="13"/>
  </w:num>
  <w:num w:numId="9" w16cid:durableId="2111393447">
    <w:abstractNumId w:val="8"/>
  </w:num>
  <w:num w:numId="10" w16cid:durableId="1519079717">
    <w:abstractNumId w:val="17"/>
  </w:num>
  <w:num w:numId="11" w16cid:durableId="477067701">
    <w:abstractNumId w:val="34"/>
  </w:num>
  <w:num w:numId="12" w16cid:durableId="1884172891">
    <w:abstractNumId w:val="18"/>
  </w:num>
  <w:num w:numId="13" w16cid:durableId="677855494">
    <w:abstractNumId w:val="4"/>
  </w:num>
  <w:num w:numId="14" w16cid:durableId="132718762">
    <w:abstractNumId w:val="25"/>
  </w:num>
  <w:num w:numId="15" w16cid:durableId="1387415208">
    <w:abstractNumId w:val="7"/>
  </w:num>
  <w:num w:numId="16" w16cid:durableId="1433356745">
    <w:abstractNumId w:val="27"/>
  </w:num>
  <w:num w:numId="17" w16cid:durableId="780220633">
    <w:abstractNumId w:val="31"/>
  </w:num>
  <w:num w:numId="18" w16cid:durableId="1574118154">
    <w:abstractNumId w:val="11"/>
  </w:num>
  <w:num w:numId="19" w16cid:durableId="1855655878">
    <w:abstractNumId w:val="29"/>
  </w:num>
  <w:num w:numId="20" w16cid:durableId="1354459340">
    <w:abstractNumId w:val="10"/>
  </w:num>
  <w:num w:numId="21" w16cid:durableId="1326586603">
    <w:abstractNumId w:val="15"/>
  </w:num>
  <w:num w:numId="22" w16cid:durableId="856308345">
    <w:abstractNumId w:val="33"/>
  </w:num>
  <w:num w:numId="23" w16cid:durableId="612715544">
    <w:abstractNumId w:val="2"/>
  </w:num>
  <w:num w:numId="24" w16cid:durableId="1697004609">
    <w:abstractNumId w:val="37"/>
  </w:num>
  <w:num w:numId="25" w16cid:durableId="459764811">
    <w:abstractNumId w:val="21"/>
  </w:num>
  <w:num w:numId="26" w16cid:durableId="612590957">
    <w:abstractNumId w:val="24"/>
  </w:num>
  <w:num w:numId="27" w16cid:durableId="711804430">
    <w:abstractNumId w:val="12"/>
  </w:num>
  <w:num w:numId="28" w16cid:durableId="1827817180">
    <w:abstractNumId w:val="9"/>
  </w:num>
  <w:num w:numId="29" w16cid:durableId="379285032">
    <w:abstractNumId w:val="26"/>
  </w:num>
  <w:num w:numId="30" w16cid:durableId="1837306072">
    <w:abstractNumId w:val="32"/>
  </w:num>
  <w:num w:numId="31" w16cid:durableId="1977568107">
    <w:abstractNumId w:val="0"/>
  </w:num>
  <w:num w:numId="32" w16cid:durableId="1345552139">
    <w:abstractNumId w:val="16"/>
  </w:num>
  <w:num w:numId="33" w16cid:durableId="893849643">
    <w:abstractNumId w:val="35"/>
  </w:num>
  <w:num w:numId="34" w16cid:durableId="32774535">
    <w:abstractNumId w:val="3"/>
  </w:num>
  <w:num w:numId="35" w16cid:durableId="1428304763">
    <w:abstractNumId w:val="36"/>
  </w:num>
  <w:num w:numId="36" w16cid:durableId="1098479125">
    <w:abstractNumId w:val="28"/>
  </w:num>
  <w:num w:numId="37" w16cid:durableId="1009065499">
    <w:abstractNumId w:val="19"/>
  </w:num>
  <w:num w:numId="38" w16cid:durableId="440670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proofState w:spelling="clean" w:grammar="clean"/>
  <w:defaultTabStop w:val="720"/>
  <w:hyphenationZone w:val="425"/>
  <w:characterSpacingControl w:val="doNotCompress"/>
  <w:hdrShapeDefaults>
    <o:shapedefaults v:ext="edit" spidmax="2050">
      <o:colormru v:ext="edit" colors="#cff,#ebffff,#fef9f4,#ebfaff,#dcfce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1A"/>
    <w:rsid w:val="0000051C"/>
    <w:rsid w:val="000014BF"/>
    <w:rsid w:val="00001B82"/>
    <w:rsid w:val="0000680B"/>
    <w:rsid w:val="00011F1B"/>
    <w:rsid w:val="00013C9A"/>
    <w:rsid w:val="00020130"/>
    <w:rsid w:val="000335E8"/>
    <w:rsid w:val="00045AC6"/>
    <w:rsid w:val="00047FB0"/>
    <w:rsid w:val="000537CC"/>
    <w:rsid w:val="00061043"/>
    <w:rsid w:val="000633B1"/>
    <w:rsid w:val="0006705E"/>
    <w:rsid w:val="00067D9B"/>
    <w:rsid w:val="00073AA1"/>
    <w:rsid w:val="000769F3"/>
    <w:rsid w:val="00081F0C"/>
    <w:rsid w:val="00084AE3"/>
    <w:rsid w:val="00086B97"/>
    <w:rsid w:val="00086E76"/>
    <w:rsid w:val="000879DD"/>
    <w:rsid w:val="0009096F"/>
    <w:rsid w:val="00095E0A"/>
    <w:rsid w:val="00096D28"/>
    <w:rsid w:val="00097639"/>
    <w:rsid w:val="000A04CE"/>
    <w:rsid w:val="000A125B"/>
    <w:rsid w:val="000A1B74"/>
    <w:rsid w:val="000A21AC"/>
    <w:rsid w:val="000A42A1"/>
    <w:rsid w:val="000A723C"/>
    <w:rsid w:val="000B0968"/>
    <w:rsid w:val="000C1BC0"/>
    <w:rsid w:val="000C443C"/>
    <w:rsid w:val="000D20FF"/>
    <w:rsid w:val="000E08A9"/>
    <w:rsid w:val="000E2C84"/>
    <w:rsid w:val="000E35DA"/>
    <w:rsid w:val="000E57FE"/>
    <w:rsid w:val="000F3D1A"/>
    <w:rsid w:val="000F519B"/>
    <w:rsid w:val="00100559"/>
    <w:rsid w:val="00114110"/>
    <w:rsid w:val="00124253"/>
    <w:rsid w:val="001334A9"/>
    <w:rsid w:val="00133A55"/>
    <w:rsid w:val="00135C26"/>
    <w:rsid w:val="0013777B"/>
    <w:rsid w:val="001413B1"/>
    <w:rsid w:val="00141E23"/>
    <w:rsid w:val="00146022"/>
    <w:rsid w:val="00146078"/>
    <w:rsid w:val="00146DAA"/>
    <w:rsid w:val="0015040D"/>
    <w:rsid w:val="0015255E"/>
    <w:rsid w:val="0015433B"/>
    <w:rsid w:val="001555D3"/>
    <w:rsid w:val="0015619F"/>
    <w:rsid w:val="0015658A"/>
    <w:rsid w:val="001665CA"/>
    <w:rsid w:val="00166798"/>
    <w:rsid w:val="00176559"/>
    <w:rsid w:val="0019221D"/>
    <w:rsid w:val="001973B5"/>
    <w:rsid w:val="00197FE2"/>
    <w:rsid w:val="001A3CD0"/>
    <w:rsid w:val="001A4586"/>
    <w:rsid w:val="001A7577"/>
    <w:rsid w:val="001B4B2D"/>
    <w:rsid w:val="001B50EA"/>
    <w:rsid w:val="001D0AC7"/>
    <w:rsid w:val="001E1979"/>
    <w:rsid w:val="001E679B"/>
    <w:rsid w:val="001E6BCE"/>
    <w:rsid w:val="001F1E37"/>
    <w:rsid w:val="001F63A5"/>
    <w:rsid w:val="001F7E48"/>
    <w:rsid w:val="00202A0F"/>
    <w:rsid w:val="0020340A"/>
    <w:rsid w:val="00216516"/>
    <w:rsid w:val="00217818"/>
    <w:rsid w:val="002326C2"/>
    <w:rsid w:val="00236EA1"/>
    <w:rsid w:val="00241582"/>
    <w:rsid w:val="002420DB"/>
    <w:rsid w:val="00242B51"/>
    <w:rsid w:val="00244554"/>
    <w:rsid w:val="00244FC7"/>
    <w:rsid w:val="00245564"/>
    <w:rsid w:val="00261CE2"/>
    <w:rsid w:val="00263A5E"/>
    <w:rsid w:val="002756CB"/>
    <w:rsid w:val="0028296E"/>
    <w:rsid w:val="0028301C"/>
    <w:rsid w:val="00284395"/>
    <w:rsid w:val="0028491D"/>
    <w:rsid w:val="002849A6"/>
    <w:rsid w:val="00286B51"/>
    <w:rsid w:val="00290453"/>
    <w:rsid w:val="0029204B"/>
    <w:rsid w:val="00295569"/>
    <w:rsid w:val="002958C4"/>
    <w:rsid w:val="002A05E0"/>
    <w:rsid w:val="002A187B"/>
    <w:rsid w:val="002A4D2E"/>
    <w:rsid w:val="002B1DD2"/>
    <w:rsid w:val="002B53C0"/>
    <w:rsid w:val="002B53C5"/>
    <w:rsid w:val="002C0BC4"/>
    <w:rsid w:val="002D1431"/>
    <w:rsid w:val="002D2E89"/>
    <w:rsid w:val="002E559B"/>
    <w:rsid w:val="002E6745"/>
    <w:rsid w:val="002E7C02"/>
    <w:rsid w:val="002F1E17"/>
    <w:rsid w:val="002F2D35"/>
    <w:rsid w:val="002F2FD9"/>
    <w:rsid w:val="003007EF"/>
    <w:rsid w:val="00303AF8"/>
    <w:rsid w:val="00303CAB"/>
    <w:rsid w:val="00304E4B"/>
    <w:rsid w:val="00316668"/>
    <w:rsid w:val="00317277"/>
    <w:rsid w:val="00325783"/>
    <w:rsid w:val="003313FA"/>
    <w:rsid w:val="003403F8"/>
    <w:rsid w:val="00346513"/>
    <w:rsid w:val="003479A7"/>
    <w:rsid w:val="00350435"/>
    <w:rsid w:val="003511C4"/>
    <w:rsid w:val="00360383"/>
    <w:rsid w:val="00361170"/>
    <w:rsid w:val="00362280"/>
    <w:rsid w:val="003632F2"/>
    <w:rsid w:val="0036399D"/>
    <w:rsid w:val="003669DB"/>
    <w:rsid w:val="00382598"/>
    <w:rsid w:val="00385225"/>
    <w:rsid w:val="003853C1"/>
    <w:rsid w:val="003857D6"/>
    <w:rsid w:val="003859A4"/>
    <w:rsid w:val="00386206"/>
    <w:rsid w:val="003935AC"/>
    <w:rsid w:val="00394D59"/>
    <w:rsid w:val="0039553A"/>
    <w:rsid w:val="003B4E47"/>
    <w:rsid w:val="003B5847"/>
    <w:rsid w:val="003C1E1D"/>
    <w:rsid w:val="003D29F8"/>
    <w:rsid w:val="003E091E"/>
    <w:rsid w:val="003E63EE"/>
    <w:rsid w:val="003F19FC"/>
    <w:rsid w:val="003F3D64"/>
    <w:rsid w:val="003F6C56"/>
    <w:rsid w:val="00400B8C"/>
    <w:rsid w:val="0040122A"/>
    <w:rsid w:val="00404725"/>
    <w:rsid w:val="00407801"/>
    <w:rsid w:val="00407BD6"/>
    <w:rsid w:val="00420910"/>
    <w:rsid w:val="00424B84"/>
    <w:rsid w:val="00432FA6"/>
    <w:rsid w:val="004445C9"/>
    <w:rsid w:val="00446CA7"/>
    <w:rsid w:val="00452274"/>
    <w:rsid w:val="00452F96"/>
    <w:rsid w:val="00462647"/>
    <w:rsid w:val="00470062"/>
    <w:rsid w:val="00470536"/>
    <w:rsid w:val="00470A24"/>
    <w:rsid w:val="004725AD"/>
    <w:rsid w:val="00475CD7"/>
    <w:rsid w:val="00476C58"/>
    <w:rsid w:val="00484290"/>
    <w:rsid w:val="00484C3D"/>
    <w:rsid w:val="004A51CE"/>
    <w:rsid w:val="004A5511"/>
    <w:rsid w:val="004B4DCA"/>
    <w:rsid w:val="004B5488"/>
    <w:rsid w:val="004C1681"/>
    <w:rsid w:val="004C2318"/>
    <w:rsid w:val="004D1D59"/>
    <w:rsid w:val="004D6F94"/>
    <w:rsid w:val="004E3736"/>
    <w:rsid w:val="004E5510"/>
    <w:rsid w:val="004E6172"/>
    <w:rsid w:val="004F011B"/>
    <w:rsid w:val="004F7686"/>
    <w:rsid w:val="00500A09"/>
    <w:rsid w:val="00500AC7"/>
    <w:rsid w:val="00502458"/>
    <w:rsid w:val="00504D4F"/>
    <w:rsid w:val="005061DB"/>
    <w:rsid w:val="00506218"/>
    <w:rsid w:val="0051613F"/>
    <w:rsid w:val="005232E0"/>
    <w:rsid w:val="00523EE6"/>
    <w:rsid w:val="00526060"/>
    <w:rsid w:val="0053340D"/>
    <w:rsid w:val="00533AFA"/>
    <w:rsid w:val="00556DCB"/>
    <w:rsid w:val="00563E29"/>
    <w:rsid w:val="005647EB"/>
    <w:rsid w:val="00572200"/>
    <w:rsid w:val="00574A78"/>
    <w:rsid w:val="00577383"/>
    <w:rsid w:val="00577491"/>
    <w:rsid w:val="00581DC6"/>
    <w:rsid w:val="00582FBB"/>
    <w:rsid w:val="00587413"/>
    <w:rsid w:val="005968FB"/>
    <w:rsid w:val="00596F30"/>
    <w:rsid w:val="005973ED"/>
    <w:rsid w:val="005A067C"/>
    <w:rsid w:val="005A1DC9"/>
    <w:rsid w:val="005A61DF"/>
    <w:rsid w:val="005A74E6"/>
    <w:rsid w:val="005B5BED"/>
    <w:rsid w:val="005C13DE"/>
    <w:rsid w:val="005C276C"/>
    <w:rsid w:val="005C48A8"/>
    <w:rsid w:val="005D2C81"/>
    <w:rsid w:val="005D4AF5"/>
    <w:rsid w:val="005E1AC0"/>
    <w:rsid w:val="005E1F10"/>
    <w:rsid w:val="005F02C9"/>
    <w:rsid w:val="00605630"/>
    <w:rsid w:val="00605A9F"/>
    <w:rsid w:val="00611DB3"/>
    <w:rsid w:val="0061239B"/>
    <w:rsid w:val="00613CE2"/>
    <w:rsid w:val="00614E38"/>
    <w:rsid w:val="00615980"/>
    <w:rsid w:val="00616B92"/>
    <w:rsid w:val="00616C63"/>
    <w:rsid w:val="00622E6E"/>
    <w:rsid w:val="00624E3C"/>
    <w:rsid w:val="006265B6"/>
    <w:rsid w:val="00633C0B"/>
    <w:rsid w:val="00642996"/>
    <w:rsid w:val="006447CE"/>
    <w:rsid w:val="00651AAC"/>
    <w:rsid w:val="00656DE8"/>
    <w:rsid w:val="006607F8"/>
    <w:rsid w:val="006662B2"/>
    <w:rsid w:val="00674E06"/>
    <w:rsid w:val="0068078F"/>
    <w:rsid w:val="00680AE0"/>
    <w:rsid w:val="00686F7A"/>
    <w:rsid w:val="006A45CB"/>
    <w:rsid w:val="006A470E"/>
    <w:rsid w:val="006A685D"/>
    <w:rsid w:val="006B3AB0"/>
    <w:rsid w:val="006B6261"/>
    <w:rsid w:val="006C2FD7"/>
    <w:rsid w:val="006C3AED"/>
    <w:rsid w:val="006D02DD"/>
    <w:rsid w:val="006D07E4"/>
    <w:rsid w:val="006D4AFF"/>
    <w:rsid w:val="006D5382"/>
    <w:rsid w:val="006D79B3"/>
    <w:rsid w:val="006E2C33"/>
    <w:rsid w:val="006E2E03"/>
    <w:rsid w:val="006E7D4E"/>
    <w:rsid w:val="006F2C95"/>
    <w:rsid w:val="006F51BE"/>
    <w:rsid w:val="00700C80"/>
    <w:rsid w:val="00702C2A"/>
    <w:rsid w:val="00702D9D"/>
    <w:rsid w:val="007035B3"/>
    <w:rsid w:val="00710868"/>
    <w:rsid w:val="00710CF5"/>
    <w:rsid w:val="007125FF"/>
    <w:rsid w:val="00715293"/>
    <w:rsid w:val="0071603F"/>
    <w:rsid w:val="0071773C"/>
    <w:rsid w:val="00723B3A"/>
    <w:rsid w:val="00724357"/>
    <w:rsid w:val="00725E7F"/>
    <w:rsid w:val="0072698D"/>
    <w:rsid w:val="007318CF"/>
    <w:rsid w:val="007319C2"/>
    <w:rsid w:val="00732655"/>
    <w:rsid w:val="00735FF7"/>
    <w:rsid w:val="00744B92"/>
    <w:rsid w:val="00746BCE"/>
    <w:rsid w:val="00747B90"/>
    <w:rsid w:val="007515D5"/>
    <w:rsid w:val="0075253A"/>
    <w:rsid w:val="00756C06"/>
    <w:rsid w:val="00757664"/>
    <w:rsid w:val="00764E90"/>
    <w:rsid w:val="00772098"/>
    <w:rsid w:val="0077458D"/>
    <w:rsid w:val="00777440"/>
    <w:rsid w:val="007802A0"/>
    <w:rsid w:val="00787749"/>
    <w:rsid w:val="007878A6"/>
    <w:rsid w:val="00790B09"/>
    <w:rsid w:val="007919F9"/>
    <w:rsid w:val="00792E84"/>
    <w:rsid w:val="00793BFF"/>
    <w:rsid w:val="00793E88"/>
    <w:rsid w:val="0079646A"/>
    <w:rsid w:val="00797139"/>
    <w:rsid w:val="00797AF9"/>
    <w:rsid w:val="007A61D5"/>
    <w:rsid w:val="007B4F07"/>
    <w:rsid w:val="007C190E"/>
    <w:rsid w:val="007C1EA3"/>
    <w:rsid w:val="007C2DFC"/>
    <w:rsid w:val="007C6B4D"/>
    <w:rsid w:val="007D0313"/>
    <w:rsid w:val="007D7262"/>
    <w:rsid w:val="007F291F"/>
    <w:rsid w:val="00803BF0"/>
    <w:rsid w:val="00811838"/>
    <w:rsid w:val="0081407D"/>
    <w:rsid w:val="0081686B"/>
    <w:rsid w:val="0081691F"/>
    <w:rsid w:val="00817836"/>
    <w:rsid w:val="00823927"/>
    <w:rsid w:val="00823DD4"/>
    <w:rsid w:val="008240F8"/>
    <w:rsid w:val="00832F4C"/>
    <w:rsid w:val="00843528"/>
    <w:rsid w:val="00844F49"/>
    <w:rsid w:val="00851AFC"/>
    <w:rsid w:val="0086034F"/>
    <w:rsid w:val="00870E1C"/>
    <w:rsid w:val="00872A33"/>
    <w:rsid w:val="008743E1"/>
    <w:rsid w:val="008748D2"/>
    <w:rsid w:val="008853C5"/>
    <w:rsid w:val="008858D2"/>
    <w:rsid w:val="008B1619"/>
    <w:rsid w:val="008B2B26"/>
    <w:rsid w:val="008D2C73"/>
    <w:rsid w:val="008D4FEF"/>
    <w:rsid w:val="008D591C"/>
    <w:rsid w:val="008E074E"/>
    <w:rsid w:val="008F5EA6"/>
    <w:rsid w:val="008F64B1"/>
    <w:rsid w:val="008F7C05"/>
    <w:rsid w:val="00900085"/>
    <w:rsid w:val="009001E6"/>
    <w:rsid w:val="009026E3"/>
    <w:rsid w:val="00902DB8"/>
    <w:rsid w:val="00904246"/>
    <w:rsid w:val="00904E89"/>
    <w:rsid w:val="00907F27"/>
    <w:rsid w:val="0091565D"/>
    <w:rsid w:val="00922DB7"/>
    <w:rsid w:val="009252F2"/>
    <w:rsid w:val="00926892"/>
    <w:rsid w:val="00933169"/>
    <w:rsid w:val="009333E7"/>
    <w:rsid w:val="00942805"/>
    <w:rsid w:val="0094320D"/>
    <w:rsid w:val="00944E3C"/>
    <w:rsid w:val="00950C1A"/>
    <w:rsid w:val="00952D56"/>
    <w:rsid w:val="00955CFD"/>
    <w:rsid w:val="00956408"/>
    <w:rsid w:val="00956505"/>
    <w:rsid w:val="00964F14"/>
    <w:rsid w:val="00972CBD"/>
    <w:rsid w:val="00982E05"/>
    <w:rsid w:val="00995F08"/>
    <w:rsid w:val="009B441A"/>
    <w:rsid w:val="009B5317"/>
    <w:rsid w:val="009B7171"/>
    <w:rsid w:val="009C1545"/>
    <w:rsid w:val="009C3A83"/>
    <w:rsid w:val="009D42BF"/>
    <w:rsid w:val="009D54E5"/>
    <w:rsid w:val="009D5B43"/>
    <w:rsid w:val="009E4255"/>
    <w:rsid w:val="009E42BE"/>
    <w:rsid w:val="009E5B33"/>
    <w:rsid w:val="009E603A"/>
    <w:rsid w:val="009F13BE"/>
    <w:rsid w:val="009F1516"/>
    <w:rsid w:val="009F2C23"/>
    <w:rsid w:val="009F3FE4"/>
    <w:rsid w:val="009F52C5"/>
    <w:rsid w:val="009F54B0"/>
    <w:rsid w:val="009F6044"/>
    <w:rsid w:val="009F704B"/>
    <w:rsid w:val="00A00C20"/>
    <w:rsid w:val="00A0187E"/>
    <w:rsid w:val="00A01AD4"/>
    <w:rsid w:val="00A123EE"/>
    <w:rsid w:val="00A1381D"/>
    <w:rsid w:val="00A17C60"/>
    <w:rsid w:val="00A2003B"/>
    <w:rsid w:val="00A32551"/>
    <w:rsid w:val="00A3281B"/>
    <w:rsid w:val="00A37697"/>
    <w:rsid w:val="00A40E01"/>
    <w:rsid w:val="00A44DD0"/>
    <w:rsid w:val="00A46698"/>
    <w:rsid w:val="00A510A2"/>
    <w:rsid w:val="00A57092"/>
    <w:rsid w:val="00A62ED6"/>
    <w:rsid w:val="00A65BD7"/>
    <w:rsid w:val="00A65D27"/>
    <w:rsid w:val="00A73E9D"/>
    <w:rsid w:val="00A74913"/>
    <w:rsid w:val="00A816B7"/>
    <w:rsid w:val="00A92376"/>
    <w:rsid w:val="00A975C9"/>
    <w:rsid w:val="00AA220F"/>
    <w:rsid w:val="00AA2A85"/>
    <w:rsid w:val="00AA5ED3"/>
    <w:rsid w:val="00AB1121"/>
    <w:rsid w:val="00AB13B7"/>
    <w:rsid w:val="00AC2879"/>
    <w:rsid w:val="00AC2A37"/>
    <w:rsid w:val="00AC555A"/>
    <w:rsid w:val="00AD5929"/>
    <w:rsid w:val="00AE06A5"/>
    <w:rsid w:val="00AE3F80"/>
    <w:rsid w:val="00AF34A4"/>
    <w:rsid w:val="00AF4A19"/>
    <w:rsid w:val="00AF52A9"/>
    <w:rsid w:val="00AF596C"/>
    <w:rsid w:val="00B0496E"/>
    <w:rsid w:val="00B07060"/>
    <w:rsid w:val="00B2012A"/>
    <w:rsid w:val="00B21901"/>
    <w:rsid w:val="00B23DCE"/>
    <w:rsid w:val="00B2599C"/>
    <w:rsid w:val="00B30EE3"/>
    <w:rsid w:val="00B3385A"/>
    <w:rsid w:val="00B36C53"/>
    <w:rsid w:val="00B40EEE"/>
    <w:rsid w:val="00B419F2"/>
    <w:rsid w:val="00B41D92"/>
    <w:rsid w:val="00B42C9F"/>
    <w:rsid w:val="00B530B7"/>
    <w:rsid w:val="00B53225"/>
    <w:rsid w:val="00B5653B"/>
    <w:rsid w:val="00B611FE"/>
    <w:rsid w:val="00B622A1"/>
    <w:rsid w:val="00B84B99"/>
    <w:rsid w:val="00B87346"/>
    <w:rsid w:val="00B96128"/>
    <w:rsid w:val="00BA3623"/>
    <w:rsid w:val="00BB1A8F"/>
    <w:rsid w:val="00BB287A"/>
    <w:rsid w:val="00BC38E1"/>
    <w:rsid w:val="00BC4002"/>
    <w:rsid w:val="00BD215D"/>
    <w:rsid w:val="00BD3287"/>
    <w:rsid w:val="00BD40B6"/>
    <w:rsid w:val="00BD6C09"/>
    <w:rsid w:val="00BE1423"/>
    <w:rsid w:val="00BF3E2C"/>
    <w:rsid w:val="00BF4384"/>
    <w:rsid w:val="00C004FF"/>
    <w:rsid w:val="00C01CB3"/>
    <w:rsid w:val="00C026B3"/>
    <w:rsid w:val="00C02D08"/>
    <w:rsid w:val="00C12C37"/>
    <w:rsid w:val="00C14CBB"/>
    <w:rsid w:val="00C17209"/>
    <w:rsid w:val="00C40DDE"/>
    <w:rsid w:val="00C41284"/>
    <w:rsid w:val="00C417EB"/>
    <w:rsid w:val="00C43C0D"/>
    <w:rsid w:val="00C50268"/>
    <w:rsid w:val="00C649E7"/>
    <w:rsid w:val="00C75A1A"/>
    <w:rsid w:val="00C7600F"/>
    <w:rsid w:val="00C7621D"/>
    <w:rsid w:val="00C8040D"/>
    <w:rsid w:val="00C917A9"/>
    <w:rsid w:val="00C93FE4"/>
    <w:rsid w:val="00CA26E5"/>
    <w:rsid w:val="00CB0741"/>
    <w:rsid w:val="00CB163F"/>
    <w:rsid w:val="00CD35A7"/>
    <w:rsid w:val="00CE2E5A"/>
    <w:rsid w:val="00CF0BF4"/>
    <w:rsid w:val="00CF300B"/>
    <w:rsid w:val="00CF3598"/>
    <w:rsid w:val="00D03017"/>
    <w:rsid w:val="00D07D9C"/>
    <w:rsid w:val="00D22626"/>
    <w:rsid w:val="00D3107D"/>
    <w:rsid w:val="00D43F1B"/>
    <w:rsid w:val="00D52C53"/>
    <w:rsid w:val="00D54A7C"/>
    <w:rsid w:val="00D62550"/>
    <w:rsid w:val="00D656C3"/>
    <w:rsid w:val="00D73ADC"/>
    <w:rsid w:val="00D75EB3"/>
    <w:rsid w:val="00D77B71"/>
    <w:rsid w:val="00D803EF"/>
    <w:rsid w:val="00D81182"/>
    <w:rsid w:val="00D85DA5"/>
    <w:rsid w:val="00D9392B"/>
    <w:rsid w:val="00D94604"/>
    <w:rsid w:val="00D96023"/>
    <w:rsid w:val="00D9691F"/>
    <w:rsid w:val="00D97D72"/>
    <w:rsid w:val="00DA2FAE"/>
    <w:rsid w:val="00DA6F5E"/>
    <w:rsid w:val="00DB22E8"/>
    <w:rsid w:val="00DB2F8B"/>
    <w:rsid w:val="00DB63FE"/>
    <w:rsid w:val="00DB722C"/>
    <w:rsid w:val="00DC06A7"/>
    <w:rsid w:val="00DC3F52"/>
    <w:rsid w:val="00DC4D1E"/>
    <w:rsid w:val="00DD06D3"/>
    <w:rsid w:val="00DD483F"/>
    <w:rsid w:val="00DD54C7"/>
    <w:rsid w:val="00DE07FF"/>
    <w:rsid w:val="00DE1085"/>
    <w:rsid w:val="00DE13A6"/>
    <w:rsid w:val="00DE6157"/>
    <w:rsid w:val="00DF1D66"/>
    <w:rsid w:val="00DF2569"/>
    <w:rsid w:val="00DF555A"/>
    <w:rsid w:val="00DF684D"/>
    <w:rsid w:val="00E07D50"/>
    <w:rsid w:val="00E11006"/>
    <w:rsid w:val="00E11E2F"/>
    <w:rsid w:val="00E12DE5"/>
    <w:rsid w:val="00E131F1"/>
    <w:rsid w:val="00E172B3"/>
    <w:rsid w:val="00E2460C"/>
    <w:rsid w:val="00E26902"/>
    <w:rsid w:val="00E32641"/>
    <w:rsid w:val="00E35093"/>
    <w:rsid w:val="00E376DE"/>
    <w:rsid w:val="00E46372"/>
    <w:rsid w:val="00E50300"/>
    <w:rsid w:val="00E52B2E"/>
    <w:rsid w:val="00E53A3B"/>
    <w:rsid w:val="00E63869"/>
    <w:rsid w:val="00E66CD2"/>
    <w:rsid w:val="00E701FF"/>
    <w:rsid w:val="00E716AA"/>
    <w:rsid w:val="00E725DC"/>
    <w:rsid w:val="00E76B6C"/>
    <w:rsid w:val="00E7776D"/>
    <w:rsid w:val="00E805D5"/>
    <w:rsid w:val="00E81295"/>
    <w:rsid w:val="00E8273A"/>
    <w:rsid w:val="00E873C4"/>
    <w:rsid w:val="00EA0039"/>
    <w:rsid w:val="00EA2243"/>
    <w:rsid w:val="00EB406F"/>
    <w:rsid w:val="00EB4F74"/>
    <w:rsid w:val="00EB502D"/>
    <w:rsid w:val="00EB683A"/>
    <w:rsid w:val="00EC0EFC"/>
    <w:rsid w:val="00ED1727"/>
    <w:rsid w:val="00EE2BB5"/>
    <w:rsid w:val="00EE4821"/>
    <w:rsid w:val="00EF3FA2"/>
    <w:rsid w:val="00EF473D"/>
    <w:rsid w:val="00EF79B1"/>
    <w:rsid w:val="00F00444"/>
    <w:rsid w:val="00F06240"/>
    <w:rsid w:val="00F0750F"/>
    <w:rsid w:val="00F16A4F"/>
    <w:rsid w:val="00F213E3"/>
    <w:rsid w:val="00F23C98"/>
    <w:rsid w:val="00F34BDD"/>
    <w:rsid w:val="00F379D0"/>
    <w:rsid w:val="00F4211A"/>
    <w:rsid w:val="00F53860"/>
    <w:rsid w:val="00F53BA6"/>
    <w:rsid w:val="00F556D3"/>
    <w:rsid w:val="00F66AD0"/>
    <w:rsid w:val="00F66D85"/>
    <w:rsid w:val="00F66EEE"/>
    <w:rsid w:val="00F7757B"/>
    <w:rsid w:val="00F77C47"/>
    <w:rsid w:val="00F8197E"/>
    <w:rsid w:val="00F8216A"/>
    <w:rsid w:val="00F82210"/>
    <w:rsid w:val="00F93881"/>
    <w:rsid w:val="00F96F95"/>
    <w:rsid w:val="00FA3756"/>
    <w:rsid w:val="00FA5477"/>
    <w:rsid w:val="00FA7CCF"/>
    <w:rsid w:val="00FB058B"/>
    <w:rsid w:val="00FB1D53"/>
    <w:rsid w:val="00FB2386"/>
    <w:rsid w:val="00FB2FBA"/>
    <w:rsid w:val="00FB49CB"/>
    <w:rsid w:val="00FB4EB5"/>
    <w:rsid w:val="00FB5055"/>
    <w:rsid w:val="00FB57A3"/>
    <w:rsid w:val="00FC1F62"/>
    <w:rsid w:val="00FC43E4"/>
    <w:rsid w:val="00FC47DF"/>
    <w:rsid w:val="00FC79BA"/>
    <w:rsid w:val="00FD1CF2"/>
    <w:rsid w:val="00FD35D6"/>
    <w:rsid w:val="00FD7BCD"/>
    <w:rsid w:val="00FE125E"/>
    <w:rsid w:val="00FE248A"/>
    <w:rsid w:val="00FF44E6"/>
    <w:rsid w:val="00FF4BB8"/>
    <w:rsid w:val="00FF5B54"/>
    <w:rsid w:val="00FF78D9"/>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ff,#ebffff,#fef9f4,#ebfaff,#dcfce4"/>
    </o:shapedefaults>
    <o:shapelayout v:ext="edit">
      <o:idmap v:ext="edit" data="2"/>
    </o:shapelayout>
  </w:shapeDefaults>
  <w:decimalSymbol w:val="."/>
  <w:listSeparator w:val=";"/>
  <w14:docId w14:val="77539194"/>
  <w15:docId w15:val="{2FE8721E-431B-41A5-9FCE-F4DBF008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spacing w:before="73"/>
      <w:ind w:left="112"/>
      <w:outlineLvl w:val="0"/>
    </w:pPr>
    <w:rPr>
      <w:rFonts w:ascii="Arial Black" w:eastAsia="Arial Black" w:hAnsi="Arial Black" w:cs="Arial Black"/>
      <w:sz w:val="36"/>
      <w:szCs w:val="36"/>
    </w:rPr>
  </w:style>
  <w:style w:type="paragraph" w:styleId="Ttulo2">
    <w:name w:val="heading 2"/>
    <w:basedOn w:val="Normal"/>
    <w:uiPriority w:val="9"/>
    <w:unhideWhenUsed/>
    <w:qFormat/>
    <w:pPr>
      <w:ind w:left="132"/>
      <w:outlineLvl w:val="1"/>
    </w:pPr>
    <w:rPr>
      <w:rFonts w:ascii="Arial Black" w:eastAsia="Arial Black" w:hAnsi="Arial Black" w:cs="Arial Black"/>
      <w:sz w:val="32"/>
      <w:szCs w:val="32"/>
    </w:rPr>
  </w:style>
  <w:style w:type="paragraph" w:styleId="Ttulo3">
    <w:name w:val="heading 3"/>
    <w:basedOn w:val="Normal"/>
    <w:uiPriority w:val="9"/>
    <w:unhideWhenUsed/>
    <w:qFormat/>
    <w:pPr>
      <w:ind w:left="832" w:hanging="1777"/>
      <w:outlineLvl w:val="2"/>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34"/>
    <w:qFormat/>
    <w:pPr>
      <w:spacing w:before="120"/>
      <w:ind w:left="1430" w:hanging="721"/>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382598"/>
    <w:pPr>
      <w:tabs>
        <w:tab w:val="center" w:pos="4419"/>
        <w:tab w:val="right" w:pos="8838"/>
      </w:tabs>
    </w:pPr>
  </w:style>
  <w:style w:type="character" w:customStyle="1" w:styleId="EncabezadoCar">
    <w:name w:val="Encabezado Car"/>
    <w:basedOn w:val="Fuentedeprrafopredeter"/>
    <w:link w:val="Encabezado"/>
    <w:uiPriority w:val="99"/>
    <w:rsid w:val="00382598"/>
    <w:rPr>
      <w:rFonts w:ascii="Arial MT" w:eastAsia="Arial MT" w:hAnsi="Arial MT" w:cs="Arial MT"/>
      <w:lang w:val="es-ES"/>
    </w:rPr>
  </w:style>
  <w:style w:type="paragraph" w:styleId="Piedepgina">
    <w:name w:val="footer"/>
    <w:basedOn w:val="Normal"/>
    <w:link w:val="PiedepginaCar"/>
    <w:uiPriority w:val="99"/>
    <w:unhideWhenUsed/>
    <w:rsid w:val="00382598"/>
    <w:pPr>
      <w:tabs>
        <w:tab w:val="center" w:pos="4419"/>
        <w:tab w:val="right" w:pos="8838"/>
      </w:tabs>
    </w:pPr>
  </w:style>
  <w:style w:type="character" w:customStyle="1" w:styleId="PiedepginaCar">
    <w:name w:val="Pie de página Car"/>
    <w:basedOn w:val="Fuentedeprrafopredeter"/>
    <w:link w:val="Piedepgina"/>
    <w:uiPriority w:val="99"/>
    <w:rsid w:val="00382598"/>
    <w:rPr>
      <w:rFonts w:ascii="Arial MT" w:eastAsia="Arial MT" w:hAnsi="Arial MT" w:cs="Arial MT"/>
      <w:lang w:val="es-ES"/>
    </w:rPr>
  </w:style>
  <w:style w:type="paragraph" w:styleId="Textonotapie">
    <w:name w:val="footnote text"/>
    <w:basedOn w:val="Normal"/>
    <w:link w:val="TextonotapieCar"/>
    <w:uiPriority w:val="99"/>
    <w:semiHidden/>
    <w:unhideWhenUsed/>
    <w:rsid w:val="00843528"/>
    <w:rPr>
      <w:sz w:val="20"/>
      <w:szCs w:val="20"/>
    </w:rPr>
  </w:style>
  <w:style w:type="character" w:customStyle="1" w:styleId="TextonotapieCar">
    <w:name w:val="Texto nota pie Car"/>
    <w:basedOn w:val="Fuentedeprrafopredeter"/>
    <w:link w:val="Textonotapie"/>
    <w:uiPriority w:val="99"/>
    <w:semiHidden/>
    <w:rsid w:val="00843528"/>
    <w:rPr>
      <w:rFonts w:ascii="Arial MT" w:eastAsia="Arial MT" w:hAnsi="Arial MT" w:cs="Arial MT"/>
      <w:sz w:val="20"/>
      <w:szCs w:val="20"/>
      <w:lang w:val="es-ES"/>
    </w:rPr>
  </w:style>
  <w:style w:type="character" w:styleId="Refdenotaalpie">
    <w:name w:val="footnote reference"/>
    <w:basedOn w:val="Fuentedeprrafopredeter"/>
    <w:uiPriority w:val="99"/>
    <w:semiHidden/>
    <w:unhideWhenUsed/>
    <w:rsid w:val="00843528"/>
    <w:rPr>
      <w:vertAlign w:val="superscript"/>
    </w:rPr>
  </w:style>
  <w:style w:type="character" w:styleId="Refdecomentario">
    <w:name w:val="annotation reference"/>
    <w:basedOn w:val="Fuentedeprrafopredeter"/>
    <w:uiPriority w:val="99"/>
    <w:semiHidden/>
    <w:unhideWhenUsed/>
    <w:rsid w:val="00F96F95"/>
    <w:rPr>
      <w:sz w:val="16"/>
      <w:szCs w:val="16"/>
    </w:rPr>
  </w:style>
  <w:style w:type="paragraph" w:styleId="Textocomentario">
    <w:name w:val="annotation text"/>
    <w:basedOn w:val="Normal"/>
    <w:link w:val="TextocomentarioCar"/>
    <w:uiPriority w:val="99"/>
    <w:semiHidden/>
    <w:unhideWhenUsed/>
    <w:rsid w:val="00F96F95"/>
    <w:rPr>
      <w:sz w:val="20"/>
      <w:szCs w:val="20"/>
    </w:rPr>
  </w:style>
  <w:style w:type="character" w:customStyle="1" w:styleId="TextocomentarioCar">
    <w:name w:val="Texto comentario Car"/>
    <w:basedOn w:val="Fuentedeprrafopredeter"/>
    <w:link w:val="Textocomentario"/>
    <w:uiPriority w:val="99"/>
    <w:semiHidden/>
    <w:rsid w:val="00F96F95"/>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F96F95"/>
    <w:rPr>
      <w:b/>
      <w:bCs/>
    </w:rPr>
  </w:style>
  <w:style w:type="character" w:customStyle="1" w:styleId="AsuntodelcomentarioCar">
    <w:name w:val="Asunto del comentario Car"/>
    <w:basedOn w:val="TextocomentarioCar"/>
    <w:link w:val="Asuntodelcomentario"/>
    <w:uiPriority w:val="99"/>
    <w:semiHidden/>
    <w:rsid w:val="00F96F95"/>
    <w:rPr>
      <w:rFonts w:ascii="Arial MT" w:eastAsia="Arial MT" w:hAnsi="Arial MT" w:cs="Arial MT"/>
      <w:b/>
      <w:bCs/>
      <w:sz w:val="20"/>
      <w:szCs w:val="20"/>
      <w:lang w:val="es-ES"/>
    </w:rPr>
  </w:style>
  <w:style w:type="table" w:styleId="Tablaconcuadrcula">
    <w:name w:val="Table Grid"/>
    <w:basedOn w:val="Tablanormal"/>
    <w:uiPriority w:val="39"/>
    <w:rsid w:val="00B30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20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www.theglobalfund.org/media/8845/fundingrequest_focusedportfolio_instructions_es.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theglobalfund.org/media/8845/fundingrequest_focusedportfolio_instructions_es.pdf"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yperlink" Target="https://www.theglobalfund.org/media/8845/fundingrequest_focusedportfolio_instructions_es.pdf" TargetMode="External"/><Relationship Id="rId19" Type="http://schemas.openxmlformats.org/officeDocument/2006/relationships/hyperlink" Target="https://www.theglobalfund.org/media/8845/fundingrequest_focusedportfolio_instructions_es.pdf" TargetMode="External"/><Relationship Id="rId4" Type="http://schemas.openxmlformats.org/officeDocument/2006/relationships/settings" Target="settings.xml"/><Relationship Id="rId9" Type="http://schemas.openxmlformats.org/officeDocument/2006/relationships/hyperlink" Target="https://www.theglobalfund.org/media/8845/fundingrequest_focusedportfolio_instructions_es.pdf" TargetMode="External"/><Relationship Id="rId14" Type="http://schemas.openxmlformats.org/officeDocument/2006/relationships/chart" Target="charts/chart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Usuario\Documents\2024\2024\TSM\Comit&#233;%20propuesta\Otros%20documentos\Context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Usuario\Documents\2024\2024\TSM\Comit&#233;%20propuesta\Otros%20documentos\Context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s-ES" sz="800" b="1" i="0" u="none" strike="noStrike" kern="1200" spc="0" baseline="0">
                <a:solidFill>
                  <a:sysClr val="windowText" lastClr="000000"/>
                </a:solidFill>
                <a:effectLst/>
              </a:rPr>
              <a:t>Gráfico 1. Evolución del Primer Pilar de la Cascada del Continuo de la Atención, El Salvador 2015-2022</a:t>
            </a:r>
            <a:endParaRPr lang="es-NI" sz="800" b="1" i="0" u="none" strike="noStrike" kern="1200" spc="0" baseline="0">
              <a:solidFill>
                <a:sysClr val="windowText" lastClr="000000"/>
              </a:solidFill>
            </a:endParaRPr>
          </a:p>
        </c:rich>
      </c:tx>
      <c:layout>
        <c:manualLayout>
          <c:xMode val="edge"/>
          <c:yMode val="edge"/>
          <c:x val="0.15240137221269295"/>
          <c:y val="0"/>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endParaRPr lang="es-NI"/>
        </a:p>
      </c:txPr>
    </c:title>
    <c:autoTitleDeleted val="0"/>
    <c:plotArea>
      <c:layout>
        <c:manualLayout>
          <c:layoutTarget val="inner"/>
          <c:xMode val="edge"/>
          <c:yMode val="edge"/>
          <c:x val="3.9582583663188196E-2"/>
          <c:y val="0.10517399267399265"/>
          <c:w val="0.92083483267362365"/>
          <c:h val="0.74796984511551434"/>
        </c:manualLayout>
      </c:layout>
      <c:barChart>
        <c:barDir val="col"/>
        <c:grouping val="stacked"/>
        <c:varyColors val="0"/>
        <c:ser>
          <c:idx val="0"/>
          <c:order val="0"/>
          <c:tx>
            <c:strRef>
              <c:f>Datos24!$C$3</c:f>
              <c:strCache>
                <c:ptCount val="1"/>
                <c:pt idx="0">
                  <c:v>Observado</c:v>
                </c:pt>
              </c:strCache>
            </c:strRef>
          </c:tx>
          <c:spPr>
            <a:solidFill>
              <a:schemeClr val="accent1"/>
            </a:solidFill>
            <a:ln w="9525">
              <a:solidFill>
                <a:sysClr val="windowText" lastClr="0000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bg1">
                        <a:lumMod val="85000"/>
                      </a:schemeClr>
                    </a:solidFill>
                    <a:latin typeface="+mn-lt"/>
                    <a:ea typeface="+mn-ea"/>
                    <a:cs typeface="+mn-cs"/>
                  </a:defRPr>
                </a:pPr>
                <a:endParaRPr lang="es-N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Datos24!$B$4:$B$13</c:f>
              <c:strCache>
                <c:ptCount val="10"/>
                <c:pt idx="0">
                  <c:v>2013</c:v>
                </c:pt>
                <c:pt idx="1">
                  <c:v>2014</c:v>
                </c:pt>
                <c:pt idx="2">
                  <c:v>2015</c:v>
                </c:pt>
                <c:pt idx="3">
                  <c:v>2016</c:v>
                </c:pt>
                <c:pt idx="4">
                  <c:v>2017</c:v>
                </c:pt>
                <c:pt idx="5">
                  <c:v>2018</c:v>
                </c:pt>
                <c:pt idx="6">
                  <c:v>2019</c:v>
                </c:pt>
                <c:pt idx="7">
                  <c:v>2020</c:v>
                </c:pt>
                <c:pt idx="8">
                  <c:v>2021</c:v>
                </c:pt>
                <c:pt idx="9">
                  <c:v>2022</c:v>
                </c:pt>
              </c:strCache>
            </c:strRef>
          </c:cat>
          <c:val>
            <c:numRef>
              <c:f>Datos24!$C$4:$C$13</c:f>
              <c:numCache>
                <c:formatCode>0.0</c:formatCode>
                <c:ptCount val="10"/>
                <c:pt idx="0">
                  <c:v>69</c:v>
                </c:pt>
                <c:pt idx="1">
                  <c:v>73</c:v>
                </c:pt>
                <c:pt idx="2">
                  <c:v>89</c:v>
                </c:pt>
                <c:pt idx="3">
                  <c:v>73</c:v>
                </c:pt>
                <c:pt idx="4">
                  <c:v>74</c:v>
                </c:pt>
                <c:pt idx="5">
                  <c:v>73</c:v>
                </c:pt>
                <c:pt idx="6">
                  <c:v>72</c:v>
                </c:pt>
                <c:pt idx="7">
                  <c:v>80</c:v>
                </c:pt>
                <c:pt idx="8">
                  <c:v>79</c:v>
                </c:pt>
                <c:pt idx="9">
                  <c:v>87</c:v>
                </c:pt>
              </c:numCache>
            </c:numRef>
          </c:val>
          <c:extLst>
            <c:ext xmlns:c16="http://schemas.microsoft.com/office/drawing/2014/chart" uri="{C3380CC4-5D6E-409C-BE32-E72D297353CC}">
              <c16:uniqueId val="{00000000-1D18-4E29-AE79-938E2A1E7A67}"/>
            </c:ext>
          </c:extLst>
        </c:ser>
        <c:ser>
          <c:idx val="1"/>
          <c:order val="1"/>
          <c:tx>
            <c:strRef>
              <c:f>Datos24!$D$3</c:f>
              <c:strCache>
                <c:ptCount val="1"/>
                <c:pt idx="0">
                  <c:v>Brecha</c:v>
                </c:pt>
              </c:strCache>
            </c:strRef>
          </c:tx>
          <c:spPr>
            <a:solidFill>
              <a:schemeClr val="accent2"/>
            </a:solidFill>
            <a:ln w="9525">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lumMod val="85000"/>
                      </a:schemeClr>
                    </a:solidFill>
                    <a:latin typeface="+mn-lt"/>
                    <a:ea typeface="+mn-ea"/>
                    <a:cs typeface="+mn-cs"/>
                  </a:defRPr>
                </a:pPr>
                <a:endParaRPr lang="es-N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Datos24!$B$4:$B$13</c:f>
              <c:strCache>
                <c:ptCount val="10"/>
                <c:pt idx="0">
                  <c:v>2013</c:v>
                </c:pt>
                <c:pt idx="1">
                  <c:v>2014</c:v>
                </c:pt>
                <c:pt idx="2">
                  <c:v>2015</c:v>
                </c:pt>
                <c:pt idx="3">
                  <c:v>2016</c:v>
                </c:pt>
                <c:pt idx="4">
                  <c:v>2017</c:v>
                </c:pt>
                <c:pt idx="5">
                  <c:v>2018</c:v>
                </c:pt>
                <c:pt idx="6">
                  <c:v>2019</c:v>
                </c:pt>
                <c:pt idx="7">
                  <c:v>2020</c:v>
                </c:pt>
                <c:pt idx="8">
                  <c:v>2021</c:v>
                </c:pt>
                <c:pt idx="9">
                  <c:v>2022</c:v>
                </c:pt>
              </c:strCache>
            </c:strRef>
          </c:cat>
          <c:val>
            <c:numRef>
              <c:f>Datos24!$D$4:$D$13</c:f>
              <c:numCache>
                <c:formatCode>0.0</c:formatCode>
                <c:ptCount val="10"/>
                <c:pt idx="0">
                  <c:v>26</c:v>
                </c:pt>
                <c:pt idx="1">
                  <c:v>22</c:v>
                </c:pt>
                <c:pt idx="2">
                  <c:v>6</c:v>
                </c:pt>
                <c:pt idx="3">
                  <c:v>22</c:v>
                </c:pt>
                <c:pt idx="4">
                  <c:v>21</c:v>
                </c:pt>
                <c:pt idx="5">
                  <c:v>22</c:v>
                </c:pt>
                <c:pt idx="6">
                  <c:v>23</c:v>
                </c:pt>
                <c:pt idx="7">
                  <c:v>15</c:v>
                </c:pt>
                <c:pt idx="8">
                  <c:v>16</c:v>
                </c:pt>
                <c:pt idx="9">
                  <c:v>8</c:v>
                </c:pt>
              </c:numCache>
            </c:numRef>
          </c:val>
          <c:extLst>
            <c:ext xmlns:c16="http://schemas.microsoft.com/office/drawing/2014/chart" uri="{C3380CC4-5D6E-409C-BE32-E72D297353CC}">
              <c16:uniqueId val="{00000001-1D18-4E29-AE79-938E2A1E7A67}"/>
            </c:ext>
          </c:extLst>
        </c:ser>
        <c:dLbls>
          <c:showLegendKey val="0"/>
          <c:showVal val="0"/>
          <c:showCatName val="0"/>
          <c:showSerName val="0"/>
          <c:showPercent val="0"/>
          <c:showBubbleSize val="0"/>
        </c:dLbls>
        <c:gapWidth val="25"/>
        <c:overlap val="100"/>
        <c:axId val="288342303"/>
        <c:axId val="288346623"/>
      </c:barChart>
      <c:catAx>
        <c:axId val="288342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s-NI"/>
          </a:p>
        </c:txPr>
        <c:crossAx val="288346623"/>
        <c:crosses val="autoZero"/>
        <c:auto val="1"/>
        <c:lblAlgn val="ctr"/>
        <c:lblOffset val="100"/>
        <c:noMultiLvlLbl val="0"/>
      </c:catAx>
      <c:valAx>
        <c:axId val="288346623"/>
        <c:scaling>
          <c:orientation val="minMax"/>
        </c:scaling>
        <c:delete val="1"/>
        <c:axPos val="l"/>
        <c:numFmt formatCode="0.0" sourceLinked="1"/>
        <c:majorTickMark val="none"/>
        <c:minorTickMark val="none"/>
        <c:tickLblPos val="nextTo"/>
        <c:crossAx val="288342303"/>
        <c:crosses val="autoZero"/>
        <c:crossBetween val="between"/>
      </c:valAx>
      <c:spPr>
        <a:noFill/>
        <a:ln>
          <a:noFill/>
        </a:ln>
        <a:effectLst/>
      </c:spPr>
    </c:plotArea>
    <c:legend>
      <c:legendPos val="b"/>
      <c:layout>
        <c:manualLayout>
          <c:xMode val="edge"/>
          <c:yMode val="edge"/>
          <c:x val="0.31389357186774824"/>
          <c:y val="0.91357546652822241"/>
          <c:w val="0.37221257292460608"/>
          <c:h val="7.7267024314268407E-2"/>
        </c:manualLayout>
      </c:layout>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s-N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chemeClr val="tx1"/>
          </a:solidFill>
        </a:defRPr>
      </a:pPr>
      <a:endParaRPr lang="es-N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spc="0" baseline="0">
                <a:solidFill>
                  <a:sysClr val="windowText" lastClr="000000"/>
                </a:solidFill>
                <a:latin typeface="+mn-lt"/>
                <a:ea typeface="+mn-ea"/>
                <a:cs typeface="+mn-cs"/>
              </a:defRPr>
            </a:pPr>
            <a:r>
              <a:rPr lang="es-ES" sz="800" b="1" i="0" u="none" strike="noStrike" kern="1200" spc="0" baseline="0">
                <a:solidFill>
                  <a:sysClr val="windowText" lastClr="000000"/>
                </a:solidFill>
                <a:effectLst/>
              </a:rPr>
              <a:t>Gráfico 2. Evolución del Segundo Pilar de la Cascada del Continuo de la Atención, El Salvador 2015-2022</a:t>
            </a:r>
            <a:endParaRPr lang="es-NI" sz="800" b="1" i="0" u="none" strike="noStrike" kern="1200" spc="0" baseline="0">
              <a:solidFill>
                <a:sysClr val="windowText" lastClr="000000"/>
              </a:solidFill>
            </a:endParaRPr>
          </a:p>
        </c:rich>
      </c:tx>
      <c:layout>
        <c:manualLayout>
          <c:xMode val="edge"/>
          <c:yMode val="edge"/>
          <c:x val="0.13386584763157974"/>
          <c:y val="1.3440860215053764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spc="0" baseline="0">
              <a:solidFill>
                <a:sysClr val="windowText" lastClr="000000"/>
              </a:solidFill>
              <a:latin typeface="+mn-lt"/>
              <a:ea typeface="+mn-ea"/>
              <a:cs typeface="+mn-cs"/>
            </a:defRPr>
          </a:pPr>
          <a:endParaRPr lang="es-NI"/>
        </a:p>
      </c:txPr>
    </c:title>
    <c:autoTitleDeleted val="0"/>
    <c:plotArea>
      <c:layout>
        <c:manualLayout>
          <c:layoutTarget val="inner"/>
          <c:xMode val="edge"/>
          <c:yMode val="edge"/>
          <c:x val="1.6165664152483526E-2"/>
          <c:y val="0.14174912384506849"/>
          <c:w val="0.9676686716950329"/>
          <c:h val="0.67213372172409092"/>
        </c:manualLayout>
      </c:layout>
      <c:barChart>
        <c:barDir val="col"/>
        <c:grouping val="stacked"/>
        <c:varyColors val="0"/>
        <c:ser>
          <c:idx val="0"/>
          <c:order val="0"/>
          <c:tx>
            <c:strRef>
              <c:f>Datos24!$F$3</c:f>
              <c:strCache>
                <c:ptCount val="1"/>
                <c:pt idx="0">
                  <c:v>Observado</c:v>
                </c:pt>
              </c:strCache>
            </c:strRef>
          </c:tx>
          <c:spPr>
            <a:solidFill>
              <a:srgbClr val="4F81BD"/>
            </a:solidFill>
            <a:ln w="9525">
              <a:solidFill>
                <a:sysClr val="windowText" lastClr="0000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lumMod val="85000"/>
                      </a:schemeClr>
                    </a:solidFill>
                    <a:latin typeface="+mn-lt"/>
                    <a:ea typeface="+mn-ea"/>
                    <a:cs typeface="+mn-cs"/>
                  </a:defRPr>
                </a:pPr>
                <a:endParaRPr lang="es-N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Datos24!$B$4:$B$13</c:f>
              <c:strCache>
                <c:ptCount val="10"/>
                <c:pt idx="0">
                  <c:v>2013</c:v>
                </c:pt>
                <c:pt idx="1">
                  <c:v>2014</c:v>
                </c:pt>
                <c:pt idx="2">
                  <c:v>2015</c:v>
                </c:pt>
                <c:pt idx="3">
                  <c:v>2016</c:v>
                </c:pt>
                <c:pt idx="4">
                  <c:v>2017</c:v>
                </c:pt>
                <c:pt idx="5">
                  <c:v>2018</c:v>
                </c:pt>
                <c:pt idx="6">
                  <c:v>2019</c:v>
                </c:pt>
                <c:pt idx="7">
                  <c:v>2020</c:v>
                </c:pt>
                <c:pt idx="8">
                  <c:v>2021</c:v>
                </c:pt>
                <c:pt idx="9">
                  <c:v>2022</c:v>
                </c:pt>
              </c:strCache>
            </c:strRef>
          </c:cat>
          <c:val>
            <c:numRef>
              <c:f>Datos24!$F$4:$F$13</c:f>
              <c:numCache>
                <c:formatCode>0.0</c:formatCode>
                <c:ptCount val="10"/>
                <c:pt idx="0">
                  <c:v>45.567375886524822</c:v>
                </c:pt>
                <c:pt idx="1">
                  <c:v>49.924317209608425</c:v>
                </c:pt>
                <c:pt idx="2">
                  <c:v>46.754936909409835</c:v>
                </c:pt>
                <c:pt idx="3">
                  <c:v>50.653859507001506</c:v>
                </c:pt>
                <c:pt idx="4">
                  <c:v>50.33909429008969</c:v>
                </c:pt>
                <c:pt idx="5">
                  <c:v>50.606288228350685</c:v>
                </c:pt>
                <c:pt idx="6">
                  <c:v>52.291861552853135</c:v>
                </c:pt>
                <c:pt idx="7">
                  <c:v>61.547045396905908</c:v>
                </c:pt>
                <c:pt idx="8">
                  <c:v>71.861009361009366</c:v>
                </c:pt>
                <c:pt idx="9">
                  <c:v>75.298466456865981</c:v>
                </c:pt>
              </c:numCache>
            </c:numRef>
          </c:val>
          <c:extLst>
            <c:ext xmlns:c16="http://schemas.microsoft.com/office/drawing/2014/chart" uri="{C3380CC4-5D6E-409C-BE32-E72D297353CC}">
              <c16:uniqueId val="{00000000-4F1C-42BF-BF8C-2BD3B6E041D6}"/>
            </c:ext>
          </c:extLst>
        </c:ser>
        <c:ser>
          <c:idx val="1"/>
          <c:order val="1"/>
          <c:tx>
            <c:strRef>
              <c:f>Datos24!$G$3</c:f>
              <c:strCache>
                <c:ptCount val="1"/>
                <c:pt idx="0">
                  <c:v>Brecha</c:v>
                </c:pt>
              </c:strCache>
            </c:strRef>
          </c:tx>
          <c:spPr>
            <a:solidFill>
              <a:srgbClr val="C0504D"/>
            </a:solidFill>
            <a:ln w="9525">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lumMod val="85000"/>
                      </a:schemeClr>
                    </a:solidFill>
                    <a:latin typeface="+mn-lt"/>
                    <a:ea typeface="+mn-ea"/>
                    <a:cs typeface="+mn-cs"/>
                  </a:defRPr>
                </a:pPr>
                <a:endParaRPr lang="es-N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Datos24!$B$4:$B$13</c:f>
              <c:strCache>
                <c:ptCount val="10"/>
                <c:pt idx="0">
                  <c:v>2013</c:v>
                </c:pt>
                <c:pt idx="1">
                  <c:v>2014</c:v>
                </c:pt>
                <c:pt idx="2">
                  <c:v>2015</c:v>
                </c:pt>
                <c:pt idx="3">
                  <c:v>2016</c:v>
                </c:pt>
                <c:pt idx="4">
                  <c:v>2017</c:v>
                </c:pt>
                <c:pt idx="5">
                  <c:v>2018</c:v>
                </c:pt>
                <c:pt idx="6">
                  <c:v>2019</c:v>
                </c:pt>
                <c:pt idx="7">
                  <c:v>2020</c:v>
                </c:pt>
                <c:pt idx="8">
                  <c:v>2021</c:v>
                </c:pt>
                <c:pt idx="9">
                  <c:v>2022</c:v>
                </c:pt>
              </c:strCache>
            </c:strRef>
          </c:cat>
          <c:val>
            <c:numRef>
              <c:f>Datos24!$G$4:$G$13</c:f>
              <c:numCache>
                <c:formatCode>0.0</c:formatCode>
                <c:ptCount val="10"/>
                <c:pt idx="0">
                  <c:v>49.432624113475178</c:v>
                </c:pt>
                <c:pt idx="1">
                  <c:v>45.075682790391575</c:v>
                </c:pt>
                <c:pt idx="2">
                  <c:v>48.245063090590165</c:v>
                </c:pt>
                <c:pt idx="3">
                  <c:v>44.346140492998494</c:v>
                </c:pt>
                <c:pt idx="4">
                  <c:v>44.66090570991031</c:v>
                </c:pt>
                <c:pt idx="5">
                  <c:v>44.393711771649315</c:v>
                </c:pt>
                <c:pt idx="6">
                  <c:v>42.708138447146865</c:v>
                </c:pt>
                <c:pt idx="7">
                  <c:v>33.452954603094092</c:v>
                </c:pt>
                <c:pt idx="8">
                  <c:v>23.138990638990634</c:v>
                </c:pt>
                <c:pt idx="9">
                  <c:v>19.701533543134019</c:v>
                </c:pt>
              </c:numCache>
            </c:numRef>
          </c:val>
          <c:extLst>
            <c:ext xmlns:c16="http://schemas.microsoft.com/office/drawing/2014/chart" uri="{C3380CC4-5D6E-409C-BE32-E72D297353CC}">
              <c16:uniqueId val="{00000001-4F1C-42BF-BF8C-2BD3B6E041D6}"/>
            </c:ext>
          </c:extLst>
        </c:ser>
        <c:dLbls>
          <c:showLegendKey val="0"/>
          <c:showVal val="0"/>
          <c:showCatName val="0"/>
          <c:showSerName val="0"/>
          <c:showPercent val="0"/>
          <c:showBubbleSize val="0"/>
        </c:dLbls>
        <c:gapWidth val="25"/>
        <c:overlap val="100"/>
        <c:axId val="288342303"/>
        <c:axId val="288346623"/>
      </c:barChart>
      <c:catAx>
        <c:axId val="288342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s-NI"/>
          </a:p>
        </c:txPr>
        <c:crossAx val="288346623"/>
        <c:crosses val="autoZero"/>
        <c:auto val="1"/>
        <c:lblAlgn val="ctr"/>
        <c:lblOffset val="100"/>
        <c:noMultiLvlLbl val="0"/>
      </c:catAx>
      <c:valAx>
        <c:axId val="288346623"/>
        <c:scaling>
          <c:orientation val="minMax"/>
        </c:scaling>
        <c:delete val="1"/>
        <c:axPos val="l"/>
        <c:numFmt formatCode="0.0" sourceLinked="1"/>
        <c:majorTickMark val="none"/>
        <c:minorTickMark val="none"/>
        <c:tickLblPos val="nextTo"/>
        <c:crossAx val="288342303"/>
        <c:crosses val="autoZero"/>
        <c:crossBetween val="between"/>
      </c:valAx>
      <c:spPr>
        <a:noFill/>
        <a:ln>
          <a:noFill/>
        </a:ln>
        <a:effectLst/>
      </c:spPr>
    </c:plotArea>
    <c:legend>
      <c:legendPos val="b"/>
      <c:layout>
        <c:manualLayout>
          <c:xMode val="edge"/>
          <c:yMode val="edge"/>
          <c:x val="0.31429451928921809"/>
          <c:y val="0.90245596468071554"/>
          <c:w val="0.37141067869209349"/>
          <c:h val="9.7544035319284517E-2"/>
        </c:manualLayout>
      </c:layout>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s-N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chemeClr val="tx1"/>
          </a:solidFill>
        </a:defRPr>
      </a:pPr>
      <a:endParaRPr lang="es-NI"/>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90DA6-A845-4D27-9E16-26BBDA67215F}">
  <ds:schemaRefs>
    <ds:schemaRef ds:uri="http://schemas.openxmlformats.org/officeDocument/2006/bibliography"/>
  </ds:schemaRefs>
</ds:datastoreItem>
</file>

<file path=docMetadata/LabelInfo.xml><?xml version="1.0" encoding="utf-8"?>
<clbl:labelList xmlns:clbl="http://schemas.microsoft.com/office/2020/mipLabelMetadata">
  <clbl:label id="{77920909-8782-4efb-aaf1-44ac114d7c03}" enabled="0" method="" siteId="{77920909-8782-4efb-aaf1-44ac114d7c03}"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14597</Words>
  <Characters>80287</Characters>
  <Application>Microsoft Office Word</Application>
  <DocSecurity>0</DocSecurity>
  <Lines>669</Lines>
  <Paragraphs>189</Paragraphs>
  <ScaleCrop>false</ScaleCrop>
  <HeadingPairs>
    <vt:vector size="2" baseType="variant">
      <vt:variant>
        <vt:lpstr>Título</vt:lpstr>
      </vt:variant>
      <vt:variant>
        <vt:i4>1</vt:i4>
      </vt:variant>
    </vt:vector>
  </HeadingPairs>
  <TitlesOfParts>
    <vt:vector size="1" baseType="lpstr">
      <vt:lpstr>Formulario de solicitud de financiamiento adaptada a los portafolios enfocados</vt:lpstr>
    </vt:vector>
  </TitlesOfParts>
  <Company/>
  <LinksUpToDate>false</LinksUpToDate>
  <CharactersWithSpaces>94695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de solicitud de financiamiento adaptada a los portafolios enfocados</dc:title>
  <dc:subject/>
  <dc:creator>El Fondo Mundial</dc:creator>
  <cp:keywords/>
  <dc:description/>
  <cp:lastModifiedBy>Luis Carballo</cp:lastModifiedBy>
  <cp:revision>3</cp:revision>
  <dcterms:created xsi:type="dcterms:W3CDTF">2024-05-06T19:46:00Z</dcterms:created>
  <dcterms:modified xsi:type="dcterms:W3CDTF">2024-05-06T19:48:00Z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2022-12-15T00:00:00Z</vt:filetime>
  </property>
  <property fmtid="{D5CDD505-2E9C-101B-9397-08002B2CF9AE}" pid="3" name="Creator">
    <vt:lpwstr>Microsoft® Word for Microsoft 365</vt:lpwstr>
  </property>
  <property fmtid="{D5CDD505-2E9C-101B-9397-08002B2CF9AE}" pid="4" name="LastSaved">
    <vt:filetime>2024-04-15T00:00:00Z</vt:filetime>
  </property>
  <property fmtid="{D5CDD505-2E9C-101B-9397-08002B2CF9AE}" pid="5" name="GrammarlyDocumentId">
    <vt:lpwstr>e9f59da18760db86eb3945fca11339590b9706b343923ccaa3b3e7fc596f5c00</vt:lpwstr>
  </property>
</Properties>
</file>